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1B" w:rsidRPr="00A8473D" w:rsidRDefault="004C331B" w:rsidP="002730B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4C331B" w:rsidRDefault="004C331B"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4C331B" w:rsidRDefault="004C331B">
      <w:pPr>
        <w:pBdr>
          <w:bottom w:val="single" w:sz="4" w:space="1" w:color="auto"/>
        </w:pBdr>
        <w:rPr>
          <w:sz w:val="22"/>
        </w:rPr>
      </w:pPr>
    </w:p>
    <w:p w:rsidR="004C331B" w:rsidRDefault="004C331B">
      <w:pPr>
        <w:rPr>
          <w:sz w:val="22"/>
        </w:rPr>
      </w:pPr>
    </w:p>
    <w:p w:rsidR="004C331B" w:rsidRDefault="004C331B">
      <w:pPr>
        <w:rPr>
          <w:b/>
          <w:smallCaps/>
          <w:sz w:val="22"/>
        </w:rPr>
      </w:pPr>
      <w:r>
        <w:rPr>
          <w:b/>
          <w:smallCaps/>
          <w:sz w:val="22"/>
        </w:rPr>
        <w:t>antwoord</w:t>
      </w:r>
    </w:p>
    <w:p w:rsidR="004C331B" w:rsidRDefault="004C331B">
      <w:pPr>
        <w:rPr>
          <w:sz w:val="22"/>
        </w:rPr>
      </w:pPr>
      <w:r>
        <w:rPr>
          <w:sz w:val="22"/>
        </w:rPr>
        <w:t>op vraag nr. 341 van 13 september 2010</w:t>
      </w:r>
    </w:p>
    <w:p w:rsidR="004C331B" w:rsidRDefault="004C331B">
      <w:pPr>
        <w:rPr>
          <w:sz w:val="22"/>
        </w:rPr>
      </w:pPr>
      <w:r>
        <w:rPr>
          <w:sz w:val="22"/>
        </w:rPr>
        <w:t xml:space="preserve">van </w:t>
      </w:r>
      <w:r>
        <w:rPr>
          <w:b/>
          <w:smallCaps/>
          <w:sz w:val="22"/>
        </w:rPr>
        <w:t>robrecht bothuyne</w:t>
      </w:r>
    </w:p>
    <w:p w:rsidR="004C331B" w:rsidRDefault="004C331B" w:rsidP="009976C1">
      <w:pPr>
        <w:pBdr>
          <w:bottom w:val="single" w:sz="4" w:space="1" w:color="auto"/>
        </w:pBdr>
        <w:jc w:val="both"/>
        <w:rPr>
          <w:sz w:val="22"/>
        </w:rPr>
      </w:pPr>
    </w:p>
    <w:p w:rsidR="004C331B" w:rsidRDefault="004C331B" w:rsidP="009976C1">
      <w:pPr>
        <w:jc w:val="both"/>
        <w:rPr>
          <w:sz w:val="22"/>
        </w:rPr>
      </w:pPr>
    </w:p>
    <w:p w:rsidR="004C331B" w:rsidRDefault="004C331B" w:rsidP="009976C1">
      <w:pPr>
        <w:jc w:val="both"/>
        <w:rPr>
          <w:sz w:val="22"/>
        </w:rPr>
      </w:pPr>
    </w:p>
    <w:p w:rsidR="004C331B" w:rsidRDefault="004C331B" w:rsidP="009976C1">
      <w:pPr>
        <w:jc w:val="both"/>
        <w:rPr>
          <w:sz w:val="22"/>
        </w:rPr>
        <w:sectPr w:rsidR="004C331B">
          <w:pgSz w:w="11906" w:h="16838"/>
          <w:pgMar w:top="1417" w:right="1417" w:bottom="1417" w:left="1417" w:header="708" w:footer="708" w:gutter="0"/>
          <w:cols w:space="708"/>
          <w:docGrid w:linePitch="360"/>
        </w:sectPr>
      </w:pPr>
    </w:p>
    <w:p w:rsidR="004C331B" w:rsidRPr="00F744BC" w:rsidRDefault="004C331B" w:rsidP="00F744BC">
      <w:pPr>
        <w:numPr>
          <w:ilvl w:val="0"/>
          <w:numId w:val="3"/>
        </w:numPr>
        <w:jc w:val="both"/>
        <w:rPr>
          <w:sz w:val="22"/>
        </w:rPr>
      </w:pPr>
      <w:r w:rsidRPr="00F744BC">
        <w:rPr>
          <w:sz w:val="22"/>
        </w:rPr>
        <w:t xml:space="preserve">Op 14 augustus 2009 leverde </w:t>
      </w:r>
      <w:r>
        <w:rPr>
          <w:sz w:val="22"/>
        </w:rPr>
        <w:t xml:space="preserve">de NV </w:t>
      </w:r>
      <w:r w:rsidRPr="00F744BC">
        <w:rPr>
          <w:sz w:val="22"/>
        </w:rPr>
        <w:t xml:space="preserve">Gigarant een term sheet af voor een 90% waarborg voor een nog te zoeken krediet van 198 </w:t>
      </w:r>
      <w:r>
        <w:rPr>
          <w:sz w:val="22"/>
        </w:rPr>
        <w:t>miljoen</w:t>
      </w:r>
      <w:r w:rsidRPr="00F744BC">
        <w:rPr>
          <w:sz w:val="22"/>
        </w:rPr>
        <w:t xml:space="preserve"> euro op vijf jaar. Het is met deze term sheet dat Volvo Cars </w:t>
      </w:r>
      <w:r>
        <w:rPr>
          <w:sz w:val="22"/>
        </w:rPr>
        <w:t>NV</w:t>
      </w:r>
      <w:r w:rsidRPr="00F744BC">
        <w:rPr>
          <w:sz w:val="22"/>
        </w:rPr>
        <w:t xml:space="preserve"> haar huisbankier KBC Bank heeft kunnen overtuigen om een term sheet af te leveren voor een krediet van 198 </w:t>
      </w:r>
      <w:r>
        <w:rPr>
          <w:sz w:val="22"/>
        </w:rPr>
        <w:t>miljoen</w:t>
      </w:r>
      <w:r w:rsidRPr="00F744BC">
        <w:rPr>
          <w:sz w:val="22"/>
        </w:rPr>
        <w:t xml:space="preserve"> euro voor grotendeels nieuwe investeringen in de vestiging in Gent.</w:t>
      </w:r>
    </w:p>
    <w:p w:rsidR="004C331B" w:rsidRPr="00F744BC" w:rsidRDefault="004C331B" w:rsidP="00F744BC">
      <w:pPr>
        <w:jc w:val="both"/>
        <w:rPr>
          <w:sz w:val="22"/>
        </w:rPr>
      </w:pPr>
    </w:p>
    <w:p w:rsidR="004C331B" w:rsidRPr="00F744BC" w:rsidRDefault="004C331B" w:rsidP="00F744BC">
      <w:pPr>
        <w:ind w:left="360"/>
        <w:jc w:val="both"/>
        <w:rPr>
          <w:sz w:val="22"/>
        </w:rPr>
      </w:pPr>
      <w:r>
        <w:rPr>
          <w:sz w:val="22"/>
        </w:rPr>
        <w:t>H</w:t>
      </w:r>
      <w:r w:rsidRPr="00F744BC">
        <w:rPr>
          <w:sz w:val="22"/>
        </w:rPr>
        <w:t xml:space="preserve">et </w:t>
      </w:r>
      <w:r>
        <w:rPr>
          <w:sz w:val="22"/>
        </w:rPr>
        <w:t xml:space="preserve">bleef </w:t>
      </w:r>
      <w:r w:rsidRPr="00F744BC">
        <w:rPr>
          <w:sz w:val="22"/>
        </w:rPr>
        <w:t xml:space="preserve">in 2009 </w:t>
      </w:r>
      <w:r>
        <w:rPr>
          <w:sz w:val="22"/>
        </w:rPr>
        <w:t xml:space="preserve">echter </w:t>
      </w:r>
      <w:r w:rsidRPr="00F744BC">
        <w:rPr>
          <w:sz w:val="22"/>
        </w:rPr>
        <w:t>bij beide term sheets</w:t>
      </w:r>
      <w:r>
        <w:rPr>
          <w:sz w:val="22"/>
        </w:rPr>
        <w:t>,</w:t>
      </w:r>
      <w:r w:rsidRPr="00F744BC">
        <w:rPr>
          <w:sz w:val="22"/>
        </w:rPr>
        <w:t xml:space="preserve"> omdat Volvo zonder groen licht van haar moeder Ford de operatie niet kon af</w:t>
      </w:r>
      <w:r>
        <w:rPr>
          <w:sz w:val="22"/>
        </w:rPr>
        <w:t>handelen</w:t>
      </w:r>
      <w:r w:rsidRPr="00F744BC">
        <w:rPr>
          <w:sz w:val="22"/>
        </w:rPr>
        <w:t>. Ford wou eind vorig jaar in de eerste plaats de Volvo</w:t>
      </w:r>
      <w:r>
        <w:rPr>
          <w:sz w:val="22"/>
        </w:rPr>
        <w:t xml:space="preserve"> G</w:t>
      </w:r>
      <w:r w:rsidRPr="00F744BC">
        <w:rPr>
          <w:sz w:val="22"/>
        </w:rPr>
        <w:t>roep</w:t>
      </w:r>
      <w:r>
        <w:rPr>
          <w:sz w:val="22"/>
        </w:rPr>
        <w:t xml:space="preserve"> </w:t>
      </w:r>
      <w:r w:rsidRPr="00F744BC">
        <w:rPr>
          <w:sz w:val="22"/>
        </w:rPr>
        <w:t xml:space="preserve">verkopen en wou daarbij niet het risico lopen dat het krediet van 198 </w:t>
      </w:r>
      <w:r>
        <w:rPr>
          <w:sz w:val="22"/>
        </w:rPr>
        <w:t>miljoen</w:t>
      </w:r>
      <w:r w:rsidRPr="00F744BC">
        <w:rPr>
          <w:sz w:val="22"/>
        </w:rPr>
        <w:t xml:space="preserve"> euro met de Gigarant</w:t>
      </w:r>
      <w:r>
        <w:rPr>
          <w:sz w:val="22"/>
        </w:rPr>
        <w:t xml:space="preserve"> </w:t>
      </w:r>
      <w:r w:rsidRPr="00F744BC">
        <w:rPr>
          <w:sz w:val="22"/>
        </w:rPr>
        <w:t>waarborg</w:t>
      </w:r>
      <w:r>
        <w:rPr>
          <w:sz w:val="22"/>
        </w:rPr>
        <w:t>,</w:t>
      </w:r>
      <w:r w:rsidRPr="00F744BC">
        <w:rPr>
          <w:sz w:val="22"/>
        </w:rPr>
        <w:t xml:space="preserve"> en dus ook een bij</w:t>
      </w:r>
      <w:r>
        <w:rPr>
          <w:sz w:val="22"/>
        </w:rPr>
        <w:t>behorende</w:t>
      </w:r>
      <w:r w:rsidRPr="00F744BC">
        <w:rPr>
          <w:sz w:val="22"/>
        </w:rPr>
        <w:t xml:space="preserve"> tewerkstellingsverbintenis, de verkoop zou kunnen bemoeilijken. Zodoende werden de onderhandelingen </w:t>
      </w:r>
      <w:r>
        <w:rPr>
          <w:sz w:val="22"/>
        </w:rPr>
        <w:t>rond</w:t>
      </w:r>
      <w:r w:rsidRPr="00F744BC">
        <w:rPr>
          <w:sz w:val="22"/>
        </w:rPr>
        <w:t xml:space="preserve"> het krediet door Volvo op een laag pitje gezet in afwachting dat de verkoop van de </w:t>
      </w:r>
      <w:r>
        <w:rPr>
          <w:sz w:val="22"/>
        </w:rPr>
        <w:t>Volvo G</w:t>
      </w:r>
      <w:r w:rsidRPr="00F744BC">
        <w:rPr>
          <w:sz w:val="22"/>
        </w:rPr>
        <w:t xml:space="preserve">roep </w:t>
      </w:r>
      <w:r>
        <w:rPr>
          <w:sz w:val="22"/>
        </w:rPr>
        <w:t>kon worden gerealiseerd</w:t>
      </w:r>
      <w:r w:rsidRPr="00F744BC">
        <w:rPr>
          <w:sz w:val="22"/>
        </w:rPr>
        <w:t>.</w:t>
      </w:r>
      <w:r>
        <w:rPr>
          <w:sz w:val="22"/>
        </w:rPr>
        <w:t xml:space="preserve"> Wel bleven d</w:t>
      </w:r>
      <w:r w:rsidRPr="00F744BC">
        <w:rPr>
          <w:sz w:val="22"/>
        </w:rPr>
        <w:t xml:space="preserve">e Vlaamse </w:t>
      </w:r>
      <w:r>
        <w:rPr>
          <w:sz w:val="22"/>
        </w:rPr>
        <w:t>R</w:t>
      </w:r>
      <w:r w:rsidRPr="00F744BC">
        <w:rPr>
          <w:sz w:val="22"/>
        </w:rPr>
        <w:t xml:space="preserve">egering, Gigarant en Volvo </w:t>
      </w:r>
      <w:r>
        <w:rPr>
          <w:sz w:val="22"/>
        </w:rPr>
        <w:t>a</w:t>
      </w:r>
      <w:r w:rsidRPr="00F744BC">
        <w:rPr>
          <w:sz w:val="22"/>
        </w:rPr>
        <w:t xml:space="preserve">l die tijd </w:t>
      </w:r>
      <w:r>
        <w:rPr>
          <w:sz w:val="22"/>
        </w:rPr>
        <w:t>n</w:t>
      </w:r>
      <w:r w:rsidRPr="00F744BC">
        <w:rPr>
          <w:sz w:val="22"/>
        </w:rPr>
        <w:t>auw met elkaar in contact.</w:t>
      </w:r>
    </w:p>
    <w:p w:rsidR="004C331B" w:rsidRPr="00F744BC" w:rsidRDefault="004C331B" w:rsidP="00F744BC">
      <w:pPr>
        <w:jc w:val="both"/>
        <w:rPr>
          <w:sz w:val="22"/>
        </w:rPr>
      </w:pPr>
    </w:p>
    <w:p w:rsidR="004C331B" w:rsidRPr="00F744BC" w:rsidRDefault="004C331B" w:rsidP="00F744BC">
      <w:pPr>
        <w:ind w:left="360"/>
        <w:jc w:val="both"/>
        <w:rPr>
          <w:sz w:val="22"/>
        </w:rPr>
      </w:pPr>
      <w:r w:rsidRPr="00F744BC">
        <w:rPr>
          <w:sz w:val="22"/>
        </w:rPr>
        <w:t>In augustus 2010 werd de verkoop van de Volvo</w:t>
      </w:r>
      <w:r>
        <w:rPr>
          <w:sz w:val="22"/>
        </w:rPr>
        <w:t xml:space="preserve"> G</w:t>
      </w:r>
      <w:r w:rsidRPr="00F744BC">
        <w:rPr>
          <w:sz w:val="22"/>
        </w:rPr>
        <w:t xml:space="preserve">roep door Ford Motor </w:t>
      </w:r>
      <w:r>
        <w:rPr>
          <w:sz w:val="22"/>
        </w:rPr>
        <w:t xml:space="preserve">Company </w:t>
      </w:r>
      <w:r w:rsidRPr="00F744BC">
        <w:rPr>
          <w:sz w:val="22"/>
        </w:rPr>
        <w:t xml:space="preserve">aan Zhejing Geely Holding uiteindelijk </w:t>
      </w:r>
      <w:r>
        <w:rPr>
          <w:sz w:val="22"/>
        </w:rPr>
        <w:t>afgehandeld</w:t>
      </w:r>
      <w:r w:rsidRPr="00F744BC">
        <w:rPr>
          <w:sz w:val="22"/>
        </w:rPr>
        <w:t xml:space="preserve">. Onmiddellijk daarop werden de onderhandelingen </w:t>
      </w:r>
      <w:r>
        <w:rPr>
          <w:sz w:val="22"/>
        </w:rPr>
        <w:t>rond</w:t>
      </w:r>
      <w:r w:rsidRPr="00F744BC">
        <w:rPr>
          <w:sz w:val="22"/>
        </w:rPr>
        <w:t xml:space="preserve"> het krediet van 198 </w:t>
      </w:r>
      <w:r>
        <w:rPr>
          <w:sz w:val="22"/>
        </w:rPr>
        <w:t xml:space="preserve">miljoen </w:t>
      </w:r>
      <w:r w:rsidRPr="00F744BC">
        <w:rPr>
          <w:sz w:val="22"/>
        </w:rPr>
        <w:t xml:space="preserve">euro heropgestart. Ditmaal heeft Volvo Cars </w:t>
      </w:r>
      <w:r>
        <w:rPr>
          <w:sz w:val="22"/>
        </w:rPr>
        <w:t>NV</w:t>
      </w:r>
      <w:r w:rsidRPr="00F744BC">
        <w:rPr>
          <w:sz w:val="22"/>
        </w:rPr>
        <w:t xml:space="preserve"> haar kredietaanvraag ingeleid bij drie banken. De drie banken wachten nu op het financieel dossier van Volvo </w:t>
      </w:r>
      <w:r>
        <w:rPr>
          <w:sz w:val="22"/>
        </w:rPr>
        <w:t>om</w:t>
      </w:r>
      <w:r w:rsidRPr="00F744BC">
        <w:rPr>
          <w:sz w:val="22"/>
        </w:rPr>
        <w:t xml:space="preserve"> de kredietaanvraag voor te bereiden voor hun beslissingsorganen. Gigarant zal in functie van het standpunt van elke bank afzonderlijk, haar term sheet wellicht nog moeten bijsturen.</w:t>
      </w:r>
    </w:p>
    <w:p w:rsidR="004C331B" w:rsidRDefault="004C331B" w:rsidP="00F744BC">
      <w:pPr>
        <w:jc w:val="both"/>
        <w:rPr>
          <w:sz w:val="22"/>
        </w:rPr>
      </w:pPr>
    </w:p>
    <w:p w:rsidR="004C331B" w:rsidRPr="00F744BC" w:rsidRDefault="004C331B" w:rsidP="00F744BC">
      <w:pPr>
        <w:ind w:left="360"/>
        <w:jc w:val="both"/>
        <w:rPr>
          <w:sz w:val="22"/>
        </w:rPr>
      </w:pPr>
      <w:r w:rsidRPr="00F744BC">
        <w:rPr>
          <w:sz w:val="22"/>
        </w:rPr>
        <w:t xml:space="preserve">De operatie komt nu ook langs de zijde van Volvo meer en meer in een versnelling, in het bijzonder omdat Volvo zich realiseert dat de Europese Commissie de verhoogde crisiswaarborg van 90% maar toelaat tot eind 2010. </w:t>
      </w:r>
    </w:p>
    <w:p w:rsidR="004C331B" w:rsidRPr="00F744BC" w:rsidRDefault="004C331B" w:rsidP="00F744BC">
      <w:pPr>
        <w:jc w:val="both"/>
        <w:rPr>
          <w:sz w:val="22"/>
        </w:rPr>
      </w:pPr>
    </w:p>
    <w:p w:rsidR="004C331B" w:rsidRDefault="004C331B" w:rsidP="00F744BC">
      <w:pPr>
        <w:ind w:left="360"/>
        <w:jc w:val="both"/>
        <w:rPr>
          <w:sz w:val="22"/>
        </w:rPr>
      </w:pPr>
      <w:r w:rsidRPr="00F744BC">
        <w:rPr>
          <w:sz w:val="22"/>
        </w:rPr>
        <w:t>De eerstkomende weken zullen moeten uitwijzen in welke richting de drie banken zullen evolueren en welke ondersteuning van Gigarant daarvoor vereist is. Uiteraard blijft het engagement van Gigarant zoals dit werd bevestigd in de term sheet van vorig jaar van kracht.</w:t>
      </w:r>
    </w:p>
    <w:p w:rsidR="004C331B" w:rsidRDefault="004C331B" w:rsidP="00F744BC">
      <w:pPr>
        <w:ind w:left="360"/>
        <w:jc w:val="both"/>
        <w:rPr>
          <w:sz w:val="22"/>
        </w:rPr>
      </w:pPr>
    </w:p>
    <w:p w:rsidR="004C331B" w:rsidRPr="00F744BC" w:rsidRDefault="004C331B" w:rsidP="00F744BC">
      <w:pPr>
        <w:numPr>
          <w:ilvl w:val="0"/>
          <w:numId w:val="3"/>
        </w:numPr>
        <w:jc w:val="both"/>
        <w:rPr>
          <w:sz w:val="22"/>
        </w:rPr>
      </w:pPr>
      <w:r w:rsidRPr="00F744BC">
        <w:rPr>
          <w:sz w:val="22"/>
        </w:rPr>
        <w:t xml:space="preserve">De term sheet die Gigarant in augustus van vorig jaar op tafel legde, voorzag dat het krediet van 198 </w:t>
      </w:r>
      <w:r>
        <w:rPr>
          <w:sz w:val="22"/>
        </w:rPr>
        <w:t>miljoen</w:t>
      </w:r>
      <w:r w:rsidRPr="00F744BC">
        <w:rPr>
          <w:sz w:val="22"/>
        </w:rPr>
        <w:t xml:space="preserve"> euro enkel en alleen mocht aangewend worden ten behoeve van Volvo Cars </w:t>
      </w:r>
      <w:r>
        <w:rPr>
          <w:sz w:val="22"/>
        </w:rPr>
        <w:t>NV</w:t>
      </w:r>
      <w:r w:rsidRPr="00F744BC">
        <w:rPr>
          <w:sz w:val="22"/>
        </w:rPr>
        <w:t xml:space="preserve"> in Gent, dat er een tewerkstellingsverbintenis diende overeengekomen te worden en dit voor de ganse duur van de waarborg, </w:t>
      </w:r>
      <w:r>
        <w:rPr>
          <w:sz w:val="22"/>
        </w:rPr>
        <w:t xml:space="preserve">en </w:t>
      </w:r>
      <w:r w:rsidRPr="00F744BC">
        <w:rPr>
          <w:sz w:val="22"/>
        </w:rPr>
        <w:t>dat de Gentse vestiging de S60 mag produceren en vanaf 2012 ook toekomstige compacte modellen mag produceren.</w:t>
      </w:r>
    </w:p>
    <w:p w:rsidR="004C331B" w:rsidRPr="00F744BC" w:rsidRDefault="004C331B" w:rsidP="00F744BC">
      <w:pPr>
        <w:jc w:val="both"/>
        <w:rPr>
          <w:sz w:val="22"/>
        </w:rPr>
      </w:pPr>
    </w:p>
    <w:p w:rsidR="004C331B" w:rsidRDefault="004C331B" w:rsidP="00F744BC">
      <w:pPr>
        <w:ind w:left="360"/>
        <w:jc w:val="both"/>
        <w:rPr>
          <w:sz w:val="22"/>
        </w:rPr>
      </w:pPr>
      <w:r>
        <w:rPr>
          <w:sz w:val="22"/>
        </w:rPr>
        <w:t>Het feit dat</w:t>
      </w:r>
      <w:r w:rsidRPr="00F744BC">
        <w:rPr>
          <w:sz w:val="22"/>
        </w:rPr>
        <w:t xml:space="preserve"> Volvo de onderhandelingen heeft heropend en met elk van de drie banken afzonderlijk onderhandelt, maakt dat Gigarant haar term sheet van vorig jaar nog zal dienen te actualiseren in functie van wat elk van deze banken nodig acht om de kredietdeal te laten slagen. Volvo heeft niet de bedoeling om het krediet te syndiceren.</w:t>
      </w:r>
    </w:p>
    <w:p w:rsidR="004C331B" w:rsidRDefault="004C331B" w:rsidP="00F744BC">
      <w:pPr>
        <w:ind w:left="360"/>
        <w:jc w:val="both"/>
        <w:rPr>
          <w:sz w:val="22"/>
        </w:rPr>
      </w:pPr>
    </w:p>
    <w:p w:rsidR="004C331B" w:rsidRPr="00F744BC" w:rsidRDefault="004C331B" w:rsidP="00F744BC">
      <w:pPr>
        <w:numPr>
          <w:ilvl w:val="0"/>
          <w:numId w:val="3"/>
        </w:numPr>
        <w:jc w:val="both"/>
        <w:rPr>
          <w:sz w:val="22"/>
        </w:rPr>
      </w:pPr>
      <w:r>
        <w:rPr>
          <w:sz w:val="22"/>
        </w:rPr>
        <w:t>Tot op heden</w:t>
      </w:r>
      <w:r w:rsidRPr="00F744BC">
        <w:rPr>
          <w:sz w:val="22"/>
        </w:rPr>
        <w:t xml:space="preserve"> heeft Volvo nog geen term sheet aanvaard en </w:t>
      </w:r>
      <w:r>
        <w:rPr>
          <w:sz w:val="22"/>
        </w:rPr>
        <w:t>zitten</w:t>
      </w:r>
      <w:r w:rsidRPr="00F744BC">
        <w:rPr>
          <w:sz w:val="22"/>
        </w:rPr>
        <w:t xml:space="preserve"> we </w:t>
      </w:r>
      <w:r>
        <w:rPr>
          <w:sz w:val="22"/>
        </w:rPr>
        <w:t xml:space="preserve">nog </w:t>
      </w:r>
      <w:r w:rsidRPr="00F744BC">
        <w:rPr>
          <w:sz w:val="22"/>
        </w:rPr>
        <w:t xml:space="preserve">in een onderhandelingsfase. Wellicht zullen de banken nog een anderhalve maand nodig hebben voor een definitieve kredietbeslissing. In functie daarvan zal ook Gigarant haar waarborgaanbod actualiseren. </w:t>
      </w:r>
    </w:p>
    <w:p w:rsidR="004C331B" w:rsidRPr="00F744BC" w:rsidRDefault="004C331B" w:rsidP="00F744BC">
      <w:pPr>
        <w:jc w:val="both"/>
        <w:rPr>
          <w:sz w:val="22"/>
        </w:rPr>
      </w:pPr>
    </w:p>
    <w:p w:rsidR="004C331B" w:rsidRPr="00F744BC" w:rsidRDefault="004C331B" w:rsidP="00F744BC">
      <w:pPr>
        <w:ind w:left="360"/>
        <w:jc w:val="both"/>
        <w:rPr>
          <w:sz w:val="22"/>
        </w:rPr>
      </w:pPr>
      <w:r w:rsidRPr="00F744BC">
        <w:rPr>
          <w:sz w:val="22"/>
        </w:rPr>
        <w:t xml:space="preserve">Aangezien Volvo </w:t>
      </w:r>
      <w:r>
        <w:rPr>
          <w:sz w:val="22"/>
        </w:rPr>
        <w:t xml:space="preserve">er </w:t>
      </w:r>
      <w:r w:rsidRPr="00F744BC">
        <w:rPr>
          <w:sz w:val="22"/>
        </w:rPr>
        <w:t>vorig jaar met de Gigarant</w:t>
      </w:r>
      <w:r>
        <w:rPr>
          <w:sz w:val="22"/>
        </w:rPr>
        <w:t xml:space="preserve"> </w:t>
      </w:r>
      <w:r w:rsidRPr="00F744BC">
        <w:rPr>
          <w:sz w:val="22"/>
        </w:rPr>
        <w:t xml:space="preserve">term sheet </w:t>
      </w:r>
      <w:r>
        <w:rPr>
          <w:sz w:val="22"/>
        </w:rPr>
        <w:t>in</w:t>
      </w:r>
      <w:r w:rsidRPr="00F744BC">
        <w:rPr>
          <w:sz w:val="22"/>
        </w:rPr>
        <w:t xml:space="preserve"> slaagde haar huisbankier te overtuigen om een kredietaanbod af te leveren</w:t>
      </w:r>
      <w:r>
        <w:rPr>
          <w:sz w:val="22"/>
        </w:rPr>
        <w:t>,</w:t>
      </w:r>
      <w:r w:rsidRPr="00F744BC">
        <w:rPr>
          <w:sz w:val="22"/>
        </w:rPr>
        <w:t xml:space="preserve"> en aangezien de financiële vooruitzichten voor de groep </w:t>
      </w:r>
      <w:r>
        <w:rPr>
          <w:sz w:val="22"/>
        </w:rPr>
        <w:t>intussen</w:t>
      </w:r>
      <w:r w:rsidRPr="00F744BC">
        <w:rPr>
          <w:sz w:val="22"/>
        </w:rPr>
        <w:t xml:space="preserve"> beter zijn, zal Volvo Cars ook nu de financiering met enige hulp van Gigarant moeten kunnen aantrekken.</w:t>
      </w:r>
    </w:p>
    <w:p w:rsidR="004C331B" w:rsidRPr="00F744BC" w:rsidRDefault="004C331B" w:rsidP="00F744BC">
      <w:pPr>
        <w:jc w:val="both"/>
        <w:rPr>
          <w:sz w:val="22"/>
        </w:rPr>
      </w:pPr>
    </w:p>
    <w:p w:rsidR="004C331B" w:rsidRDefault="004C331B" w:rsidP="00F744BC">
      <w:pPr>
        <w:ind w:left="360"/>
        <w:jc w:val="both"/>
        <w:rPr>
          <w:sz w:val="22"/>
        </w:rPr>
      </w:pPr>
      <w:r w:rsidRPr="00F744BC">
        <w:rPr>
          <w:sz w:val="22"/>
        </w:rPr>
        <w:t>Vanzelfsprekend behoudt Gigarant haar engagement om constructief mee te werken aan een voorstel met een waarborging via Gigarant van maximaal 90%.</w:t>
      </w:r>
    </w:p>
    <w:p w:rsidR="004C331B" w:rsidRDefault="004C331B" w:rsidP="00F744BC">
      <w:pPr>
        <w:ind w:left="360"/>
        <w:jc w:val="both"/>
        <w:rPr>
          <w:sz w:val="22"/>
        </w:rPr>
      </w:pPr>
    </w:p>
    <w:p w:rsidR="004C331B" w:rsidRPr="00F744BC" w:rsidRDefault="004C331B" w:rsidP="00F744BC">
      <w:pPr>
        <w:ind w:left="360"/>
        <w:jc w:val="both"/>
        <w:rPr>
          <w:sz w:val="22"/>
        </w:rPr>
      </w:pPr>
      <w:r>
        <w:rPr>
          <w:sz w:val="22"/>
        </w:rPr>
        <w:t>Zoals bij elk contract kan de niet naleving van de voorwaarden door de rechtbank worden gesanctioneerd.</w:t>
      </w:r>
    </w:p>
    <w:sectPr w:rsidR="004C331B" w:rsidRPr="00F744BC" w:rsidSect="000E2401">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12C1"/>
    <w:multiLevelType w:val="hybridMultilevel"/>
    <w:tmpl w:val="6BDC3120"/>
    <w:lvl w:ilvl="0" w:tplc="E7AC4C42">
      <w:start w:val="2"/>
      <w:numFmt w:val="decimal"/>
      <w:lvlText w:val="%1."/>
      <w:lvlJc w:val="left"/>
      <w:pPr>
        <w:tabs>
          <w:tab w:val="num" w:pos="720"/>
        </w:tabs>
        <w:ind w:left="720" w:hanging="360"/>
      </w:pPr>
      <w:rPr>
        <w:rFonts w:cs="Times New Roman" w:hint="default"/>
      </w:rPr>
    </w:lvl>
    <w:lvl w:ilvl="1" w:tplc="081A1DCE" w:tentative="1">
      <w:start w:val="1"/>
      <w:numFmt w:val="lowerLetter"/>
      <w:lvlText w:val="%2."/>
      <w:lvlJc w:val="left"/>
      <w:pPr>
        <w:tabs>
          <w:tab w:val="num" w:pos="1440"/>
        </w:tabs>
        <w:ind w:left="1440" w:hanging="360"/>
      </w:pPr>
      <w:rPr>
        <w:rFonts w:cs="Times New Roman"/>
      </w:rPr>
    </w:lvl>
    <w:lvl w:ilvl="2" w:tplc="EE46A510" w:tentative="1">
      <w:start w:val="1"/>
      <w:numFmt w:val="lowerRoman"/>
      <w:lvlText w:val="%3."/>
      <w:lvlJc w:val="right"/>
      <w:pPr>
        <w:tabs>
          <w:tab w:val="num" w:pos="2160"/>
        </w:tabs>
        <w:ind w:left="2160" w:hanging="180"/>
      </w:pPr>
      <w:rPr>
        <w:rFonts w:cs="Times New Roman"/>
      </w:rPr>
    </w:lvl>
    <w:lvl w:ilvl="3" w:tplc="FA286DA8" w:tentative="1">
      <w:start w:val="1"/>
      <w:numFmt w:val="decimal"/>
      <w:lvlText w:val="%4."/>
      <w:lvlJc w:val="left"/>
      <w:pPr>
        <w:tabs>
          <w:tab w:val="num" w:pos="2880"/>
        </w:tabs>
        <w:ind w:left="2880" w:hanging="360"/>
      </w:pPr>
      <w:rPr>
        <w:rFonts w:cs="Times New Roman"/>
      </w:rPr>
    </w:lvl>
    <w:lvl w:ilvl="4" w:tplc="5866C100" w:tentative="1">
      <w:start w:val="1"/>
      <w:numFmt w:val="lowerLetter"/>
      <w:lvlText w:val="%5."/>
      <w:lvlJc w:val="left"/>
      <w:pPr>
        <w:tabs>
          <w:tab w:val="num" w:pos="3600"/>
        </w:tabs>
        <w:ind w:left="3600" w:hanging="360"/>
      </w:pPr>
      <w:rPr>
        <w:rFonts w:cs="Times New Roman"/>
      </w:rPr>
    </w:lvl>
    <w:lvl w:ilvl="5" w:tplc="9BBE70E4" w:tentative="1">
      <w:start w:val="1"/>
      <w:numFmt w:val="lowerRoman"/>
      <w:lvlText w:val="%6."/>
      <w:lvlJc w:val="right"/>
      <w:pPr>
        <w:tabs>
          <w:tab w:val="num" w:pos="4320"/>
        </w:tabs>
        <w:ind w:left="4320" w:hanging="180"/>
      </w:pPr>
      <w:rPr>
        <w:rFonts w:cs="Times New Roman"/>
      </w:rPr>
    </w:lvl>
    <w:lvl w:ilvl="6" w:tplc="3580BC26" w:tentative="1">
      <w:start w:val="1"/>
      <w:numFmt w:val="decimal"/>
      <w:lvlText w:val="%7."/>
      <w:lvlJc w:val="left"/>
      <w:pPr>
        <w:tabs>
          <w:tab w:val="num" w:pos="5040"/>
        </w:tabs>
        <w:ind w:left="5040" w:hanging="360"/>
      </w:pPr>
      <w:rPr>
        <w:rFonts w:cs="Times New Roman"/>
      </w:rPr>
    </w:lvl>
    <w:lvl w:ilvl="7" w:tplc="919CAFBE" w:tentative="1">
      <w:start w:val="1"/>
      <w:numFmt w:val="lowerLetter"/>
      <w:lvlText w:val="%8."/>
      <w:lvlJc w:val="left"/>
      <w:pPr>
        <w:tabs>
          <w:tab w:val="num" w:pos="5760"/>
        </w:tabs>
        <w:ind w:left="5760" w:hanging="360"/>
      </w:pPr>
      <w:rPr>
        <w:rFonts w:cs="Times New Roman"/>
      </w:rPr>
    </w:lvl>
    <w:lvl w:ilvl="8" w:tplc="830A87FA" w:tentative="1">
      <w:start w:val="1"/>
      <w:numFmt w:val="lowerRoman"/>
      <w:lvlText w:val="%9."/>
      <w:lvlJc w:val="right"/>
      <w:pPr>
        <w:tabs>
          <w:tab w:val="num" w:pos="6480"/>
        </w:tabs>
        <w:ind w:left="6480" w:hanging="180"/>
      </w:pPr>
      <w:rPr>
        <w:rFonts w:cs="Times New Roman"/>
      </w:r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FE65695"/>
    <w:multiLevelType w:val="hybridMultilevel"/>
    <w:tmpl w:val="EB0A8F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E2401"/>
    <w:rsid w:val="0010679F"/>
    <w:rsid w:val="001747B4"/>
    <w:rsid w:val="001F0937"/>
    <w:rsid w:val="002730B7"/>
    <w:rsid w:val="00414E41"/>
    <w:rsid w:val="004C331B"/>
    <w:rsid w:val="004C6FA4"/>
    <w:rsid w:val="005431C7"/>
    <w:rsid w:val="006A324D"/>
    <w:rsid w:val="006F7264"/>
    <w:rsid w:val="007A666B"/>
    <w:rsid w:val="007B527F"/>
    <w:rsid w:val="008A4345"/>
    <w:rsid w:val="009976C1"/>
    <w:rsid w:val="009E2C40"/>
    <w:rsid w:val="00A8473D"/>
    <w:rsid w:val="00AB0AA4"/>
    <w:rsid w:val="00BC2983"/>
    <w:rsid w:val="00BF0310"/>
    <w:rsid w:val="00D522C8"/>
    <w:rsid w:val="00E124D8"/>
    <w:rsid w:val="00E657F9"/>
    <w:rsid w:val="00F14A50"/>
    <w:rsid w:val="00F744B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01"/>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0E2401"/>
    <w:pPr>
      <w:jc w:val="both"/>
    </w:pPr>
    <w:rPr>
      <w:sz w:val="22"/>
      <w:szCs w:val="20"/>
    </w:rPr>
  </w:style>
  <w:style w:type="paragraph" w:styleId="BalloonText">
    <w:name w:val="Balloon Text"/>
    <w:basedOn w:val="Normal"/>
    <w:link w:val="BalloonTextChar"/>
    <w:uiPriority w:val="99"/>
    <w:semiHidden/>
    <w:rsid w:val="000E2401"/>
    <w:rPr>
      <w:rFonts w:ascii="Tahoma" w:hAnsi="Tahoma" w:cs="Tahoma"/>
      <w:sz w:val="16"/>
      <w:szCs w:val="16"/>
    </w:rPr>
  </w:style>
  <w:style w:type="character" w:customStyle="1" w:styleId="BalloonTextChar">
    <w:name w:val="Balloon Text Char"/>
    <w:basedOn w:val="DefaultParagraphFont"/>
    <w:link w:val="BalloonText"/>
    <w:uiPriority w:val="99"/>
    <w:semiHidden/>
    <w:rsid w:val="0073755D"/>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2</Pages>
  <Words>594</Words>
  <Characters>3270</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3</cp:revision>
  <cp:lastPrinted>2007-12-14T07:15:00Z</cp:lastPrinted>
  <dcterms:created xsi:type="dcterms:W3CDTF">2010-10-07T10:14:00Z</dcterms:created>
  <dcterms:modified xsi:type="dcterms:W3CDTF">2010-10-07T11:52:00Z</dcterms:modified>
</cp:coreProperties>
</file>