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C1102" w:rsidRPr="00DD4121" w:rsidRDefault="000C1102"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philippe muyters</w:t>
      </w:r>
      <w:r>
        <w:rPr>
          <w:szCs w:val="22"/>
        </w:rPr>
        <w:fldChar w:fldCharType="end"/>
      </w:r>
      <w:bookmarkEnd w:id="0"/>
    </w:p>
    <w:bookmarkStart w:id="1" w:name="Text2"/>
    <w:p w:rsidR="000C1102" w:rsidRPr="00015BF7" w:rsidRDefault="000C1102"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0C1102" w:rsidRPr="00015BF7" w:rsidRDefault="000C1102" w:rsidP="000976E9">
      <w:pPr>
        <w:rPr>
          <w:szCs w:val="22"/>
        </w:rPr>
      </w:pPr>
    </w:p>
    <w:p w:rsidR="000C1102" w:rsidRPr="00DB41C0" w:rsidRDefault="000C1102" w:rsidP="000976E9">
      <w:pPr>
        <w:pStyle w:val="A-Lijn"/>
      </w:pPr>
    </w:p>
    <w:p w:rsidR="000C1102" w:rsidRDefault="000C1102" w:rsidP="000976E9">
      <w:pPr>
        <w:pStyle w:val="A-Type"/>
        <w:sectPr w:rsidR="000C1102">
          <w:pgSz w:w="11906" w:h="16838"/>
          <w:pgMar w:top="1417" w:right="1417" w:bottom="1417" w:left="1417" w:header="708" w:footer="708" w:gutter="0"/>
          <w:cols w:space="708"/>
          <w:rtlGutter/>
          <w:docGrid w:linePitch="360"/>
        </w:sectPr>
      </w:pPr>
    </w:p>
    <w:p w:rsidR="000C1102" w:rsidRDefault="000C1102" w:rsidP="00787964">
      <w:pPr>
        <w:pStyle w:val="A-Type"/>
        <w:outlineLvl w:val="0"/>
        <w:sectPr w:rsidR="000C11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C1102" w:rsidRPr="00326A58" w:rsidRDefault="000C110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524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C1102" w:rsidRDefault="000C110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wilfried vandaele</w:t>
      </w:r>
      <w:r w:rsidRPr="009D7043">
        <w:rPr>
          <w:rStyle w:val="AntwoordNaamMinisterChar"/>
          <w:sz w:val="22"/>
        </w:rPr>
        <w:fldChar w:fldCharType="end"/>
      </w:r>
    </w:p>
    <w:p w:rsidR="000C1102" w:rsidRPr="00015BF7" w:rsidRDefault="000C1102" w:rsidP="000976E9">
      <w:pPr>
        <w:rPr>
          <w:szCs w:val="22"/>
        </w:rPr>
      </w:pPr>
    </w:p>
    <w:p w:rsidR="000C1102" w:rsidRPr="00DB41C0" w:rsidRDefault="000C1102" w:rsidP="000976E9">
      <w:pPr>
        <w:pStyle w:val="A-Lijn"/>
      </w:pPr>
    </w:p>
    <w:p w:rsidR="000C1102" w:rsidRPr="00DB41C0" w:rsidRDefault="000C1102" w:rsidP="000976E9">
      <w:pPr>
        <w:pStyle w:val="A-Lijn"/>
      </w:pPr>
    </w:p>
    <w:p w:rsidR="000C1102" w:rsidRDefault="000C1102" w:rsidP="00DB41C0">
      <w:pPr>
        <w:sectPr w:rsidR="000C1102" w:rsidSect="000976E9">
          <w:type w:val="continuous"/>
          <w:pgSz w:w="11906" w:h="16838"/>
          <w:pgMar w:top="1417" w:right="1417" w:bottom="1417" w:left="1417" w:header="708" w:footer="708" w:gutter="0"/>
          <w:cols w:space="708"/>
          <w:rtlGutter/>
          <w:docGrid w:linePitch="360"/>
        </w:sectPr>
      </w:pPr>
    </w:p>
    <w:p w:rsidR="000C1102" w:rsidRDefault="000C1102" w:rsidP="0014373D">
      <w:pPr>
        <w:pStyle w:val="StandaardSV"/>
        <w:numPr>
          <w:ilvl w:val="0"/>
          <w:numId w:val="16"/>
        </w:numPr>
        <w:rPr>
          <w:lang w:val="nl-BE"/>
        </w:rPr>
      </w:pPr>
      <w:r>
        <w:rPr>
          <w:lang w:val="nl-BE"/>
        </w:rPr>
        <w:t xml:space="preserve">Vanuit ruimtelijke ordening kan ik u enkel meedelen hoeveel hectaren bedrijventerreinen de afgelopen jaren werden </w:t>
      </w:r>
      <w:r w:rsidRPr="00A44CA4">
        <w:rPr>
          <w:i/>
          <w:lang w:val="nl-BE"/>
        </w:rPr>
        <w:t>herbestemd</w:t>
      </w:r>
      <w:r>
        <w:rPr>
          <w:lang w:val="nl-BE"/>
        </w:rPr>
        <w:t xml:space="preserve">. De effectieve ontwikkeling van bedrijventerreinen ligt immers niet zozeer binnen de bevoegdheid van het beleidsdomein ruimtelijke ordening, dan wel van andere actoren zoals provinciale ontwikkelingsmaatschappijen, intercommunales enzomeer. </w:t>
      </w:r>
    </w:p>
    <w:p w:rsidR="000C1102" w:rsidRDefault="000C1102" w:rsidP="0014373D">
      <w:pPr>
        <w:pStyle w:val="StandaardSV"/>
        <w:rPr>
          <w:lang w:val="nl-BE"/>
        </w:rPr>
      </w:pPr>
    </w:p>
    <w:p w:rsidR="000C1102" w:rsidRDefault="000C1102" w:rsidP="0014373D">
      <w:pPr>
        <w:pStyle w:val="StandaardSV"/>
        <w:ind w:left="360"/>
        <w:rPr>
          <w:lang w:val="nl-BE"/>
        </w:rPr>
      </w:pPr>
      <w:r>
        <w:rPr>
          <w:lang w:val="nl-BE"/>
        </w:rPr>
        <w:t xml:space="preserve">Voor wat betreft de </w:t>
      </w:r>
      <w:r w:rsidRPr="00365177">
        <w:rPr>
          <w:b/>
          <w:lang w:val="nl-BE"/>
        </w:rPr>
        <w:t>herbestemmingen</w:t>
      </w:r>
      <w:r>
        <w:rPr>
          <w:lang w:val="nl-BE"/>
        </w:rPr>
        <w:t xml:space="preserve"> van bijkomende bedrijventerreinen kan ik volgend overzicht geven per provincie over de laatste 5 jaar (in hectare, afgerond tot op </w:t>
      </w:r>
      <w:smartTag w:uri="urn:schemas-microsoft-com:office:smarttags" w:element="metricconverter">
        <w:smartTagPr>
          <w:attr w:name="ProductID" w:val="10 hectare"/>
        </w:smartTagPr>
        <w:r>
          <w:rPr>
            <w:lang w:val="nl-BE"/>
          </w:rPr>
          <w:t>10 hectare</w:t>
        </w:r>
      </w:smartTag>
      <w:r>
        <w:rPr>
          <w:lang w:val="nl-BE"/>
        </w:rPr>
        <w:t>):</w:t>
      </w:r>
    </w:p>
    <w:p w:rsidR="000C1102" w:rsidRDefault="000C1102" w:rsidP="0014373D">
      <w:pPr>
        <w:pStyle w:val="StandaardSV"/>
        <w:rPr>
          <w:lang w:val="nl-BE"/>
        </w:rPr>
      </w:pPr>
    </w:p>
    <w:tbl>
      <w:tblPr>
        <w:tblW w:w="9012" w:type="dxa"/>
        <w:tblInd w:w="58" w:type="dxa"/>
        <w:tblCellMar>
          <w:left w:w="70" w:type="dxa"/>
          <w:right w:w="70" w:type="dxa"/>
        </w:tblCellMar>
        <w:tblLook w:val="0000"/>
      </w:tblPr>
      <w:tblGrid>
        <w:gridCol w:w="1800"/>
        <w:gridCol w:w="960"/>
        <w:gridCol w:w="960"/>
        <w:gridCol w:w="960"/>
        <w:gridCol w:w="960"/>
        <w:gridCol w:w="1032"/>
        <w:gridCol w:w="2340"/>
      </w:tblGrid>
      <w:tr w:rsidR="000C1102" w:rsidRPr="003E4D61" w:rsidTr="000961E4">
        <w:trPr>
          <w:trHeight w:val="276"/>
        </w:trPr>
        <w:tc>
          <w:tcPr>
            <w:tcW w:w="1800" w:type="dxa"/>
            <w:tcBorders>
              <w:top w:val="nil"/>
              <w:left w:val="nil"/>
              <w:bottom w:val="nil"/>
              <w:right w:val="nil"/>
            </w:tcBorders>
            <w:noWrap/>
            <w:vAlign w:val="bottom"/>
          </w:tcPr>
          <w:p w:rsidR="000C1102" w:rsidRPr="003E4D61" w:rsidRDefault="000C1102" w:rsidP="000961E4">
            <w:pPr>
              <w:rPr>
                <w:szCs w:val="22"/>
              </w:rPr>
            </w:pPr>
          </w:p>
        </w:tc>
        <w:tc>
          <w:tcPr>
            <w:tcW w:w="960" w:type="dxa"/>
            <w:tcBorders>
              <w:top w:val="single" w:sz="8" w:space="0" w:color="auto"/>
              <w:left w:val="single" w:sz="8" w:space="0" w:color="auto"/>
              <w:bottom w:val="nil"/>
              <w:right w:val="single" w:sz="4" w:space="0" w:color="auto"/>
            </w:tcBorders>
            <w:noWrap/>
            <w:vAlign w:val="bottom"/>
          </w:tcPr>
          <w:p w:rsidR="000C1102" w:rsidRPr="003E4D61" w:rsidRDefault="000C1102" w:rsidP="000961E4">
            <w:pPr>
              <w:jc w:val="right"/>
              <w:rPr>
                <w:b/>
                <w:bCs/>
                <w:szCs w:val="22"/>
              </w:rPr>
            </w:pPr>
            <w:r w:rsidRPr="003E4D61">
              <w:rPr>
                <w:b/>
                <w:bCs/>
                <w:szCs w:val="22"/>
              </w:rPr>
              <w:t>2006</w:t>
            </w:r>
          </w:p>
        </w:tc>
        <w:tc>
          <w:tcPr>
            <w:tcW w:w="960" w:type="dxa"/>
            <w:tcBorders>
              <w:top w:val="single" w:sz="8" w:space="0" w:color="auto"/>
              <w:left w:val="nil"/>
              <w:bottom w:val="nil"/>
              <w:right w:val="single" w:sz="4" w:space="0" w:color="auto"/>
            </w:tcBorders>
            <w:noWrap/>
            <w:vAlign w:val="bottom"/>
          </w:tcPr>
          <w:p w:rsidR="000C1102" w:rsidRPr="003E4D61" w:rsidRDefault="000C1102" w:rsidP="000961E4">
            <w:pPr>
              <w:jc w:val="right"/>
              <w:rPr>
                <w:b/>
                <w:bCs/>
                <w:szCs w:val="22"/>
              </w:rPr>
            </w:pPr>
            <w:r w:rsidRPr="003E4D61">
              <w:rPr>
                <w:b/>
                <w:bCs/>
                <w:szCs w:val="22"/>
              </w:rPr>
              <w:t>2007</w:t>
            </w:r>
          </w:p>
        </w:tc>
        <w:tc>
          <w:tcPr>
            <w:tcW w:w="960" w:type="dxa"/>
            <w:tcBorders>
              <w:top w:val="single" w:sz="8" w:space="0" w:color="auto"/>
              <w:left w:val="nil"/>
              <w:bottom w:val="nil"/>
              <w:right w:val="single" w:sz="4" w:space="0" w:color="auto"/>
            </w:tcBorders>
            <w:noWrap/>
            <w:vAlign w:val="bottom"/>
          </w:tcPr>
          <w:p w:rsidR="000C1102" w:rsidRPr="003E4D61" w:rsidRDefault="000C1102" w:rsidP="000961E4">
            <w:pPr>
              <w:jc w:val="right"/>
              <w:rPr>
                <w:b/>
                <w:bCs/>
                <w:szCs w:val="22"/>
              </w:rPr>
            </w:pPr>
            <w:r w:rsidRPr="003E4D61">
              <w:rPr>
                <w:b/>
                <w:bCs/>
                <w:szCs w:val="22"/>
              </w:rPr>
              <w:t>2008</w:t>
            </w:r>
          </w:p>
        </w:tc>
        <w:tc>
          <w:tcPr>
            <w:tcW w:w="960" w:type="dxa"/>
            <w:tcBorders>
              <w:top w:val="single" w:sz="8" w:space="0" w:color="auto"/>
              <w:left w:val="nil"/>
              <w:bottom w:val="nil"/>
              <w:right w:val="single" w:sz="4" w:space="0" w:color="auto"/>
            </w:tcBorders>
            <w:noWrap/>
            <w:vAlign w:val="bottom"/>
          </w:tcPr>
          <w:p w:rsidR="000C1102" w:rsidRPr="003E4D61" w:rsidRDefault="000C1102" w:rsidP="000961E4">
            <w:pPr>
              <w:jc w:val="right"/>
              <w:rPr>
                <w:b/>
                <w:bCs/>
                <w:szCs w:val="22"/>
              </w:rPr>
            </w:pPr>
            <w:r w:rsidRPr="003E4D61">
              <w:rPr>
                <w:b/>
                <w:bCs/>
                <w:szCs w:val="22"/>
              </w:rPr>
              <w:t>2009</w:t>
            </w:r>
          </w:p>
        </w:tc>
        <w:tc>
          <w:tcPr>
            <w:tcW w:w="1032" w:type="dxa"/>
            <w:tcBorders>
              <w:top w:val="single" w:sz="8" w:space="0" w:color="auto"/>
              <w:left w:val="nil"/>
              <w:bottom w:val="nil"/>
              <w:right w:val="single" w:sz="8" w:space="0" w:color="auto"/>
            </w:tcBorders>
            <w:noWrap/>
            <w:vAlign w:val="bottom"/>
          </w:tcPr>
          <w:p w:rsidR="000C1102" w:rsidRPr="003E4D61" w:rsidRDefault="000C1102" w:rsidP="000961E4">
            <w:pPr>
              <w:rPr>
                <w:b/>
                <w:bCs/>
                <w:szCs w:val="22"/>
              </w:rPr>
            </w:pPr>
            <w:r w:rsidRPr="003E4D61">
              <w:rPr>
                <w:b/>
                <w:bCs/>
                <w:szCs w:val="22"/>
              </w:rPr>
              <w:t>2010 (tot 31/08)</w:t>
            </w:r>
          </w:p>
        </w:tc>
        <w:tc>
          <w:tcPr>
            <w:tcW w:w="2340" w:type="dxa"/>
            <w:tcBorders>
              <w:top w:val="single" w:sz="8" w:space="0" w:color="auto"/>
              <w:left w:val="nil"/>
              <w:bottom w:val="nil"/>
              <w:right w:val="single" w:sz="8" w:space="0" w:color="auto"/>
            </w:tcBorders>
            <w:noWrap/>
            <w:vAlign w:val="bottom"/>
          </w:tcPr>
          <w:p w:rsidR="000C1102" w:rsidRPr="003E4D61" w:rsidRDefault="000C1102" w:rsidP="000961E4">
            <w:pPr>
              <w:rPr>
                <w:b/>
                <w:bCs/>
                <w:szCs w:val="22"/>
              </w:rPr>
            </w:pPr>
            <w:r w:rsidRPr="003E4D61">
              <w:rPr>
                <w:b/>
                <w:bCs/>
                <w:szCs w:val="22"/>
              </w:rPr>
              <w:t>periode 01/01/2006 - 31/08/2010</w:t>
            </w:r>
          </w:p>
        </w:tc>
      </w:tr>
      <w:tr w:rsidR="000C1102" w:rsidRPr="003E4D61" w:rsidTr="000961E4">
        <w:trPr>
          <w:trHeight w:val="264"/>
        </w:trPr>
        <w:tc>
          <w:tcPr>
            <w:tcW w:w="1800" w:type="dxa"/>
            <w:tcBorders>
              <w:top w:val="single" w:sz="8" w:space="0" w:color="auto"/>
              <w:left w:val="single" w:sz="8" w:space="0" w:color="auto"/>
              <w:bottom w:val="single" w:sz="4" w:space="0" w:color="auto"/>
              <w:right w:val="nil"/>
            </w:tcBorders>
            <w:noWrap/>
            <w:vAlign w:val="bottom"/>
          </w:tcPr>
          <w:p w:rsidR="000C1102" w:rsidRPr="003E4D61" w:rsidRDefault="000C1102" w:rsidP="000961E4">
            <w:pPr>
              <w:rPr>
                <w:b/>
                <w:bCs/>
                <w:szCs w:val="22"/>
              </w:rPr>
            </w:pPr>
            <w:r w:rsidRPr="003E4D61">
              <w:rPr>
                <w:b/>
                <w:bCs/>
                <w:szCs w:val="22"/>
              </w:rPr>
              <w:t>Antwerpen</w:t>
            </w:r>
          </w:p>
        </w:tc>
        <w:tc>
          <w:tcPr>
            <w:tcW w:w="960" w:type="dxa"/>
            <w:tcBorders>
              <w:top w:val="single" w:sz="8" w:space="0" w:color="auto"/>
              <w:left w:val="single" w:sz="8"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960" w:type="dxa"/>
            <w:tcBorders>
              <w:top w:val="single" w:sz="8" w:space="0" w:color="auto"/>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130</w:t>
            </w:r>
          </w:p>
        </w:tc>
        <w:tc>
          <w:tcPr>
            <w:tcW w:w="960" w:type="dxa"/>
            <w:tcBorders>
              <w:top w:val="single" w:sz="8" w:space="0" w:color="auto"/>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70</w:t>
            </w:r>
          </w:p>
        </w:tc>
        <w:tc>
          <w:tcPr>
            <w:tcW w:w="960" w:type="dxa"/>
            <w:tcBorders>
              <w:top w:val="single" w:sz="8" w:space="0" w:color="auto"/>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210</w:t>
            </w:r>
          </w:p>
        </w:tc>
        <w:tc>
          <w:tcPr>
            <w:tcW w:w="1032" w:type="dxa"/>
            <w:tcBorders>
              <w:top w:val="single" w:sz="8" w:space="0" w:color="auto"/>
              <w:left w:val="nil"/>
              <w:bottom w:val="single" w:sz="4" w:space="0" w:color="auto"/>
              <w:right w:val="single" w:sz="8" w:space="0" w:color="auto"/>
            </w:tcBorders>
            <w:noWrap/>
            <w:vAlign w:val="bottom"/>
          </w:tcPr>
          <w:p w:rsidR="000C1102" w:rsidRPr="003E4D61" w:rsidRDefault="000C1102" w:rsidP="000961E4">
            <w:pPr>
              <w:jc w:val="right"/>
              <w:rPr>
                <w:szCs w:val="22"/>
              </w:rPr>
            </w:pPr>
            <w:r w:rsidRPr="003E4D61">
              <w:rPr>
                <w:szCs w:val="22"/>
              </w:rPr>
              <w:t>0</w:t>
            </w:r>
          </w:p>
        </w:tc>
        <w:tc>
          <w:tcPr>
            <w:tcW w:w="2340" w:type="dxa"/>
            <w:tcBorders>
              <w:top w:val="single" w:sz="8" w:space="0" w:color="auto"/>
              <w:left w:val="nil"/>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410</w:t>
            </w:r>
          </w:p>
        </w:tc>
      </w:tr>
      <w:tr w:rsidR="000C1102" w:rsidRPr="003E4D61" w:rsidTr="000961E4">
        <w:trPr>
          <w:trHeight w:val="264"/>
        </w:trPr>
        <w:tc>
          <w:tcPr>
            <w:tcW w:w="1800" w:type="dxa"/>
            <w:tcBorders>
              <w:top w:val="nil"/>
              <w:left w:val="single" w:sz="8" w:space="0" w:color="auto"/>
              <w:bottom w:val="single" w:sz="4" w:space="0" w:color="auto"/>
              <w:right w:val="nil"/>
            </w:tcBorders>
            <w:noWrap/>
            <w:vAlign w:val="bottom"/>
          </w:tcPr>
          <w:p w:rsidR="000C1102" w:rsidRPr="003E4D61" w:rsidRDefault="000C1102" w:rsidP="000961E4">
            <w:pPr>
              <w:rPr>
                <w:b/>
                <w:bCs/>
                <w:szCs w:val="22"/>
              </w:rPr>
            </w:pPr>
            <w:r w:rsidRPr="003E4D61">
              <w:rPr>
                <w:b/>
                <w:bCs/>
                <w:szCs w:val="22"/>
              </w:rPr>
              <w:t>Limburg</w:t>
            </w:r>
          </w:p>
        </w:tc>
        <w:tc>
          <w:tcPr>
            <w:tcW w:w="960" w:type="dxa"/>
            <w:tcBorders>
              <w:top w:val="nil"/>
              <w:left w:val="single" w:sz="8"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90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20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70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50</w:t>
            </w:r>
          </w:p>
        </w:tc>
        <w:tc>
          <w:tcPr>
            <w:tcW w:w="1032" w:type="dxa"/>
            <w:tcBorders>
              <w:top w:val="nil"/>
              <w:left w:val="nil"/>
              <w:bottom w:val="single" w:sz="4" w:space="0" w:color="auto"/>
              <w:right w:val="single" w:sz="8" w:space="0" w:color="auto"/>
            </w:tcBorders>
            <w:noWrap/>
            <w:vAlign w:val="bottom"/>
          </w:tcPr>
          <w:p w:rsidR="000C1102" w:rsidRPr="003E4D61" w:rsidRDefault="000C1102" w:rsidP="000961E4">
            <w:pPr>
              <w:jc w:val="right"/>
              <w:rPr>
                <w:szCs w:val="22"/>
              </w:rPr>
            </w:pPr>
            <w:r w:rsidRPr="003E4D61">
              <w:rPr>
                <w:szCs w:val="22"/>
              </w:rPr>
              <w:t>80</w:t>
            </w:r>
          </w:p>
        </w:tc>
        <w:tc>
          <w:tcPr>
            <w:tcW w:w="2340" w:type="dxa"/>
            <w:tcBorders>
              <w:top w:val="nil"/>
              <w:left w:val="nil"/>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310</w:t>
            </w:r>
          </w:p>
        </w:tc>
      </w:tr>
      <w:tr w:rsidR="000C1102" w:rsidRPr="003E4D61" w:rsidTr="000961E4">
        <w:trPr>
          <w:trHeight w:val="264"/>
        </w:trPr>
        <w:tc>
          <w:tcPr>
            <w:tcW w:w="1800" w:type="dxa"/>
            <w:tcBorders>
              <w:top w:val="nil"/>
              <w:left w:val="single" w:sz="8" w:space="0" w:color="auto"/>
              <w:bottom w:val="single" w:sz="4" w:space="0" w:color="auto"/>
              <w:right w:val="nil"/>
            </w:tcBorders>
            <w:noWrap/>
            <w:vAlign w:val="bottom"/>
          </w:tcPr>
          <w:p w:rsidR="000C1102" w:rsidRPr="003E4D61" w:rsidRDefault="000C1102" w:rsidP="000961E4">
            <w:pPr>
              <w:rPr>
                <w:b/>
                <w:bCs/>
                <w:szCs w:val="22"/>
              </w:rPr>
            </w:pPr>
            <w:r w:rsidRPr="003E4D61">
              <w:rPr>
                <w:b/>
                <w:bCs/>
                <w:szCs w:val="22"/>
              </w:rPr>
              <w:t>Oost-Vlaanderen</w:t>
            </w:r>
          </w:p>
        </w:tc>
        <w:tc>
          <w:tcPr>
            <w:tcW w:w="960" w:type="dxa"/>
            <w:tcBorders>
              <w:top w:val="nil"/>
              <w:left w:val="single" w:sz="8"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60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120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-30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190</w:t>
            </w:r>
          </w:p>
        </w:tc>
        <w:tc>
          <w:tcPr>
            <w:tcW w:w="1032" w:type="dxa"/>
            <w:tcBorders>
              <w:top w:val="nil"/>
              <w:left w:val="nil"/>
              <w:bottom w:val="single" w:sz="4" w:space="0" w:color="auto"/>
              <w:right w:val="single" w:sz="8" w:space="0" w:color="auto"/>
            </w:tcBorders>
            <w:noWrap/>
            <w:vAlign w:val="bottom"/>
          </w:tcPr>
          <w:p w:rsidR="000C1102" w:rsidRPr="003E4D61" w:rsidRDefault="000C1102" w:rsidP="000961E4">
            <w:pPr>
              <w:jc w:val="right"/>
              <w:rPr>
                <w:szCs w:val="22"/>
              </w:rPr>
            </w:pPr>
            <w:r w:rsidRPr="003E4D61">
              <w:rPr>
                <w:szCs w:val="22"/>
              </w:rPr>
              <w:t>0</w:t>
            </w:r>
          </w:p>
        </w:tc>
        <w:tc>
          <w:tcPr>
            <w:tcW w:w="2340" w:type="dxa"/>
            <w:tcBorders>
              <w:top w:val="nil"/>
              <w:left w:val="nil"/>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340</w:t>
            </w:r>
          </w:p>
        </w:tc>
      </w:tr>
      <w:tr w:rsidR="000C1102" w:rsidRPr="003E4D61" w:rsidTr="000961E4">
        <w:trPr>
          <w:trHeight w:val="264"/>
        </w:trPr>
        <w:tc>
          <w:tcPr>
            <w:tcW w:w="1800" w:type="dxa"/>
            <w:tcBorders>
              <w:top w:val="nil"/>
              <w:left w:val="single" w:sz="8" w:space="0" w:color="auto"/>
              <w:bottom w:val="single" w:sz="4" w:space="0" w:color="auto"/>
              <w:right w:val="nil"/>
            </w:tcBorders>
            <w:noWrap/>
            <w:vAlign w:val="bottom"/>
          </w:tcPr>
          <w:p w:rsidR="000C1102" w:rsidRPr="003E4D61" w:rsidRDefault="000C1102" w:rsidP="000961E4">
            <w:pPr>
              <w:rPr>
                <w:b/>
                <w:bCs/>
                <w:szCs w:val="22"/>
              </w:rPr>
            </w:pPr>
            <w:r w:rsidRPr="003E4D61">
              <w:rPr>
                <w:b/>
                <w:bCs/>
                <w:szCs w:val="22"/>
              </w:rPr>
              <w:t>Vlaams-Brabant</w:t>
            </w:r>
          </w:p>
        </w:tc>
        <w:tc>
          <w:tcPr>
            <w:tcW w:w="960" w:type="dxa"/>
            <w:tcBorders>
              <w:top w:val="nil"/>
              <w:left w:val="single" w:sz="8"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20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70</w:t>
            </w:r>
          </w:p>
        </w:tc>
        <w:tc>
          <w:tcPr>
            <w:tcW w:w="960"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1032" w:type="dxa"/>
            <w:tcBorders>
              <w:top w:val="nil"/>
              <w:left w:val="nil"/>
              <w:bottom w:val="single" w:sz="4" w:space="0" w:color="auto"/>
              <w:right w:val="single" w:sz="8" w:space="0" w:color="auto"/>
            </w:tcBorders>
            <w:noWrap/>
            <w:vAlign w:val="bottom"/>
          </w:tcPr>
          <w:p w:rsidR="000C1102" w:rsidRPr="003E4D61" w:rsidRDefault="000C1102" w:rsidP="000961E4">
            <w:pPr>
              <w:jc w:val="right"/>
              <w:rPr>
                <w:szCs w:val="22"/>
              </w:rPr>
            </w:pPr>
            <w:r w:rsidRPr="003E4D61">
              <w:rPr>
                <w:szCs w:val="22"/>
              </w:rPr>
              <w:t>0</w:t>
            </w:r>
          </w:p>
        </w:tc>
        <w:tc>
          <w:tcPr>
            <w:tcW w:w="2340" w:type="dxa"/>
            <w:tcBorders>
              <w:top w:val="nil"/>
              <w:left w:val="nil"/>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90</w:t>
            </w:r>
          </w:p>
        </w:tc>
      </w:tr>
      <w:tr w:rsidR="000C1102" w:rsidRPr="003E4D61" w:rsidTr="000961E4">
        <w:trPr>
          <w:trHeight w:val="276"/>
        </w:trPr>
        <w:tc>
          <w:tcPr>
            <w:tcW w:w="1800" w:type="dxa"/>
            <w:tcBorders>
              <w:top w:val="nil"/>
              <w:left w:val="single" w:sz="8" w:space="0" w:color="auto"/>
              <w:bottom w:val="single" w:sz="8" w:space="0" w:color="auto"/>
              <w:right w:val="nil"/>
            </w:tcBorders>
            <w:noWrap/>
            <w:vAlign w:val="bottom"/>
          </w:tcPr>
          <w:p w:rsidR="000C1102" w:rsidRPr="003E4D61" w:rsidRDefault="000C1102" w:rsidP="000961E4">
            <w:pPr>
              <w:rPr>
                <w:b/>
                <w:bCs/>
                <w:szCs w:val="22"/>
              </w:rPr>
            </w:pPr>
            <w:r w:rsidRPr="003E4D61">
              <w:rPr>
                <w:b/>
                <w:bCs/>
                <w:szCs w:val="22"/>
              </w:rPr>
              <w:t>West-Vlaanderen</w:t>
            </w:r>
          </w:p>
        </w:tc>
        <w:tc>
          <w:tcPr>
            <w:tcW w:w="960" w:type="dxa"/>
            <w:tcBorders>
              <w:top w:val="nil"/>
              <w:left w:val="single" w:sz="8" w:space="0" w:color="auto"/>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80</w:t>
            </w:r>
          </w:p>
        </w:tc>
        <w:tc>
          <w:tcPr>
            <w:tcW w:w="960" w:type="dxa"/>
            <w:tcBorders>
              <w:top w:val="nil"/>
              <w:left w:val="nil"/>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70</w:t>
            </w:r>
          </w:p>
        </w:tc>
        <w:tc>
          <w:tcPr>
            <w:tcW w:w="960" w:type="dxa"/>
            <w:tcBorders>
              <w:top w:val="nil"/>
              <w:left w:val="nil"/>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220</w:t>
            </w:r>
          </w:p>
        </w:tc>
        <w:tc>
          <w:tcPr>
            <w:tcW w:w="960" w:type="dxa"/>
            <w:tcBorders>
              <w:top w:val="nil"/>
              <w:left w:val="nil"/>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140</w:t>
            </w:r>
          </w:p>
        </w:tc>
        <w:tc>
          <w:tcPr>
            <w:tcW w:w="1032" w:type="dxa"/>
            <w:tcBorders>
              <w:top w:val="nil"/>
              <w:left w:val="nil"/>
              <w:bottom w:val="single" w:sz="8" w:space="0" w:color="auto"/>
              <w:right w:val="single" w:sz="8" w:space="0" w:color="auto"/>
            </w:tcBorders>
            <w:noWrap/>
            <w:vAlign w:val="bottom"/>
          </w:tcPr>
          <w:p w:rsidR="000C1102" w:rsidRPr="003E4D61" w:rsidRDefault="000C1102" w:rsidP="000961E4">
            <w:pPr>
              <w:jc w:val="right"/>
              <w:rPr>
                <w:szCs w:val="22"/>
              </w:rPr>
            </w:pPr>
            <w:r w:rsidRPr="003E4D61">
              <w:rPr>
                <w:szCs w:val="22"/>
              </w:rPr>
              <w:t>0</w:t>
            </w:r>
          </w:p>
        </w:tc>
        <w:tc>
          <w:tcPr>
            <w:tcW w:w="2340" w:type="dxa"/>
            <w:tcBorders>
              <w:top w:val="nil"/>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510</w:t>
            </w:r>
          </w:p>
        </w:tc>
      </w:tr>
      <w:tr w:rsidR="000C1102" w:rsidRPr="003E4D61" w:rsidTr="000961E4">
        <w:trPr>
          <w:trHeight w:val="276"/>
        </w:trPr>
        <w:tc>
          <w:tcPr>
            <w:tcW w:w="1800" w:type="dxa"/>
            <w:tcBorders>
              <w:top w:val="single" w:sz="8" w:space="0" w:color="auto"/>
              <w:left w:val="single" w:sz="8" w:space="0" w:color="auto"/>
              <w:bottom w:val="single" w:sz="8" w:space="0" w:color="auto"/>
              <w:right w:val="nil"/>
            </w:tcBorders>
            <w:noWrap/>
            <w:vAlign w:val="bottom"/>
          </w:tcPr>
          <w:p w:rsidR="000C1102" w:rsidRPr="003E4D61" w:rsidRDefault="000C1102" w:rsidP="000961E4">
            <w:pPr>
              <w:rPr>
                <w:b/>
                <w:bCs/>
                <w:szCs w:val="22"/>
              </w:rPr>
            </w:pPr>
            <w:r w:rsidRPr="003E4D61">
              <w:rPr>
                <w:b/>
                <w:bCs/>
                <w:szCs w:val="22"/>
              </w:rPr>
              <w:t>TOTAAL</w:t>
            </w:r>
          </w:p>
        </w:tc>
        <w:tc>
          <w:tcPr>
            <w:tcW w:w="960" w:type="dxa"/>
            <w:tcBorders>
              <w:top w:val="single" w:sz="8" w:space="0" w:color="auto"/>
              <w:left w:val="single" w:sz="4" w:space="0" w:color="auto"/>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250</w:t>
            </w:r>
          </w:p>
        </w:tc>
        <w:tc>
          <w:tcPr>
            <w:tcW w:w="960"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340</w:t>
            </w:r>
          </w:p>
        </w:tc>
        <w:tc>
          <w:tcPr>
            <w:tcW w:w="960"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400</w:t>
            </w:r>
          </w:p>
        </w:tc>
        <w:tc>
          <w:tcPr>
            <w:tcW w:w="960"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590</w:t>
            </w:r>
          </w:p>
        </w:tc>
        <w:tc>
          <w:tcPr>
            <w:tcW w:w="1032"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80</w:t>
            </w:r>
          </w:p>
        </w:tc>
        <w:tc>
          <w:tcPr>
            <w:tcW w:w="2340"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1660</w:t>
            </w:r>
          </w:p>
        </w:tc>
      </w:tr>
    </w:tbl>
    <w:p w:rsidR="000C1102" w:rsidRDefault="000C1102" w:rsidP="0014373D">
      <w:pPr>
        <w:pStyle w:val="StandaardSV"/>
        <w:rPr>
          <w:lang w:val="nl-BE"/>
        </w:rPr>
      </w:pPr>
    </w:p>
    <w:p w:rsidR="000C1102" w:rsidRDefault="000C1102" w:rsidP="0014373D">
      <w:pPr>
        <w:pStyle w:val="StandaardSV"/>
        <w:ind w:left="360"/>
        <w:rPr>
          <w:lang w:val="nl-BE"/>
        </w:rPr>
      </w:pPr>
      <w:r>
        <w:rPr>
          <w:lang w:val="nl-BE"/>
        </w:rPr>
        <w:t>Op basis van een interne bevraging bij het Agentschap Ondernemen kan ik u meegeven dat h</w:t>
      </w:r>
      <w:r w:rsidRPr="00A44CA4">
        <w:rPr>
          <w:lang w:val="nl-BE"/>
        </w:rPr>
        <w:t xml:space="preserve">et GIS-bedrijventerreinen van het Agentschap Ondernemen de laatste vijf jaar nog niet gestructureerd bijhield welke bedrijventerreinen </w:t>
      </w:r>
      <w:r w:rsidRPr="00365177">
        <w:rPr>
          <w:i/>
          <w:lang w:val="nl-BE"/>
        </w:rPr>
        <w:t>'ontwikkeld'</w:t>
      </w:r>
      <w:r w:rsidRPr="00A44CA4">
        <w:rPr>
          <w:lang w:val="nl-BE"/>
        </w:rPr>
        <w:t xml:space="preserve"> werden. Wel wordt op perceels</w:t>
      </w:r>
      <w:r>
        <w:rPr>
          <w:lang w:val="nl-BE"/>
        </w:rPr>
        <w:softHyphen/>
      </w:r>
      <w:r w:rsidRPr="00A44CA4">
        <w:rPr>
          <w:lang w:val="nl-BE"/>
        </w:rPr>
        <w:t>niveau de bezetting bijgehouden en geïnventariseerd, maar de vergelijking maken tussen de GIS-inventaris vandaag en die van vijf jaar terug is niet mogelijk.</w:t>
      </w:r>
      <w:r>
        <w:rPr>
          <w:lang w:val="nl-BE"/>
        </w:rPr>
        <w:t xml:space="preserve"> </w:t>
      </w:r>
    </w:p>
    <w:p w:rsidR="000C1102" w:rsidRPr="00A44CA4" w:rsidRDefault="000C1102" w:rsidP="0014373D">
      <w:pPr>
        <w:pStyle w:val="StandaardSV"/>
        <w:ind w:left="360"/>
        <w:rPr>
          <w:color w:val="0000FF"/>
          <w:szCs w:val="22"/>
          <w:lang w:val="nl-BE"/>
        </w:rPr>
      </w:pPr>
      <w:r w:rsidRPr="00A44CA4">
        <w:rPr>
          <w:color w:val="000000"/>
          <w:szCs w:val="22"/>
          <w:lang w:val="nl-BE"/>
        </w:rPr>
        <w:t xml:space="preserve">In die zin  kan vanuit het Agentschap Ondernemen enkel een onvolledig antwoord gegeven worden, met name </w:t>
      </w:r>
      <w:r>
        <w:rPr>
          <w:color w:val="000000"/>
          <w:szCs w:val="22"/>
          <w:lang w:val="nl-BE"/>
        </w:rPr>
        <w:t>het aantal</w:t>
      </w:r>
      <w:r w:rsidRPr="00A44CA4">
        <w:rPr>
          <w:color w:val="000000"/>
          <w:szCs w:val="22"/>
          <w:lang w:val="nl-BE"/>
        </w:rPr>
        <w:t xml:space="preserve"> bedrijventerreinen waarvoor in de laatste vijf jaar een subsidie voor de ontwikkeling werd verleend. Dit zal in principe een onderschatting van de realiteit zijn, gezien niet alle ontwikkelaars een subsidie zullen aangevraagd hebben.</w:t>
      </w:r>
    </w:p>
    <w:p w:rsidR="000C1102" w:rsidRDefault="000C1102" w:rsidP="0014373D">
      <w:pPr>
        <w:ind w:firstLine="360"/>
        <w:rPr>
          <w:color w:val="000000"/>
          <w:szCs w:val="22"/>
          <w:lang w:val="nl-BE"/>
        </w:rPr>
      </w:pPr>
      <w:r w:rsidRPr="00A44CA4">
        <w:rPr>
          <w:color w:val="000000"/>
          <w:szCs w:val="22"/>
          <w:lang w:val="nl-BE"/>
        </w:rPr>
        <w:t>Hieronder een tabel met, zoals gevraagd, het aantal opgesplitst per jaar en per provincie.</w:t>
      </w:r>
    </w:p>
    <w:p w:rsidR="000C1102" w:rsidRPr="00A44CA4" w:rsidRDefault="000C1102" w:rsidP="0014373D">
      <w:pPr>
        <w:rPr>
          <w:color w:val="0000FF"/>
          <w:szCs w:val="22"/>
          <w:lang w:val="nl-B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0"/>
        <w:gridCol w:w="1102"/>
        <w:gridCol w:w="894"/>
        <w:gridCol w:w="1645"/>
        <w:gridCol w:w="1597"/>
        <w:gridCol w:w="1682"/>
      </w:tblGrid>
      <w:tr w:rsidR="000C1102" w:rsidRPr="00875C04" w:rsidTr="000961E4">
        <w:trPr>
          <w:tblHeader/>
          <w:tblCellSpacing w:w="0" w:type="dxa"/>
        </w:trPr>
        <w:tc>
          <w:tcPr>
            <w:tcW w:w="0" w:type="auto"/>
            <w:gridSpan w:val="6"/>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color w:val="000000"/>
                <w:szCs w:val="22"/>
                <w:lang w:val="nl-BE"/>
              </w:rPr>
            </w:pPr>
            <w:r w:rsidRPr="00875C04">
              <w:rPr>
                <w:b/>
                <w:bCs/>
                <w:color w:val="000000"/>
                <w:szCs w:val="22"/>
                <w:lang w:val="nl-BE"/>
              </w:rPr>
              <w:t>DIM_PROJECT_Kruistabel</w:t>
            </w:r>
          </w:p>
        </w:tc>
      </w:tr>
      <w:tr w:rsidR="000C1102" w:rsidRPr="00875C04" w:rsidTr="000961E4">
        <w:trPr>
          <w:tblHeader/>
          <w:tblCellSpacing w:w="0" w:type="dxa"/>
        </w:trPr>
        <w:tc>
          <w:tcPr>
            <w:tcW w:w="0" w:type="auto"/>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b/>
                <w:bCs/>
                <w:szCs w:val="22"/>
                <w:lang w:val="nl-BE"/>
              </w:rPr>
            </w:pPr>
            <w:r w:rsidRPr="00875C04">
              <w:rPr>
                <w:b/>
                <w:bCs/>
                <w:color w:val="000000"/>
                <w:szCs w:val="22"/>
                <w:lang w:val="nl-BE"/>
              </w:rPr>
              <w:t>Jaar</w:t>
            </w:r>
          </w:p>
        </w:tc>
        <w:tc>
          <w:tcPr>
            <w:tcW w:w="0" w:type="auto"/>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b/>
                <w:bCs/>
                <w:szCs w:val="22"/>
                <w:lang w:val="nl-BE"/>
              </w:rPr>
            </w:pPr>
            <w:r w:rsidRPr="00875C04">
              <w:rPr>
                <w:b/>
                <w:bCs/>
                <w:color w:val="000000"/>
                <w:szCs w:val="22"/>
                <w:lang w:val="nl-BE"/>
              </w:rPr>
              <w:t>Antwerpen</w:t>
            </w:r>
          </w:p>
        </w:tc>
        <w:tc>
          <w:tcPr>
            <w:tcW w:w="0" w:type="auto"/>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b/>
                <w:bCs/>
                <w:szCs w:val="22"/>
                <w:lang w:val="nl-BE"/>
              </w:rPr>
            </w:pPr>
            <w:r w:rsidRPr="00875C04">
              <w:rPr>
                <w:b/>
                <w:bCs/>
                <w:color w:val="000000"/>
                <w:szCs w:val="22"/>
                <w:lang w:val="nl-BE"/>
              </w:rPr>
              <w:t>Limburg</w:t>
            </w:r>
          </w:p>
        </w:tc>
        <w:tc>
          <w:tcPr>
            <w:tcW w:w="0" w:type="auto"/>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b/>
                <w:bCs/>
                <w:szCs w:val="22"/>
                <w:lang w:val="nl-BE"/>
              </w:rPr>
            </w:pPr>
            <w:r w:rsidRPr="00875C04">
              <w:rPr>
                <w:b/>
                <w:bCs/>
                <w:color w:val="000000"/>
                <w:szCs w:val="22"/>
                <w:lang w:val="nl-BE"/>
              </w:rPr>
              <w:t>Oost Vlaanderen</w:t>
            </w:r>
          </w:p>
        </w:tc>
        <w:tc>
          <w:tcPr>
            <w:tcW w:w="0" w:type="auto"/>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b/>
                <w:bCs/>
                <w:szCs w:val="22"/>
                <w:lang w:val="nl-BE"/>
              </w:rPr>
            </w:pPr>
            <w:r w:rsidRPr="00875C04">
              <w:rPr>
                <w:b/>
                <w:bCs/>
                <w:color w:val="000000"/>
                <w:szCs w:val="22"/>
                <w:lang w:val="nl-BE"/>
              </w:rPr>
              <w:t>Vlaams Brabant</w:t>
            </w:r>
          </w:p>
        </w:tc>
        <w:tc>
          <w:tcPr>
            <w:tcW w:w="0" w:type="auto"/>
            <w:tcMar>
              <w:top w:w="15" w:type="dxa"/>
              <w:left w:w="15" w:type="dxa"/>
              <w:bottom w:w="15" w:type="dxa"/>
              <w:right w:w="15" w:type="dxa"/>
            </w:tcMar>
            <w:vAlign w:val="center"/>
          </w:tcPr>
          <w:p w:rsidR="000C1102" w:rsidRPr="00875C04" w:rsidRDefault="000C1102" w:rsidP="000961E4">
            <w:pPr>
              <w:spacing w:before="100" w:beforeAutospacing="1" w:after="100" w:afterAutospacing="1"/>
              <w:jc w:val="center"/>
              <w:rPr>
                <w:b/>
                <w:bCs/>
                <w:szCs w:val="22"/>
                <w:lang w:val="nl-BE"/>
              </w:rPr>
            </w:pPr>
            <w:r w:rsidRPr="00875C04">
              <w:rPr>
                <w:b/>
                <w:bCs/>
                <w:color w:val="000000"/>
                <w:szCs w:val="22"/>
                <w:lang w:val="nl-BE"/>
              </w:rPr>
              <w:t>West Vlaanderen</w:t>
            </w:r>
          </w:p>
        </w:tc>
      </w:tr>
      <w:tr w:rsidR="000C1102" w:rsidRPr="00875C04" w:rsidTr="000961E4">
        <w:trPr>
          <w:tblCellSpacing w:w="0" w:type="dxa"/>
        </w:trPr>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rPr>
                <w:szCs w:val="22"/>
                <w:lang w:val="nl-BE"/>
              </w:rPr>
            </w:pPr>
            <w:r w:rsidRPr="00875C04">
              <w:rPr>
                <w:color w:val="000000"/>
                <w:szCs w:val="22"/>
                <w:lang w:val="nl-BE"/>
              </w:rPr>
              <w:t>2005</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5</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10</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1</w:t>
            </w:r>
          </w:p>
        </w:tc>
      </w:tr>
      <w:tr w:rsidR="000C1102" w:rsidRPr="00875C04" w:rsidTr="000961E4">
        <w:trPr>
          <w:tblCellSpacing w:w="0" w:type="dxa"/>
        </w:trPr>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rPr>
                <w:szCs w:val="22"/>
                <w:lang w:val="nl-BE"/>
              </w:rPr>
            </w:pPr>
            <w:r w:rsidRPr="00875C04">
              <w:rPr>
                <w:color w:val="000000"/>
                <w:szCs w:val="22"/>
                <w:lang w:val="nl-BE"/>
              </w:rPr>
              <w:t>2006</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4</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3</w:t>
            </w:r>
          </w:p>
        </w:tc>
      </w:tr>
      <w:tr w:rsidR="000C1102" w:rsidRPr="00875C04" w:rsidTr="000961E4">
        <w:trPr>
          <w:tblCellSpacing w:w="0" w:type="dxa"/>
        </w:trPr>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rPr>
                <w:szCs w:val="22"/>
                <w:lang w:val="nl-BE"/>
              </w:rPr>
            </w:pPr>
            <w:r w:rsidRPr="00875C04">
              <w:rPr>
                <w:color w:val="000000"/>
                <w:szCs w:val="22"/>
                <w:lang w:val="nl-BE"/>
              </w:rPr>
              <w:t>2007</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1</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1</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3</w:t>
            </w:r>
          </w:p>
        </w:tc>
      </w:tr>
      <w:tr w:rsidR="000C1102" w:rsidRPr="00875C04" w:rsidTr="000961E4">
        <w:trPr>
          <w:tblCellSpacing w:w="0" w:type="dxa"/>
        </w:trPr>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rPr>
                <w:szCs w:val="22"/>
                <w:lang w:val="nl-BE"/>
              </w:rPr>
            </w:pPr>
            <w:r w:rsidRPr="00875C04">
              <w:rPr>
                <w:color w:val="000000"/>
                <w:szCs w:val="22"/>
                <w:lang w:val="nl-BE"/>
              </w:rPr>
              <w:t>2008</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1</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4</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3</w:t>
            </w:r>
          </w:p>
        </w:tc>
      </w:tr>
      <w:tr w:rsidR="000C1102" w:rsidRPr="00A44CA4" w:rsidTr="000961E4">
        <w:trPr>
          <w:tblCellSpacing w:w="0" w:type="dxa"/>
        </w:trPr>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rPr>
                <w:szCs w:val="22"/>
                <w:lang w:val="nl-BE"/>
              </w:rPr>
            </w:pPr>
            <w:r w:rsidRPr="00875C04">
              <w:rPr>
                <w:color w:val="000000"/>
                <w:szCs w:val="22"/>
                <w:lang w:val="nl-BE"/>
              </w:rPr>
              <w:t>2009</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7</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3</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4</w:t>
            </w:r>
          </w:p>
        </w:tc>
        <w:tc>
          <w:tcPr>
            <w:tcW w:w="0" w:type="auto"/>
            <w:shd w:val="clear" w:color="auto" w:fill="FFFFFF"/>
            <w:tcMar>
              <w:top w:w="15" w:type="dxa"/>
              <w:left w:w="15" w:type="dxa"/>
              <w:bottom w:w="15" w:type="dxa"/>
              <w:right w:w="15" w:type="dxa"/>
            </w:tcMar>
          </w:tcPr>
          <w:p w:rsidR="000C1102" w:rsidRPr="00875C04" w:rsidRDefault="000C1102" w:rsidP="000961E4">
            <w:pPr>
              <w:spacing w:before="100" w:beforeAutospacing="1" w:after="100" w:afterAutospacing="1"/>
              <w:jc w:val="right"/>
              <w:rPr>
                <w:szCs w:val="22"/>
                <w:lang w:val="nl-BE"/>
              </w:rPr>
            </w:pPr>
            <w:r w:rsidRPr="00875C04">
              <w:rPr>
                <w:color w:val="000000"/>
                <w:szCs w:val="22"/>
                <w:lang w:val="nl-BE"/>
              </w:rPr>
              <w:t>2</w:t>
            </w:r>
          </w:p>
        </w:tc>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jc w:val="right"/>
              <w:rPr>
                <w:szCs w:val="22"/>
                <w:lang w:val="nl-BE"/>
              </w:rPr>
            </w:pPr>
            <w:r w:rsidRPr="00875C04">
              <w:rPr>
                <w:color w:val="000000"/>
                <w:szCs w:val="22"/>
                <w:lang w:val="nl-BE"/>
              </w:rPr>
              <w:t>2</w:t>
            </w:r>
          </w:p>
        </w:tc>
      </w:tr>
      <w:tr w:rsidR="000C1102" w:rsidRPr="00A44CA4" w:rsidTr="000961E4">
        <w:trPr>
          <w:tblCellSpacing w:w="0" w:type="dxa"/>
        </w:trPr>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rPr>
                <w:szCs w:val="22"/>
                <w:lang w:val="nl-BE"/>
              </w:rPr>
            </w:pPr>
            <w:r w:rsidRPr="00A44CA4">
              <w:rPr>
                <w:color w:val="000000"/>
                <w:szCs w:val="22"/>
                <w:lang w:val="nl-BE"/>
              </w:rPr>
              <w:t>2010</w:t>
            </w:r>
          </w:p>
        </w:tc>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jc w:val="right"/>
              <w:rPr>
                <w:szCs w:val="22"/>
                <w:lang w:val="nl-BE"/>
              </w:rPr>
            </w:pPr>
            <w:r w:rsidRPr="00A44CA4">
              <w:rPr>
                <w:color w:val="000000"/>
                <w:szCs w:val="22"/>
                <w:lang w:val="nl-BE"/>
              </w:rPr>
              <w:t>4</w:t>
            </w:r>
          </w:p>
        </w:tc>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jc w:val="right"/>
              <w:rPr>
                <w:szCs w:val="22"/>
                <w:lang w:val="nl-BE"/>
              </w:rPr>
            </w:pPr>
          </w:p>
        </w:tc>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jc w:val="right"/>
              <w:rPr>
                <w:szCs w:val="22"/>
                <w:lang w:val="nl-BE"/>
              </w:rPr>
            </w:pPr>
            <w:r w:rsidRPr="00A44CA4">
              <w:rPr>
                <w:color w:val="000000"/>
                <w:szCs w:val="22"/>
                <w:lang w:val="nl-BE"/>
              </w:rPr>
              <w:t>2</w:t>
            </w:r>
          </w:p>
        </w:tc>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jc w:val="right"/>
              <w:rPr>
                <w:szCs w:val="22"/>
                <w:lang w:val="nl-BE"/>
              </w:rPr>
            </w:pPr>
            <w:r w:rsidRPr="00A44CA4">
              <w:rPr>
                <w:color w:val="000000"/>
                <w:szCs w:val="22"/>
                <w:lang w:val="nl-BE"/>
              </w:rPr>
              <w:t>1</w:t>
            </w:r>
          </w:p>
        </w:tc>
        <w:tc>
          <w:tcPr>
            <w:tcW w:w="0" w:type="auto"/>
            <w:shd w:val="clear" w:color="auto" w:fill="FFFFFF"/>
            <w:tcMar>
              <w:top w:w="15" w:type="dxa"/>
              <w:left w:w="15" w:type="dxa"/>
              <w:bottom w:w="15" w:type="dxa"/>
              <w:right w:w="15" w:type="dxa"/>
            </w:tcMar>
          </w:tcPr>
          <w:p w:rsidR="000C1102" w:rsidRPr="00A44CA4" w:rsidRDefault="000C1102" w:rsidP="000961E4">
            <w:pPr>
              <w:spacing w:before="100" w:beforeAutospacing="1" w:after="100" w:afterAutospacing="1"/>
              <w:jc w:val="right"/>
              <w:rPr>
                <w:szCs w:val="22"/>
                <w:lang w:val="nl-BE"/>
              </w:rPr>
            </w:pPr>
            <w:r w:rsidRPr="00A44CA4">
              <w:rPr>
                <w:color w:val="000000"/>
                <w:szCs w:val="22"/>
                <w:lang w:val="nl-BE"/>
              </w:rPr>
              <w:t>2</w:t>
            </w:r>
          </w:p>
        </w:tc>
      </w:tr>
    </w:tbl>
    <w:p w:rsidR="000C1102" w:rsidRDefault="000C1102" w:rsidP="0014373D">
      <w:pPr>
        <w:pStyle w:val="StandaardSV"/>
        <w:rPr>
          <w:lang w:val="nl-BE"/>
        </w:rPr>
      </w:pPr>
    </w:p>
    <w:p w:rsidR="000C1102" w:rsidRDefault="000C1102" w:rsidP="0014373D">
      <w:pPr>
        <w:pStyle w:val="StandaardSV"/>
        <w:numPr>
          <w:ilvl w:val="0"/>
          <w:numId w:val="16"/>
        </w:numPr>
        <w:rPr>
          <w:lang w:val="nl-BE"/>
        </w:rPr>
      </w:pPr>
      <w:r>
        <w:rPr>
          <w:lang w:val="nl-BE"/>
        </w:rPr>
        <w:t xml:space="preserve">Op Vlaams niveau wordt geen systematisch overzicht bijgehouden met de mogelijkheden voor spoorontsluiting.  </w:t>
      </w:r>
    </w:p>
    <w:p w:rsidR="000C1102" w:rsidRPr="00CD1E5F" w:rsidRDefault="000C1102" w:rsidP="0014373D">
      <w:pPr>
        <w:pStyle w:val="StandaardSV"/>
        <w:ind w:left="360"/>
        <w:rPr>
          <w:szCs w:val="22"/>
          <w:lang w:val="nl-BE"/>
        </w:rPr>
      </w:pPr>
      <w:r>
        <w:rPr>
          <w:lang w:val="nl-BE"/>
        </w:rPr>
        <w:t>Om op deze vraag te kunnen antwoorden, heb ik daarom laten nagaan hoeveel hectaren bedrijventerreinen zich bevinden in een strook van 200m langs spoorwegen. Dit geeft mijns inziens een redelijke indicatie dat er een theoretische kans is op onmiddellijke aantakking op het spoor. Ik zeg wel degelijk “theoretische kans” omdat deze berekening uiteraard geen rekening houdt met de technische mogelijkheden om deze gebieden effectief op het spoor aan te takken. Dit kan enkel ingeschat worden door de beheerder van de spoorlijnen en op basis van de inrichting van het bedrijventerrein zelf.</w:t>
      </w:r>
      <w:r w:rsidRPr="00CD1E5F">
        <w:rPr>
          <w:szCs w:val="22"/>
          <w:lang w:val="nl-BE"/>
        </w:rPr>
        <w:t xml:space="preserve"> </w:t>
      </w:r>
      <w:r>
        <w:rPr>
          <w:szCs w:val="22"/>
        </w:rPr>
        <w:t>De strook van 200m</w:t>
      </w:r>
      <w:r w:rsidRPr="00CD1E5F">
        <w:rPr>
          <w:szCs w:val="22"/>
        </w:rPr>
        <w:t xml:space="preserve"> houdt ook geen rekening met eventuele hindernissen om tot de spoorweg te komen vanaf het bedrijventerrein (zo kan het bvb. zijn dat een bedrijventerrein wel binnen 200m van een spoorweg ligt, maar dat er nog een kanaal of een autosnelweg tussen het betrokken terrein en de spoorweg ligt).</w:t>
      </w:r>
      <w:r>
        <w:rPr>
          <w:szCs w:val="22"/>
        </w:rPr>
        <w:t xml:space="preserve"> </w:t>
      </w:r>
    </w:p>
    <w:p w:rsidR="000C1102" w:rsidRDefault="000C1102" w:rsidP="0014373D">
      <w:pPr>
        <w:pStyle w:val="StandaardSV"/>
        <w:rPr>
          <w:szCs w:val="22"/>
          <w:lang w:val="nl-BE"/>
        </w:rPr>
      </w:pPr>
    </w:p>
    <w:tbl>
      <w:tblPr>
        <w:tblW w:w="9012" w:type="dxa"/>
        <w:tblInd w:w="58" w:type="dxa"/>
        <w:tblCellMar>
          <w:left w:w="70" w:type="dxa"/>
          <w:right w:w="70" w:type="dxa"/>
        </w:tblCellMar>
        <w:tblLook w:val="0000"/>
      </w:tblPr>
      <w:tblGrid>
        <w:gridCol w:w="1800"/>
        <w:gridCol w:w="624"/>
        <w:gridCol w:w="624"/>
        <w:gridCol w:w="624"/>
        <w:gridCol w:w="876"/>
        <w:gridCol w:w="1705"/>
        <w:gridCol w:w="2759"/>
      </w:tblGrid>
      <w:tr w:rsidR="000C1102" w:rsidRPr="003E4D61" w:rsidTr="000961E4">
        <w:trPr>
          <w:trHeight w:val="264"/>
        </w:trPr>
        <w:tc>
          <w:tcPr>
            <w:tcW w:w="1800" w:type="dxa"/>
            <w:tcBorders>
              <w:top w:val="nil"/>
              <w:left w:val="nil"/>
              <w:bottom w:val="nil"/>
              <w:right w:val="nil"/>
            </w:tcBorders>
            <w:noWrap/>
            <w:vAlign w:val="bottom"/>
          </w:tcPr>
          <w:p w:rsidR="000C1102" w:rsidRPr="003E4D61" w:rsidRDefault="000C1102" w:rsidP="000961E4">
            <w:pPr>
              <w:rPr>
                <w:szCs w:val="22"/>
              </w:rPr>
            </w:pPr>
          </w:p>
        </w:tc>
        <w:tc>
          <w:tcPr>
            <w:tcW w:w="7212" w:type="dxa"/>
            <w:gridSpan w:val="6"/>
            <w:tcBorders>
              <w:top w:val="nil"/>
              <w:left w:val="nil"/>
              <w:bottom w:val="nil"/>
              <w:right w:val="nil"/>
            </w:tcBorders>
            <w:vAlign w:val="bottom"/>
          </w:tcPr>
          <w:p w:rsidR="000C1102" w:rsidRPr="003E4D61" w:rsidRDefault="000C1102" w:rsidP="000961E4">
            <w:pPr>
              <w:rPr>
                <w:b/>
                <w:bCs/>
                <w:szCs w:val="22"/>
              </w:rPr>
            </w:pPr>
            <w:r w:rsidRPr="003E4D61">
              <w:rPr>
                <w:b/>
                <w:bCs/>
                <w:szCs w:val="22"/>
              </w:rPr>
              <w:t xml:space="preserve">evolutie industrie binnen </w:t>
            </w:r>
            <w:smartTag w:uri="urn:schemas-microsoft-com:office:smarttags" w:element="metricconverter">
              <w:smartTagPr>
                <w:attr w:name="ProductID" w:val="200 meter"/>
              </w:smartTagPr>
              <w:r w:rsidRPr="003E4D61">
                <w:rPr>
                  <w:b/>
                  <w:bCs/>
                  <w:szCs w:val="22"/>
                </w:rPr>
                <w:t>200 meter</w:t>
              </w:r>
            </w:smartTag>
            <w:r w:rsidRPr="003E4D61">
              <w:rPr>
                <w:b/>
                <w:bCs/>
                <w:szCs w:val="22"/>
              </w:rPr>
              <w:t xml:space="preserve"> van een spoorontsluiting</w:t>
            </w:r>
          </w:p>
        </w:tc>
      </w:tr>
      <w:tr w:rsidR="000C1102" w:rsidRPr="003E4D61" w:rsidTr="000961E4">
        <w:trPr>
          <w:trHeight w:val="264"/>
        </w:trPr>
        <w:tc>
          <w:tcPr>
            <w:tcW w:w="1800" w:type="dxa"/>
            <w:tcBorders>
              <w:top w:val="nil"/>
              <w:left w:val="nil"/>
              <w:bottom w:val="nil"/>
              <w:right w:val="nil"/>
            </w:tcBorders>
            <w:noWrap/>
            <w:vAlign w:val="bottom"/>
          </w:tcPr>
          <w:p w:rsidR="000C1102" w:rsidRPr="003E4D61" w:rsidRDefault="000C1102" w:rsidP="000961E4">
            <w:pPr>
              <w:rPr>
                <w:szCs w:val="22"/>
              </w:rPr>
            </w:pPr>
          </w:p>
        </w:tc>
        <w:tc>
          <w:tcPr>
            <w:tcW w:w="4453" w:type="dxa"/>
            <w:gridSpan w:val="5"/>
            <w:tcBorders>
              <w:top w:val="nil"/>
              <w:left w:val="nil"/>
              <w:bottom w:val="nil"/>
              <w:right w:val="nil"/>
            </w:tcBorders>
            <w:vAlign w:val="bottom"/>
          </w:tcPr>
          <w:p w:rsidR="000C1102" w:rsidRPr="003E4D61" w:rsidRDefault="000C1102" w:rsidP="000961E4">
            <w:pPr>
              <w:rPr>
                <w:b/>
                <w:bCs/>
                <w:szCs w:val="22"/>
              </w:rPr>
            </w:pPr>
            <w:r w:rsidRPr="003E4D61">
              <w:rPr>
                <w:b/>
                <w:bCs/>
                <w:szCs w:val="22"/>
              </w:rPr>
              <w:t>weergave in hectare</w:t>
            </w:r>
            <w:r>
              <w:rPr>
                <w:b/>
                <w:bCs/>
                <w:szCs w:val="22"/>
              </w:rPr>
              <w:t>:</w:t>
            </w:r>
          </w:p>
        </w:tc>
        <w:tc>
          <w:tcPr>
            <w:tcW w:w="2759" w:type="dxa"/>
            <w:tcBorders>
              <w:top w:val="nil"/>
              <w:left w:val="nil"/>
              <w:bottom w:val="nil"/>
              <w:right w:val="nil"/>
            </w:tcBorders>
            <w:vAlign w:val="bottom"/>
          </w:tcPr>
          <w:p w:rsidR="000C1102" w:rsidRPr="003E4D61" w:rsidRDefault="000C1102" w:rsidP="000961E4">
            <w:pPr>
              <w:rPr>
                <w:szCs w:val="22"/>
              </w:rPr>
            </w:pPr>
          </w:p>
        </w:tc>
      </w:tr>
      <w:tr w:rsidR="000C1102" w:rsidRPr="003E4D61" w:rsidTr="00402F6A">
        <w:trPr>
          <w:trHeight w:val="276"/>
        </w:trPr>
        <w:tc>
          <w:tcPr>
            <w:tcW w:w="1800" w:type="dxa"/>
            <w:tcBorders>
              <w:top w:val="nil"/>
              <w:left w:val="nil"/>
              <w:bottom w:val="nil"/>
              <w:right w:val="nil"/>
            </w:tcBorders>
            <w:noWrap/>
            <w:vAlign w:val="bottom"/>
          </w:tcPr>
          <w:p w:rsidR="000C1102" w:rsidRPr="003E4D61" w:rsidRDefault="000C1102" w:rsidP="000961E4">
            <w:pPr>
              <w:rPr>
                <w:szCs w:val="22"/>
              </w:rPr>
            </w:pPr>
          </w:p>
        </w:tc>
        <w:tc>
          <w:tcPr>
            <w:tcW w:w="624" w:type="dxa"/>
            <w:tcBorders>
              <w:top w:val="single" w:sz="8" w:space="0" w:color="auto"/>
              <w:left w:val="single" w:sz="8" w:space="0" w:color="auto"/>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2006</w:t>
            </w:r>
          </w:p>
        </w:tc>
        <w:tc>
          <w:tcPr>
            <w:tcW w:w="624"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2007</w:t>
            </w:r>
          </w:p>
        </w:tc>
        <w:tc>
          <w:tcPr>
            <w:tcW w:w="624"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2008</w:t>
            </w:r>
          </w:p>
        </w:tc>
        <w:tc>
          <w:tcPr>
            <w:tcW w:w="876"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2009</w:t>
            </w:r>
          </w:p>
        </w:tc>
        <w:tc>
          <w:tcPr>
            <w:tcW w:w="1705"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rPr>
                <w:b/>
                <w:bCs/>
                <w:szCs w:val="22"/>
              </w:rPr>
            </w:pPr>
            <w:r w:rsidRPr="003E4D61">
              <w:rPr>
                <w:b/>
                <w:bCs/>
                <w:szCs w:val="22"/>
              </w:rPr>
              <w:t>2010 (tot 31/08)</w:t>
            </w:r>
          </w:p>
        </w:tc>
        <w:tc>
          <w:tcPr>
            <w:tcW w:w="2759" w:type="dxa"/>
            <w:tcBorders>
              <w:top w:val="single" w:sz="8" w:space="0" w:color="auto"/>
              <w:left w:val="nil"/>
              <w:bottom w:val="nil"/>
              <w:right w:val="single" w:sz="8" w:space="0" w:color="auto"/>
            </w:tcBorders>
            <w:noWrap/>
            <w:vAlign w:val="bottom"/>
          </w:tcPr>
          <w:p w:rsidR="000C1102" w:rsidRPr="003E4D61" w:rsidRDefault="000C1102" w:rsidP="000961E4">
            <w:pPr>
              <w:rPr>
                <w:b/>
                <w:bCs/>
                <w:szCs w:val="22"/>
              </w:rPr>
            </w:pPr>
            <w:r w:rsidRPr="003E4D61">
              <w:rPr>
                <w:b/>
                <w:bCs/>
                <w:szCs w:val="22"/>
              </w:rPr>
              <w:t>periode 01/01/2006 - 31/08/2010</w:t>
            </w:r>
          </w:p>
        </w:tc>
      </w:tr>
      <w:tr w:rsidR="000C1102" w:rsidRPr="003E4D61" w:rsidTr="00402F6A">
        <w:trPr>
          <w:trHeight w:val="264"/>
        </w:trPr>
        <w:tc>
          <w:tcPr>
            <w:tcW w:w="1800" w:type="dxa"/>
            <w:tcBorders>
              <w:top w:val="single" w:sz="8" w:space="0" w:color="auto"/>
              <w:left w:val="single" w:sz="8" w:space="0" w:color="auto"/>
              <w:bottom w:val="single" w:sz="4" w:space="0" w:color="auto"/>
              <w:right w:val="single" w:sz="8" w:space="0" w:color="auto"/>
            </w:tcBorders>
            <w:noWrap/>
            <w:vAlign w:val="bottom"/>
          </w:tcPr>
          <w:p w:rsidR="000C1102" w:rsidRPr="003E4D61" w:rsidRDefault="000C1102" w:rsidP="000961E4">
            <w:pPr>
              <w:rPr>
                <w:b/>
                <w:bCs/>
                <w:szCs w:val="22"/>
              </w:rPr>
            </w:pPr>
            <w:r w:rsidRPr="003E4D61">
              <w:rPr>
                <w:b/>
                <w:bCs/>
                <w:szCs w:val="22"/>
              </w:rPr>
              <w:t>Antwerpen</w:t>
            </w:r>
          </w:p>
        </w:tc>
        <w:tc>
          <w:tcPr>
            <w:tcW w:w="624" w:type="dxa"/>
            <w:tcBorders>
              <w:top w:val="nil"/>
              <w:left w:val="single" w:sz="4"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-20</w:t>
            </w:r>
          </w:p>
        </w:tc>
        <w:tc>
          <w:tcPr>
            <w:tcW w:w="876"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70</w:t>
            </w:r>
          </w:p>
        </w:tc>
        <w:tc>
          <w:tcPr>
            <w:tcW w:w="1705"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2759" w:type="dxa"/>
            <w:tcBorders>
              <w:top w:val="single" w:sz="8" w:space="0" w:color="auto"/>
              <w:left w:val="single" w:sz="8" w:space="0" w:color="auto"/>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50</w:t>
            </w:r>
          </w:p>
        </w:tc>
      </w:tr>
      <w:tr w:rsidR="000C1102" w:rsidRPr="003E4D61" w:rsidTr="00402F6A">
        <w:trPr>
          <w:trHeight w:val="264"/>
        </w:trPr>
        <w:tc>
          <w:tcPr>
            <w:tcW w:w="1800" w:type="dxa"/>
            <w:tcBorders>
              <w:top w:val="nil"/>
              <w:left w:val="single" w:sz="8" w:space="0" w:color="auto"/>
              <w:bottom w:val="single" w:sz="4" w:space="0" w:color="auto"/>
              <w:right w:val="single" w:sz="8" w:space="0" w:color="auto"/>
            </w:tcBorders>
            <w:noWrap/>
            <w:vAlign w:val="bottom"/>
          </w:tcPr>
          <w:p w:rsidR="000C1102" w:rsidRPr="003E4D61" w:rsidRDefault="000C1102" w:rsidP="000961E4">
            <w:pPr>
              <w:rPr>
                <w:b/>
                <w:bCs/>
                <w:szCs w:val="22"/>
              </w:rPr>
            </w:pPr>
            <w:r w:rsidRPr="003E4D61">
              <w:rPr>
                <w:b/>
                <w:bCs/>
                <w:szCs w:val="22"/>
              </w:rPr>
              <w:t>Limburg</w:t>
            </w:r>
          </w:p>
        </w:tc>
        <w:tc>
          <w:tcPr>
            <w:tcW w:w="624" w:type="dxa"/>
            <w:tcBorders>
              <w:top w:val="nil"/>
              <w:left w:val="single" w:sz="4"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876"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1705"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2759" w:type="dxa"/>
            <w:tcBorders>
              <w:top w:val="nil"/>
              <w:left w:val="single" w:sz="8" w:space="0" w:color="auto"/>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20</w:t>
            </w:r>
          </w:p>
        </w:tc>
      </w:tr>
      <w:tr w:rsidR="000C1102" w:rsidRPr="003E4D61" w:rsidTr="00402F6A">
        <w:trPr>
          <w:trHeight w:val="264"/>
        </w:trPr>
        <w:tc>
          <w:tcPr>
            <w:tcW w:w="1800" w:type="dxa"/>
            <w:tcBorders>
              <w:top w:val="nil"/>
              <w:left w:val="single" w:sz="8" w:space="0" w:color="auto"/>
              <w:bottom w:val="single" w:sz="4" w:space="0" w:color="auto"/>
              <w:right w:val="single" w:sz="8" w:space="0" w:color="auto"/>
            </w:tcBorders>
            <w:noWrap/>
            <w:vAlign w:val="bottom"/>
          </w:tcPr>
          <w:p w:rsidR="000C1102" w:rsidRPr="003E4D61" w:rsidRDefault="000C1102" w:rsidP="000961E4">
            <w:pPr>
              <w:rPr>
                <w:b/>
                <w:bCs/>
                <w:szCs w:val="22"/>
              </w:rPr>
            </w:pPr>
            <w:r w:rsidRPr="003E4D61">
              <w:rPr>
                <w:b/>
                <w:bCs/>
                <w:szCs w:val="22"/>
              </w:rPr>
              <w:t>Oost-Vlaanderen</w:t>
            </w:r>
          </w:p>
        </w:tc>
        <w:tc>
          <w:tcPr>
            <w:tcW w:w="624" w:type="dxa"/>
            <w:tcBorders>
              <w:top w:val="nil"/>
              <w:left w:val="single" w:sz="4"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10</w:t>
            </w:r>
          </w:p>
        </w:tc>
        <w:tc>
          <w:tcPr>
            <w:tcW w:w="876"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1705"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2759" w:type="dxa"/>
            <w:tcBorders>
              <w:top w:val="nil"/>
              <w:left w:val="single" w:sz="8" w:space="0" w:color="auto"/>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0</w:t>
            </w:r>
          </w:p>
        </w:tc>
      </w:tr>
      <w:tr w:rsidR="000C1102" w:rsidRPr="003E4D61" w:rsidTr="00402F6A">
        <w:trPr>
          <w:trHeight w:val="264"/>
        </w:trPr>
        <w:tc>
          <w:tcPr>
            <w:tcW w:w="1800" w:type="dxa"/>
            <w:tcBorders>
              <w:top w:val="nil"/>
              <w:left w:val="single" w:sz="8" w:space="0" w:color="auto"/>
              <w:bottom w:val="single" w:sz="4" w:space="0" w:color="auto"/>
              <w:right w:val="single" w:sz="8" w:space="0" w:color="auto"/>
            </w:tcBorders>
            <w:noWrap/>
            <w:vAlign w:val="bottom"/>
          </w:tcPr>
          <w:p w:rsidR="000C1102" w:rsidRPr="003E4D61" w:rsidRDefault="000C1102" w:rsidP="000961E4">
            <w:pPr>
              <w:rPr>
                <w:b/>
                <w:bCs/>
                <w:szCs w:val="22"/>
              </w:rPr>
            </w:pPr>
            <w:r w:rsidRPr="003E4D61">
              <w:rPr>
                <w:b/>
                <w:bCs/>
                <w:szCs w:val="22"/>
              </w:rPr>
              <w:t>Vlaams-Brabant</w:t>
            </w:r>
          </w:p>
        </w:tc>
        <w:tc>
          <w:tcPr>
            <w:tcW w:w="624" w:type="dxa"/>
            <w:tcBorders>
              <w:top w:val="nil"/>
              <w:left w:val="single" w:sz="4" w:space="0" w:color="auto"/>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4" w:space="0" w:color="auto"/>
              <w:right w:val="single" w:sz="4" w:space="0" w:color="auto"/>
            </w:tcBorders>
            <w:noWrap/>
            <w:vAlign w:val="bottom"/>
          </w:tcPr>
          <w:p w:rsidR="000C1102" w:rsidRPr="003E4D61" w:rsidRDefault="000C1102" w:rsidP="000961E4">
            <w:pPr>
              <w:jc w:val="right"/>
              <w:rPr>
                <w:szCs w:val="22"/>
              </w:rPr>
            </w:pPr>
            <w:r w:rsidRPr="003E4D61">
              <w:rPr>
                <w:szCs w:val="22"/>
              </w:rPr>
              <w:t>20</w:t>
            </w:r>
          </w:p>
        </w:tc>
        <w:tc>
          <w:tcPr>
            <w:tcW w:w="876"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1705" w:type="dxa"/>
            <w:tcBorders>
              <w:top w:val="nil"/>
              <w:left w:val="nil"/>
              <w:bottom w:val="single" w:sz="4" w:space="0" w:color="auto"/>
              <w:right w:val="nil"/>
            </w:tcBorders>
            <w:noWrap/>
            <w:vAlign w:val="bottom"/>
          </w:tcPr>
          <w:p w:rsidR="000C1102" w:rsidRPr="003E4D61" w:rsidRDefault="000C1102" w:rsidP="000961E4">
            <w:pPr>
              <w:jc w:val="right"/>
              <w:rPr>
                <w:szCs w:val="22"/>
              </w:rPr>
            </w:pPr>
            <w:r w:rsidRPr="003E4D61">
              <w:rPr>
                <w:szCs w:val="22"/>
              </w:rPr>
              <w:t>0</w:t>
            </w:r>
          </w:p>
        </w:tc>
        <w:tc>
          <w:tcPr>
            <w:tcW w:w="2759" w:type="dxa"/>
            <w:tcBorders>
              <w:top w:val="nil"/>
              <w:left w:val="single" w:sz="8" w:space="0" w:color="auto"/>
              <w:bottom w:val="single" w:sz="4"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20</w:t>
            </w:r>
          </w:p>
        </w:tc>
      </w:tr>
      <w:tr w:rsidR="000C1102" w:rsidRPr="003E4D61" w:rsidTr="00402F6A">
        <w:trPr>
          <w:trHeight w:val="276"/>
        </w:trPr>
        <w:tc>
          <w:tcPr>
            <w:tcW w:w="1800" w:type="dxa"/>
            <w:tcBorders>
              <w:top w:val="nil"/>
              <w:left w:val="single" w:sz="8" w:space="0" w:color="auto"/>
              <w:bottom w:val="single" w:sz="8" w:space="0" w:color="auto"/>
              <w:right w:val="single" w:sz="8" w:space="0" w:color="auto"/>
            </w:tcBorders>
            <w:noWrap/>
            <w:vAlign w:val="bottom"/>
          </w:tcPr>
          <w:p w:rsidR="000C1102" w:rsidRPr="003E4D61" w:rsidRDefault="000C1102" w:rsidP="000961E4">
            <w:pPr>
              <w:rPr>
                <w:b/>
                <w:bCs/>
                <w:szCs w:val="22"/>
              </w:rPr>
            </w:pPr>
            <w:r w:rsidRPr="003E4D61">
              <w:rPr>
                <w:b/>
                <w:bCs/>
                <w:szCs w:val="22"/>
              </w:rPr>
              <w:t>West-Vlaanderen</w:t>
            </w:r>
          </w:p>
        </w:tc>
        <w:tc>
          <w:tcPr>
            <w:tcW w:w="624" w:type="dxa"/>
            <w:tcBorders>
              <w:top w:val="nil"/>
              <w:left w:val="single" w:sz="4" w:space="0" w:color="auto"/>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0</w:t>
            </w:r>
          </w:p>
        </w:tc>
        <w:tc>
          <w:tcPr>
            <w:tcW w:w="624" w:type="dxa"/>
            <w:tcBorders>
              <w:top w:val="nil"/>
              <w:left w:val="nil"/>
              <w:bottom w:val="single" w:sz="8" w:space="0" w:color="auto"/>
              <w:right w:val="single" w:sz="4" w:space="0" w:color="auto"/>
            </w:tcBorders>
            <w:noWrap/>
            <w:vAlign w:val="bottom"/>
          </w:tcPr>
          <w:p w:rsidR="000C1102" w:rsidRPr="003E4D61" w:rsidRDefault="000C1102" w:rsidP="000961E4">
            <w:pPr>
              <w:jc w:val="right"/>
              <w:rPr>
                <w:szCs w:val="22"/>
              </w:rPr>
            </w:pPr>
            <w:r w:rsidRPr="003E4D61">
              <w:rPr>
                <w:szCs w:val="22"/>
              </w:rPr>
              <w:t>10</w:t>
            </w:r>
          </w:p>
        </w:tc>
        <w:tc>
          <w:tcPr>
            <w:tcW w:w="876" w:type="dxa"/>
            <w:tcBorders>
              <w:top w:val="nil"/>
              <w:left w:val="nil"/>
              <w:bottom w:val="single" w:sz="8" w:space="0" w:color="auto"/>
              <w:right w:val="nil"/>
            </w:tcBorders>
            <w:noWrap/>
            <w:vAlign w:val="bottom"/>
          </w:tcPr>
          <w:p w:rsidR="000C1102" w:rsidRPr="003E4D61" w:rsidRDefault="000C1102" w:rsidP="000961E4">
            <w:pPr>
              <w:jc w:val="right"/>
              <w:rPr>
                <w:szCs w:val="22"/>
              </w:rPr>
            </w:pPr>
            <w:r w:rsidRPr="003E4D61">
              <w:rPr>
                <w:szCs w:val="22"/>
              </w:rPr>
              <w:t>-30</w:t>
            </w:r>
          </w:p>
        </w:tc>
        <w:tc>
          <w:tcPr>
            <w:tcW w:w="1705" w:type="dxa"/>
            <w:tcBorders>
              <w:top w:val="nil"/>
              <w:left w:val="nil"/>
              <w:bottom w:val="single" w:sz="8" w:space="0" w:color="auto"/>
              <w:right w:val="nil"/>
            </w:tcBorders>
            <w:noWrap/>
            <w:vAlign w:val="bottom"/>
          </w:tcPr>
          <w:p w:rsidR="000C1102" w:rsidRPr="003E4D61" w:rsidRDefault="000C1102" w:rsidP="000961E4">
            <w:pPr>
              <w:jc w:val="right"/>
              <w:rPr>
                <w:szCs w:val="22"/>
              </w:rPr>
            </w:pPr>
            <w:r w:rsidRPr="003E4D61">
              <w:rPr>
                <w:szCs w:val="22"/>
              </w:rPr>
              <w:t>0</w:t>
            </w:r>
          </w:p>
        </w:tc>
        <w:tc>
          <w:tcPr>
            <w:tcW w:w="2759" w:type="dxa"/>
            <w:tcBorders>
              <w:top w:val="nil"/>
              <w:left w:val="single" w:sz="8" w:space="0" w:color="auto"/>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-20</w:t>
            </w:r>
          </w:p>
        </w:tc>
      </w:tr>
      <w:tr w:rsidR="000C1102" w:rsidRPr="003E4D61" w:rsidTr="00402F6A">
        <w:trPr>
          <w:trHeight w:val="276"/>
        </w:trPr>
        <w:tc>
          <w:tcPr>
            <w:tcW w:w="1800" w:type="dxa"/>
            <w:tcBorders>
              <w:top w:val="single" w:sz="8" w:space="0" w:color="auto"/>
              <w:left w:val="single" w:sz="8" w:space="0" w:color="auto"/>
              <w:bottom w:val="single" w:sz="8" w:space="0" w:color="auto"/>
              <w:right w:val="nil"/>
            </w:tcBorders>
            <w:noWrap/>
            <w:vAlign w:val="bottom"/>
          </w:tcPr>
          <w:p w:rsidR="000C1102" w:rsidRPr="003E4D61" w:rsidRDefault="000C1102" w:rsidP="000961E4">
            <w:pPr>
              <w:rPr>
                <w:b/>
                <w:bCs/>
                <w:szCs w:val="22"/>
              </w:rPr>
            </w:pPr>
            <w:r w:rsidRPr="003E4D61">
              <w:rPr>
                <w:b/>
                <w:bCs/>
                <w:szCs w:val="22"/>
              </w:rPr>
              <w:t>TOTAAL</w:t>
            </w:r>
          </w:p>
        </w:tc>
        <w:tc>
          <w:tcPr>
            <w:tcW w:w="624" w:type="dxa"/>
            <w:tcBorders>
              <w:top w:val="single" w:sz="8" w:space="0" w:color="auto"/>
              <w:left w:val="single" w:sz="4" w:space="0" w:color="auto"/>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10</w:t>
            </w:r>
          </w:p>
        </w:tc>
        <w:tc>
          <w:tcPr>
            <w:tcW w:w="624"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0</w:t>
            </w:r>
          </w:p>
        </w:tc>
        <w:tc>
          <w:tcPr>
            <w:tcW w:w="624" w:type="dxa"/>
            <w:tcBorders>
              <w:top w:val="single" w:sz="8" w:space="0" w:color="auto"/>
              <w:left w:val="nil"/>
              <w:bottom w:val="single" w:sz="8" w:space="0" w:color="auto"/>
              <w:right w:val="single" w:sz="4" w:space="0" w:color="auto"/>
            </w:tcBorders>
            <w:noWrap/>
            <w:vAlign w:val="bottom"/>
          </w:tcPr>
          <w:p w:rsidR="000C1102" w:rsidRPr="003E4D61" w:rsidRDefault="000C1102" w:rsidP="000961E4">
            <w:pPr>
              <w:jc w:val="right"/>
              <w:rPr>
                <w:b/>
                <w:bCs/>
                <w:szCs w:val="22"/>
              </w:rPr>
            </w:pPr>
            <w:r w:rsidRPr="003E4D61">
              <w:rPr>
                <w:b/>
                <w:bCs/>
                <w:szCs w:val="22"/>
              </w:rPr>
              <w:t>20</w:t>
            </w:r>
          </w:p>
        </w:tc>
        <w:tc>
          <w:tcPr>
            <w:tcW w:w="876"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40</w:t>
            </w:r>
          </w:p>
        </w:tc>
        <w:tc>
          <w:tcPr>
            <w:tcW w:w="1705"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0</w:t>
            </w:r>
          </w:p>
        </w:tc>
        <w:tc>
          <w:tcPr>
            <w:tcW w:w="2759" w:type="dxa"/>
            <w:tcBorders>
              <w:top w:val="single" w:sz="8" w:space="0" w:color="auto"/>
              <w:left w:val="nil"/>
              <w:bottom w:val="single" w:sz="8" w:space="0" w:color="auto"/>
              <w:right w:val="single" w:sz="8" w:space="0" w:color="auto"/>
            </w:tcBorders>
            <w:noWrap/>
            <w:vAlign w:val="bottom"/>
          </w:tcPr>
          <w:p w:rsidR="000C1102" w:rsidRPr="003E4D61" w:rsidRDefault="000C1102" w:rsidP="000961E4">
            <w:pPr>
              <w:jc w:val="right"/>
              <w:rPr>
                <w:b/>
                <w:bCs/>
                <w:szCs w:val="22"/>
              </w:rPr>
            </w:pPr>
            <w:r w:rsidRPr="003E4D61">
              <w:rPr>
                <w:b/>
                <w:bCs/>
                <w:szCs w:val="22"/>
              </w:rPr>
              <w:t>70</w:t>
            </w:r>
          </w:p>
        </w:tc>
      </w:tr>
    </w:tbl>
    <w:p w:rsidR="000C1102" w:rsidRPr="00A44CA4" w:rsidRDefault="000C1102" w:rsidP="0014373D">
      <w:pPr>
        <w:rPr>
          <w:color w:val="0000FF"/>
          <w:szCs w:val="22"/>
          <w:lang w:val="nl-BE"/>
        </w:rPr>
      </w:pPr>
    </w:p>
    <w:p w:rsidR="000C1102" w:rsidRPr="00A44CA4" w:rsidRDefault="000C1102" w:rsidP="0014373D">
      <w:pPr>
        <w:ind w:left="360"/>
        <w:jc w:val="both"/>
        <w:rPr>
          <w:szCs w:val="22"/>
        </w:rPr>
      </w:pPr>
      <w:r w:rsidRPr="00A44CA4">
        <w:rPr>
          <w:szCs w:val="22"/>
        </w:rPr>
        <w:t>Naast de zuiver kwantitatieve benadering waarbij per bedrijventerrein gekeken wordt of er een spoorlijn in de nabijheid ligt die aansluiting op het spoor mogelijk maakt, is het absoluut noodzakelijk ook een kwalitatieve benadering te volgen.</w:t>
      </w:r>
    </w:p>
    <w:p w:rsidR="000C1102" w:rsidRPr="00A44CA4" w:rsidRDefault="000C1102" w:rsidP="0014373D">
      <w:pPr>
        <w:ind w:left="360"/>
        <w:jc w:val="both"/>
        <w:rPr>
          <w:szCs w:val="22"/>
        </w:rPr>
      </w:pPr>
      <w:r w:rsidRPr="00A44CA4">
        <w:rPr>
          <w:szCs w:val="22"/>
        </w:rPr>
        <w:t>Het beleid van de Vlaamse overheid is er immers op gericht om de slimme logistiek</w:t>
      </w:r>
      <w:r>
        <w:rPr>
          <w:rStyle w:val="FootnoteReference"/>
          <w:szCs w:val="22"/>
        </w:rPr>
        <w:footnoteReference w:id="2"/>
      </w:r>
      <w:r w:rsidRPr="00A44CA4">
        <w:rPr>
          <w:szCs w:val="22"/>
        </w:rPr>
        <w:t xml:space="preserve"> uit te bouwen. Door centrale overslagpunten te genereren (hubs) waar voldoende kritische massa aan transportstromen samenkomt, kan immers een bundeling van goederenstromen gerealiseerd worden. Hierdoor kunnen ook bedrijven die zelf niet voldoende kritische massa aan transportstromen hebben hun goederenstromen multimodaal afwikkelen. Op dergelijke hubs kunnen bovendien allerlei bijkomende diensten aangeboden worden zoals de monitoring van de goederenstromen zodat just-in-time leveringen mogelijk zijn e.d.m. Het Vlaams Instituut voor de Logistiek heeft rond dit soort thema's al contractonderzoek en proefprojecten uitgevoerd.</w:t>
      </w:r>
    </w:p>
    <w:p w:rsidR="000C1102" w:rsidRPr="00A44CA4" w:rsidRDefault="000C1102" w:rsidP="0014373D">
      <w:pPr>
        <w:ind w:left="357"/>
        <w:jc w:val="both"/>
        <w:rPr>
          <w:szCs w:val="22"/>
        </w:rPr>
      </w:pPr>
      <w:r w:rsidRPr="00A44CA4">
        <w:rPr>
          <w:szCs w:val="22"/>
        </w:rPr>
        <w:t>Dergelijke overslagpunten op het spoor werden de voorbije jaren gecreëerd of uitgebouwd op verschillende plaatsen in Vlaanderen, telkens met financiële of andere ondersteuning van de Vlaamse overheid. Voorbeelden hiervan zijn:</w:t>
      </w:r>
    </w:p>
    <w:p w:rsidR="000C1102" w:rsidRPr="00A44CA4" w:rsidRDefault="000C1102" w:rsidP="0014373D">
      <w:pPr>
        <w:numPr>
          <w:ilvl w:val="0"/>
          <w:numId w:val="13"/>
        </w:numPr>
        <w:ind w:left="714" w:hanging="357"/>
        <w:jc w:val="both"/>
        <w:rPr>
          <w:szCs w:val="22"/>
        </w:rPr>
      </w:pPr>
      <w:r w:rsidRPr="00A44CA4">
        <w:rPr>
          <w:szCs w:val="22"/>
        </w:rPr>
        <w:t>Containerterminal in Meerhout langs het Albertkanaal: doortrekking spoorlijn tot aan de containerterminal met EFRO-steun</w:t>
      </w:r>
      <w:r>
        <w:rPr>
          <w:szCs w:val="22"/>
        </w:rPr>
        <w:t xml:space="preserve"> en het </w:t>
      </w:r>
      <w:r w:rsidRPr="00A44CA4">
        <w:rPr>
          <w:szCs w:val="22"/>
        </w:rPr>
        <w:t xml:space="preserve">creëren </w:t>
      </w:r>
      <w:r>
        <w:rPr>
          <w:szCs w:val="22"/>
        </w:rPr>
        <w:t xml:space="preserve">van </w:t>
      </w:r>
      <w:r w:rsidRPr="00A44CA4">
        <w:rPr>
          <w:szCs w:val="22"/>
        </w:rPr>
        <w:t xml:space="preserve">uitbreidingsruimte voor containerterminal via RUP Ham Zwartenhoek </w:t>
      </w:r>
    </w:p>
    <w:p w:rsidR="000C1102" w:rsidRPr="00A44CA4" w:rsidRDefault="000C1102" w:rsidP="0014373D">
      <w:pPr>
        <w:numPr>
          <w:ilvl w:val="0"/>
          <w:numId w:val="13"/>
        </w:numPr>
        <w:spacing w:before="100" w:beforeAutospacing="1" w:after="100" w:afterAutospacing="1"/>
        <w:jc w:val="both"/>
        <w:rPr>
          <w:szCs w:val="22"/>
        </w:rPr>
      </w:pPr>
      <w:r w:rsidRPr="00A44CA4">
        <w:rPr>
          <w:szCs w:val="22"/>
        </w:rPr>
        <w:t xml:space="preserve">Overslagpunt in Lanaken langs het Albertkanaal: nieuwe spoorterminal op bedrijventerrein met financiële ondersteuning van Vlaamse en Europese overheid </w:t>
      </w:r>
    </w:p>
    <w:p w:rsidR="000C1102" w:rsidRPr="00A44CA4" w:rsidRDefault="000C1102" w:rsidP="0014373D">
      <w:pPr>
        <w:numPr>
          <w:ilvl w:val="0"/>
          <w:numId w:val="13"/>
        </w:numPr>
        <w:spacing w:before="100" w:beforeAutospacing="1" w:after="100" w:afterAutospacing="1"/>
        <w:jc w:val="both"/>
        <w:rPr>
          <w:szCs w:val="22"/>
        </w:rPr>
      </w:pPr>
      <w:r w:rsidRPr="00A44CA4">
        <w:t>Overslagpunt op de transportzone LAR in het Kortrijkse langs de E17</w:t>
      </w:r>
    </w:p>
    <w:p w:rsidR="000C1102" w:rsidRDefault="000C1102" w:rsidP="0014373D">
      <w:pPr>
        <w:pStyle w:val="StandaardSV"/>
        <w:rPr>
          <w:lang w:val="nl-BE"/>
        </w:rPr>
      </w:pPr>
    </w:p>
    <w:p w:rsidR="000C1102" w:rsidRPr="002E380D" w:rsidRDefault="000C1102" w:rsidP="0014373D">
      <w:pPr>
        <w:numPr>
          <w:ilvl w:val="0"/>
          <w:numId w:val="16"/>
        </w:numPr>
        <w:jc w:val="both"/>
        <w:rPr>
          <w:szCs w:val="22"/>
        </w:rPr>
      </w:pPr>
      <w:r>
        <w:rPr>
          <w:szCs w:val="22"/>
        </w:rPr>
        <w:t xml:space="preserve">Bij de planning van bijkomende bedrijventerreinen is de mogelijkheid van een spoorontsluiting een bijzonder aandachtspunt. Het navolgende overzicht van planningsinitiatieven dient gelezen met het voorbehoud dat het onderzoek en procedures nog lopen. Het geeft geen inzicht in de uiteindelijke besluitvorming.  </w:t>
      </w:r>
    </w:p>
    <w:p w:rsidR="000C1102" w:rsidRDefault="000C1102" w:rsidP="0014373D">
      <w:pPr>
        <w:ind w:left="360"/>
        <w:jc w:val="both"/>
        <w:rPr>
          <w:szCs w:val="22"/>
        </w:rPr>
      </w:pPr>
      <w:r w:rsidRPr="002E380D">
        <w:rPr>
          <w:szCs w:val="22"/>
        </w:rPr>
        <w:t xml:space="preserve">Spoorontsluiting van bedrijventerreinen wordt </w:t>
      </w:r>
      <w:r>
        <w:rPr>
          <w:szCs w:val="22"/>
        </w:rPr>
        <w:t>voornamelijk onderzocht</w:t>
      </w:r>
      <w:r w:rsidRPr="002E380D">
        <w:rPr>
          <w:szCs w:val="22"/>
        </w:rPr>
        <w:t xml:space="preserve"> voor de regionale bedrijven</w:t>
      </w:r>
      <w:r>
        <w:rPr>
          <w:szCs w:val="22"/>
        </w:rPr>
        <w:softHyphen/>
      </w:r>
      <w:r w:rsidRPr="002E380D">
        <w:rPr>
          <w:szCs w:val="22"/>
        </w:rPr>
        <w:t xml:space="preserve">terreinen die worden </w:t>
      </w:r>
      <w:r>
        <w:rPr>
          <w:szCs w:val="22"/>
        </w:rPr>
        <w:t>bestemd</w:t>
      </w:r>
      <w:r w:rsidRPr="002E380D">
        <w:rPr>
          <w:szCs w:val="22"/>
        </w:rPr>
        <w:t xml:space="preserve"> door de </w:t>
      </w:r>
      <w:r>
        <w:rPr>
          <w:szCs w:val="22"/>
        </w:rPr>
        <w:t>provincies</w:t>
      </w:r>
      <w:r w:rsidRPr="002E380D">
        <w:rPr>
          <w:szCs w:val="22"/>
        </w:rPr>
        <w:t xml:space="preserve"> en de Vlaamse regering. Lokale bedrijventerreinen </w:t>
      </w:r>
      <w:r>
        <w:rPr>
          <w:szCs w:val="22"/>
        </w:rPr>
        <w:t>hebben in regel</w:t>
      </w:r>
      <w:r w:rsidRPr="002E380D">
        <w:rPr>
          <w:szCs w:val="22"/>
        </w:rPr>
        <w:t xml:space="preserve"> (omwille van de beperkte schaalgrootte van de bedrijven en het lokaal karakter) </w:t>
      </w:r>
      <w:r>
        <w:rPr>
          <w:szCs w:val="22"/>
        </w:rPr>
        <w:t>weinig potenties voor spoorontsluiting</w:t>
      </w:r>
      <w:r w:rsidRPr="002E380D">
        <w:rPr>
          <w:szCs w:val="22"/>
        </w:rPr>
        <w:t>.</w:t>
      </w:r>
    </w:p>
    <w:p w:rsidR="000C1102" w:rsidRDefault="000C1102" w:rsidP="0014373D">
      <w:pPr>
        <w:jc w:val="both"/>
        <w:rPr>
          <w:szCs w:val="22"/>
        </w:rPr>
      </w:pPr>
    </w:p>
    <w:p w:rsidR="000C1102" w:rsidRDefault="000C1102" w:rsidP="0014373D">
      <w:pPr>
        <w:pStyle w:val="StandaardSV"/>
        <w:ind w:left="360"/>
        <w:rPr>
          <w:lang w:val="nl-BE"/>
        </w:rPr>
      </w:pPr>
      <w:r>
        <w:rPr>
          <w:lang w:val="nl-BE"/>
        </w:rPr>
        <w:br w:type="page"/>
        <w:t xml:space="preserve">Opnieuw binnen een strook van 200m van een spoorlijn, kunnen volgende cijfers gegeven worden:  </w:t>
      </w:r>
    </w:p>
    <w:p w:rsidR="000C1102" w:rsidRDefault="000C1102" w:rsidP="0014373D">
      <w:pPr>
        <w:pStyle w:val="StandaardSV"/>
        <w:rPr>
          <w:lang w:val="nl-BE"/>
        </w:rPr>
      </w:pPr>
    </w:p>
    <w:tbl>
      <w:tblPr>
        <w:tblW w:w="595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0"/>
        <w:gridCol w:w="960"/>
        <w:gridCol w:w="1912"/>
      </w:tblGrid>
      <w:tr w:rsidR="000C1102" w:rsidRPr="00CD1E5F" w:rsidTr="000961E4">
        <w:trPr>
          <w:trHeight w:val="264"/>
        </w:trPr>
        <w:tc>
          <w:tcPr>
            <w:tcW w:w="3080" w:type="dxa"/>
            <w:noWrap/>
            <w:vAlign w:val="bottom"/>
          </w:tcPr>
          <w:p w:rsidR="000C1102" w:rsidRPr="00CD1E5F" w:rsidRDefault="000C1102" w:rsidP="000961E4">
            <w:pPr>
              <w:rPr>
                <w:szCs w:val="22"/>
              </w:rPr>
            </w:pPr>
          </w:p>
        </w:tc>
        <w:tc>
          <w:tcPr>
            <w:tcW w:w="960" w:type="dxa"/>
            <w:noWrap/>
            <w:vAlign w:val="bottom"/>
          </w:tcPr>
          <w:p w:rsidR="000C1102" w:rsidRPr="00CD1E5F" w:rsidRDefault="000C1102" w:rsidP="000961E4">
            <w:pPr>
              <w:rPr>
                <w:szCs w:val="22"/>
              </w:rPr>
            </w:pPr>
            <w:r w:rsidRPr="00CD1E5F">
              <w:rPr>
                <w:szCs w:val="22"/>
              </w:rPr>
              <w:t>totaal</w:t>
            </w:r>
          </w:p>
        </w:tc>
        <w:tc>
          <w:tcPr>
            <w:tcW w:w="1912" w:type="dxa"/>
            <w:noWrap/>
            <w:vAlign w:val="bottom"/>
          </w:tcPr>
          <w:p w:rsidR="000C1102" w:rsidRPr="00CD1E5F" w:rsidRDefault="000C1102" w:rsidP="000961E4">
            <w:pPr>
              <w:rPr>
                <w:szCs w:val="22"/>
              </w:rPr>
            </w:pPr>
            <w:r w:rsidRPr="00CD1E5F">
              <w:rPr>
                <w:szCs w:val="22"/>
              </w:rPr>
              <w:t>nabijheid spoorweg</w:t>
            </w:r>
          </w:p>
        </w:tc>
      </w:tr>
      <w:tr w:rsidR="000C1102" w:rsidRPr="00CD1E5F" w:rsidTr="000961E4">
        <w:trPr>
          <w:trHeight w:val="264"/>
        </w:trPr>
        <w:tc>
          <w:tcPr>
            <w:tcW w:w="3080" w:type="dxa"/>
            <w:noWrap/>
            <w:vAlign w:val="bottom"/>
          </w:tcPr>
          <w:p w:rsidR="000C1102" w:rsidRPr="00CD1E5F" w:rsidRDefault="000C1102" w:rsidP="000961E4">
            <w:pPr>
              <w:rPr>
                <w:szCs w:val="22"/>
              </w:rPr>
            </w:pPr>
            <w:r w:rsidRPr="00CD1E5F">
              <w:rPr>
                <w:szCs w:val="22"/>
              </w:rPr>
              <w:t>gewestelijke rup's in voorontwerp</w:t>
            </w:r>
          </w:p>
        </w:tc>
        <w:tc>
          <w:tcPr>
            <w:tcW w:w="960" w:type="dxa"/>
            <w:noWrap/>
            <w:vAlign w:val="bottom"/>
          </w:tcPr>
          <w:p w:rsidR="000C1102" w:rsidRPr="00CD1E5F" w:rsidRDefault="000C1102" w:rsidP="000961E4">
            <w:pPr>
              <w:rPr>
                <w:szCs w:val="22"/>
              </w:rPr>
            </w:pPr>
            <w:smartTag w:uri="urn:schemas-microsoft-com:office:smarttags" w:element="metricconverter">
              <w:smartTagPr>
                <w:attr w:name="ProductID" w:val="70 ha"/>
              </w:smartTagPr>
              <w:r w:rsidRPr="00CD1E5F">
                <w:rPr>
                  <w:szCs w:val="22"/>
                </w:rPr>
                <w:t>70 ha</w:t>
              </w:r>
            </w:smartTag>
          </w:p>
        </w:tc>
        <w:tc>
          <w:tcPr>
            <w:tcW w:w="1912" w:type="dxa"/>
            <w:noWrap/>
            <w:vAlign w:val="bottom"/>
          </w:tcPr>
          <w:p w:rsidR="000C1102" w:rsidRPr="00CD1E5F" w:rsidRDefault="000C1102" w:rsidP="000961E4">
            <w:pPr>
              <w:rPr>
                <w:szCs w:val="22"/>
              </w:rPr>
            </w:pPr>
            <w:smartTag w:uri="urn:schemas-microsoft-com:office:smarttags" w:element="metricconverter">
              <w:smartTagPr>
                <w:attr w:name="ProductID" w:val="0 ha"/>
              </w:smartTagPr>
              <w:r w:rsidRPr="00CD1E5F">
                <w:rPr>
                  <w:szCs w:val="22"/>
                </w:rPr>
                <w:t>0 ha</w:t>
              </w:r>
            </w:smartTag>
          </w:p>
        </w:tc>
      </w:tr>
      <w:tr w:rsidR="000C1102" w:rsidRPr="00CD1E5F" w:rsidTr="000961E4">
        <w:trPr>
          <w:trHeight w:val="264"/>
        </w:trPr>
        <w:tc>
          <w:tcPr>
            <w:tcW w:w="3080" w:type="dxa"/>
            <w:noWrap/>
            <w:vAlign w:val="bottom"/>
          </w:tcPr>
          <w:p w:rsidR="000C1102" w:rsidRPr="00CD1E5F" w:rsidRDefault="000C1102" w:rsidP="000961E4">
            <w:pPr>
              <w:rPr>
                <w:szCs w:val="22"/>
              </w:rPr>
            </w:pPr>
            <w:r w:rsidRPr="00CD1E5F">
              <w:rPr>
                <w:szCs w:val="22"/>
              </w:rPr>
              <w:t>gewestelijke rup's in ontwerp</w:t>
            </w:r>
          </w:p>
        </w:tc>
        <w:tc>
          <w:tcPr>
            <w:tcW w:w="960" w:type="dxa"/>
            <w:noWrap/>
            <w:vAlign w:val="bottom"/>
          </w:tcPr>
          <w:p w:rsidR="000C1102" w:rsidRPr="00CD1E5F" w:rsidRDefault="000C1102" w:rsidP="000961E4">
            <w:pPr>
              <w:rPr>
                <w:szCs w:val="22"/>
              </w:rPr>
            </w:pPr>
            <w:smartTag w:uri="urn:schemas-microsoft-com:office:smarttags" w:element="metricconverter">
              <w:smartTagPr>
                <w:attr w:name="ProductID" w:val="190 ha"/>
              </w:smartTagPr>
              <w:r w:rsidRPr="00CD1E5F">
                <w:rPr>
                  <w:szCs w:val="22"/>
                </w:rPr>
                <w:t>190 ha</w:t>
              </w:r>
            </w:smartTag>
          </w:p>
        </w:tc>
        <w:tc>
          <w:tcPr>
            <w:tcW w:w="1912" w:type="dxa"/>
            <w:noWrap/>
            <w:vAlign w:val="bottom"/>
          </w:tcPr>
          <w:p w:rsidR="000C1102" w:rsidRPr="00CD1E5F" w:rsidRDefault="000C1102" w:rsidP="000961E4">
            <w:pPr>
              <w:rPr>
                <w:szCs w:val="22"/>
              </w:rPr>
            </w:pPr>
            <w:smartTag w:uri="urn:schemas-microsoft-com:office:smarttags" w:element="metricconverter">
              <w:smartTagPr>
                <w:attr w:name="ProductID" w:val="100 ha"/>
              </w:smartTagPr>
              <w:r w:rsidRPr="00CD1E5F">
                <w:rPr>
                  <w:szCs w:val="22"/>
                </w:rPr>
                <w:t>100 ha</w:t>
              </w:r>
            </w:smartTag>
          </w:p>
        </w:tc>
      </w:tr>
    </w:tbl>
    <w:p w:rsidR="000C1102" w:rsidRPr="002E380D" w:rsidRDefault="000C1102" w:rsidP="0014373D">
      <w:pPr>
        <w:jc w:val="both"/>
        <w:rPr>
          <w:szCs w:val="22"/>
        </w:rPr>
      </w:pPr>
    </w:p>
    <w:p w:rsidR="000C1102" w:rsidRPr="002E380D" w:rsidRDefault="000C1102" w:rsidP="0014373D">
      <w:pPr>
        <w:ind w:left="360"/>
        <w:jc w:val="both"/>
        <w:rPr>
          <w:szCs w:val="22"/>
        </w:rPr>
      </w:pPr>
      <w:r w:rsidRPr="002E380D">
        <w:rPr>
          <w:szCs w:val="22"/>
        </w:rPr>
        <w:t xml:space="preserve">Voor de provincie Antwerpen kunnen volgende </w:t>
      </w:r>
      <w:r>
        <w:rPr>
          <w:szCs w:val="22"/>
        </w:rPr>
        <w:t xml:space="preserve">recent bestemde bedrijven en lopende planningsinitiatieven </w:t>
      </w:r>
      <w:r w:rsidRPr="002E380D">
        <w:rPr>
          <w:szCs w:val="22"/>
        </w:rPr>
        <w:t>vermeld worden:</w:t>
      </w:r>
    </w:p>
    <w:p w:rsidR="000C1102" w:rsidRPr="002E380D" w:rsidRDefault="000C1102" w:rsidP="0014373D">
      <w:pPr>
        <w:numPr>
          <w:ilvl w:val="0"/>
          <w:numId w:val="15"/>
        </w:numPr>
        <w:rPr>
          <w:szCs w:val="22"/>
        </w:rPr>
      </w:pPr>
      <w:r w:rsidRPr="002E380D">
        <w:rPr>
          <w:szCs w:val="22"/>
        </w:rPr>
        <w:t>binnen afbakening grootstedelijk gebied Antwerpen (gewestelijk RUP): Petroleum Zuid</w:t>
      </w:r>
    </w:p>
    <w:p w:rsidR="000C1102" w:rsidRPr="002E380D" w:rsidRDefault="000C1102" w:rsidP="0014373D">
      <w:pPr>
        <w:numPr>
          <w:ilvl w:val="0"/>
          <w:numId w:val="15"/>
        </w:numPr>
        <w:jc w:val="both"/>
        <w:rPr>
          <w:szCs w:val="22"/>
        </w:rPr>
      </w:pPr>
      <w:r w:rsidRPr="002E380D">
        <w:rPr>
          <w:szCs w:val="22"/>
        </w:rPr>
        <w:t>binnen afbakening regionaal stedelijk gebied Mechelen (gewestelijk RUP): Arsenaalsite (spoorweggebonden bedrijven)</w:t>
      </w:r>
    </w:p>
    <w:p w:rsidR="000C1102" w:rsidRDefault="000C1102" w:rsidP="0014373D">
      <w:pPr>
        <w:numPr>
          <w:ilvl w:val="0"/>
          <w:numId w:val="15"/>
        </w:numPr>
        <w:jc w:val="both"/>
        <w:rPr>
          <w:szCs w:val="22"/>
        </w:rPr>
      </w:pPr>
      <w:r w:rsidRPr="002E380D">
        <w:rPr>
          <w:szCs w:val="22"/>
        </w:rPr>
        <w:t>binnen Brabantse Poort (provinciale RUP’s): Krekelenberg + De Hulst + Willebroek Noord</w:t>
      </w:r>
    </w:p>
    <w:p w:rsidR="000C1102" w:rsidRDefault="000C1102" w:rsidP="0014373D">
      <w:pPr>
        <w:numPr>
          <w:ilvl w:val="0"/>
          <w:numId w:val="15"/>
        </w:numPr>
        <w:jc w:val="both"/>
        <w:rPr>
          <w:szCs w:val="22"/>
        </w:rPr>
      </w:pPr>
      <w:r>
        <w:rPr>
          <w:szCs w:val="22"/>
        </w:rPr>
        <w:t>Heirenbroek in Herentals</w:t>
      </w:r>
    </w:p>
    <w:p w:rsidR="000C1102" w:rsidRDefault="000C1102" w:rsidP="0014373D">
      <w:pPr>
        <w:numPr>
          <w:ilvl w:val="0"/>
          <w:numId w:val="15"/>
        </w:numPr>
        <w:jc w:val="both"/>
        <w:rPr>
          <w:szCs w:val="22"/>
        </w:rPr>
      </w:pPr>
      <w:r>
        <w:rPr>
          <w:szCs w:val="22"/>
        </w:rPr>
        <w:t>Onderzoek Wommelgem-Ranst</w:t>
      </w:r>
    </w:p>
    <w:p w:rsidR="000C1102" w:rsidRDefault="000C1102" w:rsidP="0014373D">
      <w:pPr>
        <w:numPr>
          <w:ilvl w:val="0"/>
          <w:numId w:val="15"/>
        </w:numPr>
        <w:jc w:val="both"/>
        <w:rPr>
          <w:szCs w:val="22"/>
        </w:rPr>
      </w:pPr>
      <w:r>
        <w:rPr>
          <w:szCs w:val="22"/>
        </w:rPr>
        <w:t>Veedijk in Tunhout waar een specifiek project werd uitgezet om het terrein te ontsluiten per spoor</w:t>
      </w:r>
    </w:p>
    <w:p w:rsidR="000C1102" w:rsidRPr="002E380D" w:rsidRDefault="000C1102" w:rsidP="0014373D">
      <w:pPr>
        <w:ind w:left="708"/>
        <w:jc w:val="both"/>
        <w:rPr>
          <w:szCs w:val="22"/>
        </w:rPr>
      </w:pPr>
    </w:p>
    <w:p w:rsidR="000C1102" w:rsidRPr="002E380D" w:rsidRDefault="000C1102" w:rsidP="0014373D">
      <w:pPr>
        <w:ind w:left="360"/>
        <w:jc w:val="both"/>
        <w:rPr>
          <w:szCs w:val="22"/>
        </w:rPr>
      </w:pPr>
      <w:r w:rsidRPr="002E380D">
        <w:rPr>
          <w:szCs w:val="22"/>
        </w:rPr>
        <w:t xml:space="preserve">In de provincie Limburg zijn er </w:t>
      </w:r>
      <w:r>
        <w:rPr>
          <w:szCs w:val="22"/>
        </w:rPr>
        <w:t xml:space="preserve">3 </w:t>
      </w:r>
      <w:r w:rsidRPr="002E380D">
        <w:rPr>
          <w:szCs w:val="22"/>
        </w:rPr>
        <w:t xml:space="preserve">Ruimtelijke Uitvoeringsplannen lopende die een mogelijke aansluiting op het spoor kunnen hebben. In Riemst is dat het bedrijventerrein De Kieleberg, in Lommel is dat de uitbreiding te Balendijk en voor Alken is dat de uitbreiding te Kolmen. </w:t>
      </w:r>
      <w:r>
        <w:rPr>
          <w:szCs w:val="22"/>
        </w:rPr>
        <w:t xml:space="preserve">Daarnaast zijn er nog de projecten Ham Zwartenhoek, Lanaken spoorterminal, Kristalpark te Lommel.  </w:t>
      </w:r>
    </w:p>
    <w:p w:rsidR="000C1102" w:rsidRPr="002E380D" w:rsidRDefault="000C1102" w:rsidP="0014373D">
      <w:pPr>
        <w:ind w:left="360"/>
        <w:jc w:val="both"/>
        <w:rPr>
          <w:szCs w:val="22"/>
        </w:rPr>
      </w:pPr>
      <w:r w:rsidRPr="002E380D">
        <w:rPr>
          <w:szCs w:val="22"/>
        </w:rPr>
        <w:t xml:space="preserve">In de provincie Oost-Vlaanderen zijn buiten de omschrijving van de </w:t>
      </w:r>
      <w:r>
        <w:rPr>
          <w:szCs w:val="22"/>
        </w:rPr>
        <w:t>zee</w:t>
      </w:r>
      <w:r w:rsidRPr="002E380D">
        <w:rPr>
          <w:szCs w:val="22"/>
        </w:rPr>
        <w:t>havens van Antwerpen (</w:t>
      </w:r>
      <w:r>
        <w:rPr>
          <w:szCs w:val="22"/>
        </w:rPr>
        <w:t>Linkerschelde oever</w:t>
      </w:r>
      <w:r w:rsidRPr="002E380D">
        <w:rPr>
          <w:szCs w:val="22"/>
        </w:rPr>
        <w:t xml:space="preserve">) en Gent, geen </w:t>
      </w:r>
      <w:r>
        <w:rPr>
          <w:szCs w:val="22"/>
        </w:rPr>
        <w:t>bijkomende bedrijventerreinen</w:t>
      </w:r>
      <w:r w:rsidRPr="002E380D">
        <w:rPr>
          <w:szCs w:val="22"/>
        </w:rPr>
        <w:t xml:space="preserve"> met spoorontsluiting bekend. </w:t>
      </w:r>
    </w:p>
    <w:p w:rsidR="000C1102" w:rsidRPr="002E380D" w:rsidRDefault="000C1102" w:rsidP="0014373D">
      <w:pPr>
        <w:ind w:left="360"/>
        <w:jc w:val="both"/>
        <w:rPr>
          <w:szCs w:val="22"/>
        </w:rPr>
      </w:pPr>
      <w:r w:rsidRPr="002E380D">
        <w:rPr>
          <w:szCs w:val="22"/>
        </w:rPr>
        <w:t>In de provincie West-Vlaanderen kan het gebied Schaapbrugge (Roeselare) – Sasbrug (Izegem) vermeld worden waar een aansluiting op het spoor voorzien</w:t>
      </w:r>
      <w:r w:rsidRPr="002E380D">
        <w:rPr>
          <w:szCs w:val="22"/>
          <w:lang w:val="nl-BE"/>
        </w:rPr>
        <w:t xml:space="preserve"> zal worden</w:t>
      </w:r>
      <w:r w:rsidRPr="002E380D">
        <w:rPr>
          <w:szCs w:val="22"/>
        </w:rPr>
        <w:t>. Het gebied De Spie te Brugge heeft de theoretische mogelijkheid in zich voor een spoorontsluiting.</w:t>
      </w:r>
    </w:p>
    <w:p w:rsidR="000C1102" w:rsidRDefault="000C1102" w:rsidP="0014373D">
      <w:pPr>
        <w:pStyle w:val="StandaardSV"/>
        <w:ind w:left="360"/>
        <w:rPr>
          <w:lang w:val="nl-BE"/>
        </w:rPr>
      </w:pPr>
      <w:r w:rsidRPr="002E380D">
        <w:rPr>
          <w:szCs w:val="22"/>
          <w:lang w:val="nl-BE"/>
        </w:rPr>
        <w:t xml:space="preserve">In de provincie Vlaams-Brabant </w:t>
      </w:r>
      <w:r>
        <w:rPr>
          <w:szCs w:val="22"/>
          <w:lang w:val="nl-BE"/>
        </w:rPr>
        <w:t>is op de internationale l</w:t>
      </w:r>
      <w:r>
        <w:rPr>
          <w:lang w:val="nl-BE"/>
        </w:rPr>
        <w:t xml:space="preserve">uchthaven van Zaventem  een reservegebied aangeduid om de cargozone aan te sluiten op het spoor. </w:t>
      </w:r>
    </w:p>
    <w:p w:rsidR="000C1102" w:rsidRPr="002E380D" w:rsidRDefault="000C1102" w:rsidP="0014373D">
      <w:pPr>
        <w:jc w:val="both"/>
        <w:rPr>
          <w:szCs w:val="22"/>
          <w:lang w:val="nl-BE"/>
        </w:rPr>
      </w:pPr>
    </w:p>
    <w:p w:rsidR="000C1102" w:rsidRDefault="000C1102" w:rsidP="0014373D">
      <w:pPr>
        <w:ind w:left="360"/>
        <w:jc w:val="both"/>
        <w:rPr>
          <w:szCs w:val="22"/>
        </w:rPr>
      </w:pPr>
      <w:r>
        <w:rPr>
          <w:szCs w:val="22"/>
        </w:rPr>
        <w:t xml:space="preserve">Tot slot geef ik nog mee dat het </w:t>
      </w:r>
      <w:r w:rsidRPr="003E4D61">
        <w:rPr>
          <w:szCs w:val="22"/>
        </w:rPr>
        <w:t>Ruimtelijk Structuurplan Vlaanderen de zeehavens van Gent, Zeebrugge en Antwerpen, de internationale luchthaven van Zaventem en de zeehaven van Oostende in combinatie met de luchthaven als poort</w:t>
      </w:r>
      <w:r>
        <w:rPr>
          <w:rStyle w:val="FootnoteReference"/>
          <w:szCs w:val="22"/>
        </w:rPr>
        <w:footnoteReference w:id="3"/>
      </w:r>
      <w:r w:rsidRPr="00875C04">
        <w:rPr>
          <w:szCs w:val="22"/>
        </w:rPr>
        <w:t xml:space="preserve"> </w:t>
      </w:r>
      <w:r w:rsidRPr="003E4D61">
        <w:rPr>
          <w:szCs w:val="22"/>
        </w:rPr>
        <w:t>selecteert. Het RSV bepaalt dat alle poorten multimodaal met elkaar en met hun achterland verbonden worden. In de strategische planprocessen voor de poorten en de bijhorende ruimtelijke uitvoeringsplannen is de spoorontsluiting van de poorten onderzocht, en is de aansluiting op het hoofdspoorwegennet voor goederenvervoer zoals geselecteerd in het RSV gegarandeerd. Enkele voorbeelden zijn</w:t>
      </w:r>
      <w:r>
        <w:rPr>
          <w:szCs w:val="22"/>
        </w:rPr>
        <w:t>:</w:t>
      </w:r>
    </w:p>
    <w:p w:rsidR="000C1102" w:rsidRDefault="000C1102" w:rsidP="0014373D">
      <w:pPr>
        <w:numPr>
          <w:ilvl w:val="0"/>
          <w:numId w:val="14"/>
        </w:numPr>
        <w:jc w:val="both"/>
        <w:rPr>
          <w:szCs w:val="22"/>
        </w:rPr>
      </w:pPr>
      <w:r w:rsidRPr="003E4D61">
        <w:rPr>
          <w:szCs w:val="22"/>
        </w:rPr>
        <w:t xml:space="preserve">het RUP ‘Liefkenshoek spoortunnel’ (definitief vast gesteld door de Vlaamse Regering op 9 mei 2008 – project in uitvoering) voor de verbinding tussen linker- en rechter Schelde-oever, </w:t>
      </w:r>
    </w:p>
    <w:p w:rsidR="000C1102" w:rsidRDefault="000C1102" w:rsidP="0014373D">
      <w:pPr>
        <w:numPr>
          <w:ilvl w:val="0"/>
          <w:numId w:val="14"/>
        </w:numPr>
        <w:jc w:val="both"/>
        <w:rPr>
          <w:szCs w:val="22"/>
        </w:rPr>
      </w:pPr>
      <w:r w:rsidRPr="003E4D61">
        <w:rPr>
          <w:szCs w:val="22"/>
        </w:rPr>
        <w:t xml:space="preserve">het RUP ‘Noordelijke ontsluiting van de internationale luchthaven van Zaventem’ (definitief vast gesteld door de Vlaamse Regering op 10 maart 2006 – project in uitvoering) om in de toekomst rechtstreeks vanuit verschillende Vlaamse steden naar de luchthaven te kunnen sporen, </w:t>
      </w:r>
    </w:p>
    <w:p w:rsidR="000C1102" w:rsidRDefault="000C1102" w:rsidP="0014373D">
      <w:pPr>
        <w:numPr>
          <w:ilvl w:val="0"/>
          <w:numId w:val="14"/>
        </w:numPr>
        <w:jc w:val="both"/>
        <w:rPr>
          <w:szCs w:val="22"/>
        </w:rPr>
      </w:pPr>
      <w:r w:rsidRPr="003E4D61">
        <w:rPr>
          <w:szCs w:val="22"/>
        </w:rPr>
        <w:t xml:space="preserve">de rangeerbundel Zwankendamme </w:t>
      </w:r>
      <w:r>
        <w:rPr>
          <w:szCs w:val="22"/>
        </w:rPr>
        <w:t xml:space="preserve">en spoorbocht Ter Doest </w:t>
      </w:r>
      <w:r w:rsidRPr="003E4D61">
        <w:rPr>
          <w:szCs w:val="22"/>
        </w:rPr>
        <w:t>in het RUP ‘Afbakening Zeehavengebied Zeebrugge’ (definitief vast gesteld door de Vlaamse Regering op 19 juni 2009 – project in fase project-MER),</w:t>
      </w:r>
    </w:p>
    <w:p w:rsidR="000C1102" w:rsidRPr="007A1490" w:rsidRDefault="000C1102" w:rsidP="00FD7EDA">
      <w:pPr>
        <w:numPr>
          <w:ilvl w:val="0"/>
          <w:numId w:val="14"/>
        </w:numPr>
        <w:jc w:val="both"/>
        <w:rPr>
          <w:szCs w:val="22"/>
        </w:rPr>
      </w:pPr>
      <w:r w:rsidRPr="003E4D61">
        <w:rPr>
          <w:szCs w:val="22"/>
        </w:rPr>
        <w:t>of de spoor</w:t>
      </w:r>
      <w:r>
        <w:rPr>
          <w:szCs w:val="22"/>
        </w:rPr>
        <w:softHyphen/>
      </w:r>
      <w:r w:rsidRPr="003E4D61">
        <w:rPr>
          <w:szCs w:val="22"/>
        </w:rPr>
        <w:t>ontsluiting van het Kluizendok in het RUP ‘Afbakening zeehavengebied Gent - Inrichting R4-oost en R4-west’ (definitief vast gesteld door de Vlaamse Regering op 15 juli 2005 – project in uitvoering).</w:t>
      </w:r>
    </w:p>
    <w:sectPr w:rsidR="000C1102" w:rsidRPr="007A149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02" w:rsidRDefault="000C1102">
      <w:r>
        <w:separator/>
      </w:r>
    </w:p>
  </w:endnote>
  <w:endnote w:type="continuationSeparator" w:id="1">
    <w:p w:rsidR="000C1102" w:rsidRDefault="000C11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02" w:rsidRDefault="000C1102">
      <w:r>
        <w:separator/>
      </w:r>
    </w:p>
  </w:footnote>
  <w:footnote w:type="continuationSeparator" w:id="1">
    <w:p w:rsidR="000C1102" w:rsidRDefault="000C1102">
      <w:r>
        <w:continuationSeparator/>
      </w:r>
    </w:p>
  </w:footnote>
  <w:footnote w:id="2">
    <w:p w:rsidR="000C1102" w:rsidRDefault="000C1102" w:rsidP="0014373D">
      <w:pPr>
        <w:pStyle w:val="FootnoteText"/>
      </w:pPr>
      <w:r>
        <w:rPr>
          <w:rStyle w:val="FootnoteReference"/>
        </w:rPr>
        <w:footnoteRef/>
      </w:r>
      <w:r>
        <w:t xml:space="preserve"> </w:t>
      </w:r>
      <w:r>
        <w:rPr>
          <w:lang w:val="nl-BE"/>
        </w:rPr>
        <w:t xml:space="preserve">Zoals bedoeld in de ViA-doorbraak ‘Slimme draaischijf van Europa’, </w:t>
      </w:r>
      <w:hyperlink r:id="rId1" w:history="1">
        <w:r w:rsidRPr="002B1C70">
          <w:rPr>
            <w:rStyle w:val="Hyperlink"/>
            <w:lang w:val="nl-BE"/>
          </w:rPr>
          <w:t>www.vlaandereninactie.be</w:t>
        </w:r>
      </w:hyperlink>
      <w:r>
        <w:rPr>
          <w:lang w:val="nl-BE"/>
        </w:rPr>
        <w:t xml:space="preserve"> </w:t>
      </w:r>
    </w:p>
  </w:footnote>
  <w:footnote w:id="3">
    <w:p w:rsidR="000C1102" w:rsidRDefault="000C1102" w:rsidP="0014373D">
      <w:pPr>
        <w:pStyle w:val="FootnoteText"/>
      </w:pPr>
      <w:r>
        <w:rPr>
          <w:rStyle w:val="FootnoteReference"/>
        </w:rPr>
        <w:footnoteRef/>
      </w:r>
      <w:r>
        <w:t xml:space="preserve"> </w:t>
      </w:r>
      <w:r>
        <w:rPr>
          <w:lang w:val="nl-BE"/>
        </w:rPr>
        <w:t xml:space="preserve">De zeehavens, de internationaal georiënteerde multimodale logistieke parken, de internationale luchthaven en het station voor de hogesnelheidstrein, zijn in het ruimtelijk structuurplan Vlaanderen (blz. 586) bindend als poort geselecteerd.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356780F"/>
    <w:multiLevelType w:val="hybridMultilevel"/>
    <w:tmpl w:val="6EEA8648"/>
    <w:lvl w:ilvl="0" w:tplc="3C88BD8A">
      <w:start w:val="1500"/>
      <w:numFmt w:val="bullet"/>
      <w:lvlText w:val="-"/>
      <w:lvlJc w:val="left"/>
      <w:pPr>
        <w:tabs>
          <w:tab w:val="num" w:pos="720"/>
        </w:tabs>
        <w:ind w:left="720" w:hanging="360"/>
      </w:pPr>
      <w:rPr>
        <w:rFonts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13623C89"/>
    <w:multiLevelType w:val="multilevel"/>
    <w:tmpl w:val="CA444E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6">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ABE22B0"/>
    <w:multiLevelType w:val="hybridMultilevel"/>
    <w:tmpl w:val="1C2AD0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75466291"/>
    <w:multiLevelType w:val="hybridMultilevel"/>
    <w:tmpl w:val="4CEEAEA2"/>
    <w:lvl w:ilvl="0" w:tplc="3C88BD8A">
      <w:start w:val="1500"/>
      <w:numFmt w:val="bullet"/>
      <w:lvlText w:val="-"/>
      <w:lvlJc w:val="left"/>
      <w:pPr>
        <w:tabs>
          <w:tab w:val="num" w:pos="720"/>
        </w:tabs>
        <w:ind w:left="720" w:hanging="360"/>
      </w:pPr>
      <w:rPr>
        <w:rFonts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5"/>
  </w:num>
  <w:num w:numId="4">
    <w:abstractNumId w:val="10"/>
  </w:num>
  <w:num w:numId="5">
    <w:abstractNumId w:val="14"/>
  </w:num>
  <w:num w:numId="6">
    <w:abstractNumId w:val="0"/>
  </w:num>
  <w:num w:numId="7">
    <w:abstractNumId w:val="4"/>
  </w:num>
  <w:num w:numId="8">
    <w:abstractNumId w:val="11"/>
  </w:num>
  <w:num w:numId="9">
    <w:abstractNumId w:val="8"/>
  </w:num>
  <w:num w:numId="10">
    <w:abstractNumId w:val="1"/>
  </w:num>
  <w:num w:numId="11">
    <w:abstractNumId w:val="6"/>
  </w:num>
  <w:num w:numId="12">
    <w:abstractNumId w:val="9"/>
  </w:num>
  <w:num w:numId="13">
    <w:abstractNumId w:val="3"/>
  </w:num>
  <w:num w:numId="14">
    <w:abstractNumId w:val="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85"/>
    <w:rsid w:val="00015BF7"/>
    <w:rsid w:val="0008172E"/>
    <w:rsid w:val="000961E4"/>
    <w:rsid w:val="000976E9"/>
    <w:rsid w:val="000A7472"/>
    <w:rsid w:val="000C1102"/>
    <w:rsid w:val="000C4E8C"/>
    <w:rsid w:val="000F3532"/>
    <w:rsid w:val="0014373D"/>
    <w:rsid w:val="001764EC"/>
    <w:rsid w:val="00210C07"/>
    <w:rsid w:val="00266E3B"/>
    <w:rsid w:val="002B1C70"/>
    <w:rsid w:val="002E380D"/>
    <w:rsid w:val="00326A58"/>
    <w:rsid w:val="00336BBF"/>
    <w:rsid w:val="00365177"/>
    <w:rsid w:val="003E4D61"/>
    <w:rsid w:val="00402F6A"/>
    <w:rsid w:val="004B4004"/>
    <w:rsid w:val="00517F36"/>
    <w:rsid w:val="005208D5"/>
    <w:rsid w:val="005E38CA"/>
    <w:rsid w:val="006548DD"/>
    <w:rsid w:val="0071248C"/>
    <w:rsid w:val="007252C7"/>
    <w:rsid w:val="00735E21"/>
    <w:rsid w:val="00787964"/>
    <w:rsid w:val="007A1490"/>
    <w:rsid w:val="00875C04"/>
    <w:rsid w:val="008A713D"/>
    <w:rsid w:val="008D5DB4"/>
    <w:rsid w:val="00924D85"/>
    <w:rsid w:val="009347E0"/>
    <w:rsid w:val="009D7043"/>
    <w:rsid w:val="009E72BD"/>
    <w:rsid w:val="00A44CA4"/>
    <w:rsid w:val="00A57DD6"/>
    <w:rsid w:val="00AF64E1"/>
    <w:rsid w:val="00B45EB2"/>
    <w:rsid w:val="00BB7612"/>
    <w:rsid w:val="00BE425A"/>
    <w:rsid w:val="00C15BA8"/>
    <w:rsid w:val="00CD1E5F"/>
    <w:rsid w:val="00CE1141"/>
    <w:rsid w:val="00D07845"/>
    <w:rsid w:val="00D71D99"/>
    <w:rsid w:val="00D754F2"/>
    <w:rsid w:val="00DB41C0"/>
    <w:rsid w:val="00DC00E1"/>
    <w:rsid w:val="00DC4DB6"/>
    <w:rsid w:val="00DD4121"/>
    <w:rsid w:val="00E31F4D"/>
    <w:rsid w:val="00E55200"/>
    <w:rsid w:val="00F10CD5"/>
    <w:rsid w:val="00F31EBD"/>
    <w:rsid w:val="00F5419E"/>
    <w:rsid w:val="00FA29D6"/>
    <w:rsid w:val="00FD5BF4"/>
    <w:rsid w:val="00FD7EDA"/>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E7"/>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F1CE7"/>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F1CE7"/>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F1CE7"/>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F1CE7"/>
    <w:rPr>
      <w:sz w:val="0"/>
      <w:szCs w:val="0"/>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rsid w:val="00DF1CE7"/>
    <w:rPr>
      <w:sz w:val="20"/>
      <w:szCs w:val="20"/>
      <w:lang w:val="nl-NL" w:eastAsia="nl-NL"/>
    </w:rPr>
  </w:style>
  <w:style w:type="paragraph" w:customStyle="1" w:styleId="StandaardSV">
    <w:name w:val="Standaard SV"/>
    <w:basedOn w:val="Normal"/>
    <w:uiPriority w:val="99"/>
    <w:rsid w:val="0014373D"/>
    <w:pPr>
      <w:jc w:val="both"/>
    </w:pPr>
    <w:rPr>
      <w:szCs w:val="20"/>
    </w:rPr>
  </w:style>
  <w:style w:type="paragraph" w:styleId="FootnoteText">
    <w:name w:val="footnote text"/>
    <w:basedOn w:val="Normal"/>
    <w:link w:val="FootnoteTextChar"/>
    <w:uiPriority w:val="99"/>
    <w:semiHidden/>
    <w:rsid w:val="0014373D"/>
    <w:rPr>
      <w:sz w:val="20"/>
      <w:szCs w:val="20"/>
    </w:rPr>
  </w:style>
  <w:style w:type="character" w:customStyle="1" w:styleId="FootnoteTextChar">
    <w:name w:val="Footnote Text Char"/>
    <w:basedOn w:val="DefaultParagraphFont"/>
    <w:link w:val="FootnoteText"/>
    <w:uiPriority w:val="99"/>
    <w:semiHidden/>
    <w:rsid w:val="00DF1CE7"/>
    <w:rPr>
      <w:sz w:val="20"/>
      <w:szCs w:val="20"/>
      <w:lang w:val="nl-NL" w:eastAsia="nl-NL"/>
    </w:rPr>
  </w:style>
  <w:style w:type="character" w:styleId="FootnoteReference">
    <w:name w:val="footnote reference"/>
    <w:basedOn w:val="DefaultParagraphFont"/>
    <w:uiPriority w:val="99"/>
    <w:semiHidden/>
    <w:rsid w:val="001437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vlaandereninact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1380</Words>
  <Characters>7593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keywords/>
  <dc:description/>
  <cp:lastModifiedBy>Nathalie De Keyzer</cp:lastModifiedBy>
  <cp:revision>4</cp:revision>
  <cp:lastPrinted>2010-09-13T14:39:00Z</cp:lastPrinted>
  <dcterms:created xsi:type="dcterms:W3CDTF">2010-09-22T14:53:00Z</dcterms:created>
  <dcterms:modified xsi:type="dcterms:W3CDTF">2010-09-29T13:33:00Z</dcterms:modified>
</cp:coreProperties>
</file>