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A2D14" w:rsidRPr="00DD4121" w:rsidRDefault="00CA2D14"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hilippe muyters</w:t>
      </w:r>
      <w:r>
        <w:rPr>
          <w:szCs w:val="22"/>
        </w:rPr>
        <w:fldChar w:fldCharType="end"/>
      </w:r>
      <w:bookmarkEnd w:id="0"/>
    </w:p>
    <w:bookmarkStart w:id="1" w:name="Text2"/>
    <w:p w:rsidR="00CA2D14" w:rsidRPr="00015BF7" w:rsidRDefault="00CA2D14"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CA2D14" w:rsidRPr="00015BF7" w:rsidRDefault="00CA2D14" w:rsidP="000976E9">
      <w:pPr>
        <w:rPr>
          <w:szCs w:val="22"/>
        </w:rPr>
      </w:pPr>
    </w:p>
    <w:p w:rsidR="00CA2D14" w:rsidRPr="00DB41C0" w:rsidRDefault="00CA2D14" w:rsidP="000976E9">
      <w:pPr>
        <w:pStyle w:val="A-Lijn"/>
      </w:pPr>
    </w:p>
    <w:p w:rsidR="00CA2D14" w:rsidRDefault="00CA2D14" w:rsidP="000976E9">
      <w:pPr>
        <w:pStyle w:val="A-Type"/>
        <w:sectPr w:rsidR="00CA2D14">
          <w:pgSz w:w="11906" w:h="16838"/>
          <w:pgMar w:top="1417" w:right="1417" w:bottom="1417" w:left="1417" w:header="708" w:footer="708" w:gutter="0"/>
          <w:cols w:space="708"/>
          <w:rtlGutter/>
          <w:docGrid w:linePitch="360"/>
        </w:sectPr>
      </w:pPr>
    </w:p>
    <w:p w:rsidR="00CA2D14" w:rsidRPr="00D13702" w:rsidRDefault="00CA2D14" w:rsidP="00586236">
      <w:pPr>
        <w:pStyle w:val="A-Type"/>
        <w:outlineLvl w:val="0"/>
        <w:sectPr w:rsidR="00CA2D14"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A2D14" w:rsidRPr="00326A58" w:rsidRDefault="00CA2D1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530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A2D14" w:rsidRDefault="00CA2D1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CA2D14" w:rsidRPr="00015BF7" w:rsidRDefault="00CA2D14" w:rsidP="000976E9">
      <w:pPr>
        <w:rPr>
          <w:szCs w:val="22"/>
        </w:rPr>
      </w:pPr>
    </w:p>
    <w:p w:rsidR="00CA2D14" w:rsidRPr="00DB41C0" w:rsidRDefault="00CA2D14" w:rsidP="000976E9">
      <w:pPr>
        <w:pStyle w:val="A-Lijn"/>
      </w:pPr>
    </w:p>
    <w:p w:rsidR="00CA2D14" w:rsidRPr="00DB41C0" w:rsidRDefault="00CA2D14" w:rsidP="000976E9">
      <w:pPr>
        <w:pStyle w:val="A-Lijn"/>
      </w:pPr>
    </w:p>
    <w:p w:rsidR="00CA2D14" w:rsidRDefault="00CA2D14" w:rsidP="00DB41C0">
      <w:pPr>
        <w:sectPr w:rsidR="00CA2D14" w:rsidSect="000976E9">
          <w:type w:val="continuous"/>
          <w:pgSz w:w="11906" w:h="16838"/>
          <w:pgMar w:top="1417" w:right="1417" w:bottom="1417" w:left="1417" w:header="708" w:footer="708" w:gutter="0"/>
          <w:cols w:space="708"/>
          <w:rtlGutter/>
          <w:docGrid w:linePitch="360"/>
        </w:sectPr>
      </w:pPr>
    </w:p>
    <w:p w:rsidR="00CA2D14" w:rsidRPr="00F36879" w:rsidRDefault="00CA2D14" w:rsidP="002B47D7">
      <w:pPr>
        <w:pStyle w:val="ListParagraph"/>
        <w:numPr>
          <w:ilvl w:val="0"/>
          <w:numId w:val="5"/>
        </w:numPr>
        <w:ind w:left="425" w:hanging="426"/>
        <w:jc w:val="both"/>
        <w:rPr>
          <w:szCs w:val="22"/>
        </w:rPr>
      </w:pPr>
      <w:r w:rsidRPr="00F36879">
        <w:rPr>
          <w:szCs w:val="22"/>
        </w:rPr>
        <w:t>De discrepantie tussen beide cijfers is te w</w:t>
      </w:r>
      <w:r>
        <w:rPr>
          <w:szCs w:val="22"/>
        </w:rPr>
        <w:t>ijten aan een verschillende ben</w:t>
      </w:r>
      <w:r w:rsidRPr="00F36879">
        <w:rPr>
          <w:szCs w:val="22"/>
        </w:rPr>
        <w:t>a</w:t>
      </w:r>
      <w:r>
        <w:rPr>
          <w:szCs w:val="22"/>
        </w:rPr>
        <w:t>d</w:t>
      </w:r>
      <w:r w:rsidRPr="00F36879">
        <w:rPr>
          <w:szCs w:val="22"/>
        </w:rPr>
        <w:t>eringswijze tussen de SERV-analyse en de algemene toelichting.</w:t>
      </w:r>
    </w:p>
    <w:p w:rsidR="00CA2D14" w:rsidRDefault="00CA2D14" w:rsidP="002B47D7">
      <w:pPr>
        <w:pStyle w:val="ListParagraph"/>
        <w:ind w:left="425"/>
        <w:jc w:val="both"/>
        <w:rPr>
          <w:szCs w:val="22"/>
        </w:rPr>
      </w:pPr>
      <w:r>
        <w:rPr>
          <w:szCs w:val="22"/>
        </w:rPr>
        <w:t xml:space="preserve">Enerzijds </w:t>
      </w:r>
      <w:r w:rsidRPr="00F36879">
        <w:rPr>
          <w:szCs w:val="22"/>
        </w:rPr>
        <w:t xml:space="preserve">gaat </w:t>
      </w:r>
      <w:r>
        <w:rPr>
          <w:szCs w:val="22"/>
        </w:rPr>
        <w:t>d</w:t>
      </w:r>
      <w:r w:rsidRPr="00F36879">
        <w:rPr>
          <w:szCs w:val="22"/>
        </w:rPr>
        <w:t>e SERV uit van een bruto-benadering waarbij een deel van het nieuw beleid gefinancierd wordt door herorië</w:t>
      </w:r>
      <w:r>
        <w:rPr>
          <w:szCs w:val="22"/>
        </w:rPr>
        <w:t>n</w:t>
      </w:r>
      <w:r w:rsidRPr="00F36879">
        <w:rPr>
          <w:szCs w:val="22"/>
        </w:rPr>
        <w:t>teringen</w:t>
      </w:r>
      <w:r>
        <w:rPr>
          <w:szCs w:val="22"/>
        </w:rPr>
        <w:t xml:space="preserve"> binnen het constant beleid (53 miljoen euro).</w:t>
      </w:r>
    </w:p>
    <w:p w:rsidR="00CA2D14" w:rsidRDefault="00CA2D14" w:rsidP="002B47D7">
      <w:pPr>
        <w:pStyle w:val="ListParagraph"/>
        <w:ind w:left="425"/>
        <w:jc w:val="both"/>
        <w:rPr>
          <w:szCs w:val="22"/>
        </w:rPr>
      </w:pPr>
      <w:r>
        <w:rPr>
          <w:szCs w:val="22"/>
        </w:rPr>
        <w:t>Het gros van deze heroriëntering situeert zich binnen het beleidsdomein MOW à rato van 40 miljoen euro.</w:t>
      </w:r>
    </w:p>
    <w:p w:rsidR="00CA2D14" w:rsidRPr="00F36879" w:rsidRDefault="00CA2D14" w:rsidP="002B47D7">
      <w:pPr>
        <w:pStyle w:val="ListParagraph"/>
        <w:ind w:left="425"/>
        <w:jc w:val="both"/>
        <w:rPr>
          <w:szCs w:val="22"/>
        </w:rPr>
      </w:pPr>
      <w:r>
        <w:rPr>
          <w:szCs w:val="22"/>
        </w:rPr>
        <w:t>Anderzijds catalogeert de SERV een aantal maatregelen onder nieuw beleid terwijl dit in de algemene toelichting als constant beleid wordt beschouwd. Het belangrijkste voorbeeld hiervan is de verhoogde vastleggingsmachtiging van toerisme Vlaanderen in het kader van de regeringsbeslissing m.b.t. de jeugdverblijfinfrastructuur (9 miljoen euro).</w:t>
      </w:r>
    </w:p>
    <w:p w:rsidR="00CA2D14" w:rsidRPr="00F36879" w:rsidRDefault="00CA2D14" w:rsidP="002B47D7">
      <w:pPr>
        <w:ind w:left="425" w:hanging="426"/>
        <w:rPr>
          <w:szCs w:val="22"/>
        </w:rPr>
      </w:pPr>
    </w:p>
    <w:p w:rsidR="00CA2D14" w:rsidRDefault="00CA2D14" w:rsidP="002B47D7">
      <w:pPr>
        <w:pStyle w:val="ListParagraph"/>
        <w:numPr>
          <w:ilvl w:val="0"/>
          <w:numId w:val="5"/>
        </w:numPr>
        <w:ind w:left="425" w:hanging="426"/>
        <w:jc w:val="both"/>
        <w:rPr>
          <w:szCs w:val="22"/>
        </w:rPr>
      </w:pPr>
      <w:r>
        <w:rPr>
          <w:szCs w:val="22"/>
        </w:rPr>
        <w:t xml:space="preserve">a) De éénmalige meevaller op de beschikbaarheidsvergoedingen wordt inderdaad geheroriënteerd doch dit betreft een éénmalige herschikking in 2010 naar de loon- en werkingsuitgaven bij de Lijn. </w:t>
      </w:r>
    </w:p>
    <w:p w:rsidR="00CA2D14" w:rsidRDefault="00CA2D14" w:rsidP="002B47D7">
      <w:pPr>
        <w:pStyle w:val="ListParagraph"/>
        <w:ind w:left="425"/>
        <w:jc w:val="both"/>
        <w:rPr>
          <w:szCs w:val="22"/>
        </w:rPr>
      </w:pPr>
      <w:r>
        <w:rPr>
          <w:szCs w:val="22"/>
        </w:rPr>
        <w:t xml:space="preserve">In 2011 komen de diverse besparingsmaatregelen bij de Lijn op kruissnelheid en wordt de heroriëntering teruggezet. </w:t>
      </w:r>
    </w:p>
    <w:p w:rsidR="00CA2D14" w:rsidRDefault="00CA2D14" w:rsidP="002B47D7">
      <w:pPr>
        <w:pStyle w:val="ListParagraph"/>
        <w:ind w:left="425"/>
        <w:jc w:val="both"/>
        <w:rPr>
          <w:szCs w:val="22"/>
        </w:rPr>
      </w:pPr>
      <w:r>
        <w:rPr>
          <w:szCs w:val="22"/>
        </w:rPr>
        <w:t>Ik deel derhalve de kritiek van de SERV niet.</w:t>
      </w:r>
    </w:p>
    <w:p w:rsidR="00CA2D14" w:rsidRDefault="00CA2D14" w:rsidP="002B47D7">
      <w:pPr>
        <w:pStyle w:val="ListParagraph"/>
        <w:ind w:left="425" w:hanging="426"/>
        <w:jc w:val="both"/>
        <w:rPr>
          <w:szCs w:val="22"/>
        </w:rPr>
      </w:pPr>
    </w:p>
    <w:p w:rsidR="00CA2D14" w:rsidRDefault="00CA2D14" w:rsidP="002B47D7">
      <w:pPr>
        <w:pStyle w:val="ListParagraph"/>
        <w:ind w:left="425"/>
        <w:jc w:val="both"/>
        <w:rPr>
          <w:szCs w:val="22"/>
        </w:rPr>
      </w:pPr>
      <w:r>
        <w:rPr>
          <w:szCs w:val="22"/>
        </w:rPr>
        <w:t>b) Daar het een éénmalige heroriëntering betreft, belast dit de komende begrotingsjaren niet. De vermeende last dient derhalve niet opgevangen te worden, noch dient ermee rekening gehouden te worden in de meerjarenbegroting.</w:t>
      </w:r>
    </w:p>
    <w:p w:rsidR="00CA2D14" w:rsidRPr="002B47D7" w:rsidRDefault="00CA2D14" w:rsidP="002B47D7">
      <w:pPr>
        <w:jc w:val="both"/>
        <w:rPr>
          <w:szCs w:val="22"/>
        </w:rPr>
      </w:pPr>
    </w:p>
    <w:p w:rsidR="00CA2D14" w:rsidRDefault="00CA2D14" w:rsidP="002B47D7">
      <w:pPr>
        <w:pStyle w:val="ListParagraph"/>
        <w:numPr>
          <w:ilvl w:val="0"/>
          <w:numId w:val="5"/>
        </w:numPr>
        <w:ind w:left="425" w:hanging="426"/>
        <w:jc w:val="both"/>
        <w:rPr>
          <w:szCs w:val="22"/>
        </w:rPr>
      </w:pPr>
      <w:r>
        <w:rPr>
          <w:szCs w:val="22"/>
        </w:rPr>
        <w:t>Aan de verschillende beleidsdomeinen wordt de mogelijkheid gegeven om budgetneutrale herschikkingen door te voeren. Bij de indiening van deze individuele heroriënteringen wordt er in het kader van een duurzaam begrotingsbeleid streng over gewaakt dat éénmalige meevallers niet in recurrente uitgaven worden omgezet.</w:t>
      </w:r>
    </w:p>
    <w:p w:rsidR="00CA2D14" w:rsidRDefault="00CA2D14" w:rsidP="002B47D7">
      <w:pPr>
        <w:pStyle w:val="ListParagraph"/>
        <w:ind w:left="425"/>
        <w:jc w:val="both"/>
        <w:rPr>
          <w:szCs w:val="22"/>
        </w:rPr>
      </w:pPr>
      <w:r>
        <w:rPr>
          <w:szCs w:val="22"/>
        </w:rPr>
        <w:t xml:space="preserve">Zoals reeds vermeld in de tweede vraag van de Vlaamse volksvertegenwoordiger situeert een groot deel van deze heroriënteringen zich binnen het beleidsdomein MOW. </w:t>
      </w:r>
    </w:p>
    <w:p w:rsidR="00CA2D14" w:rsidRDefault="00CA2D14" w:rsidP="002B47D7">
      <w:pPr>
        <w:pStyle w:val="ListParagraph"/>
        <w:ind w:left="425"/>
        <w:jc w:val="both"/>
        <w:rPr>
          <w:szCs w:val="22"/>
        </w:rPr>
      </w:pPr>
      <w:r>
        <w:rPr>
          <w:szCs w:val="22"/>
        </w:rPr>
        <w:t>Een exhaustief overzicht hiervan is echter niet gecoördineerd beschikbaar. Sowieso is het in de loop van een begrotingsjaar - met toepassing van artikel 15 van de gecoördineerde wetten op de rijkscomptabiliteit - nog steeds mogelijk om binnen een programma budgetneutrale herschikkingen door te voeren (steeds onder voorbehoud van controle op niet-aanwending voor recurrente uitgaven).</w:t>
      </w:r>
    </w:p>
    <w:p w:rsidR="00CA2D14" w:rsidRPr="002B47D7" w:rsidRDefault="00CA2D14" w:rsidP="002B47D7">
      <w:pPr>
        <w:jc w:val="both"/>
        <w:rPr>
          <w:szCs w:val="22"/>
        </w:rPr>
      </w:pPr>
    </w:p>
    <w:p w:rsidR="00CA2D14" w:rsidRPr="00A8220C" w:rsidRDefault="00CA2D14" w:rsidP="002B47D7">
      <w:pPr>
        <w:pStyle w:val="ListParagraph"/>
        <w:numPr>
          <w:ilvl w:val="0"/>
          <w:numId w:val="5"/>
        </w:numPr>
        <w:ind w:left="425" w:hanging="426"/>
        <w:jc w:val="both"/>
        <w:rPr>
          <w:szCs w:val="22"/>
        </w:rPr>
      </w:pPr>
      <w:r w:rsidRPr="00A8220C">
        <w:rPr>
          <w:szCs w:val="22"/>
        </w:rPr>
        <w:t>a) Zoals de SERV reeds aangeeft in haar analyse is dit structureel tekort te wijten aan het niet structureel zijn van de rente op de KBC-perpetuals (deze wordt immers gecorrigeerd als éénmalige verrichting).</w:t>
      </w:r>
    </w:p>
    <w:p w:rsidR="00CA2D14" w:rsidRPr="00A8220C" w:rsidRDefault="00CA2D14" w:rsidP="002B47D7">
      <w:pPr>
        <w:pStyle w:val="ListParagraph"/>
        <w:ind w:left="425"/>
        <w:jc w:val="both"/>
        <w:rPr>
          <w:szCs w:val="22"/>
        </w:rPr>
      </w:pPr>
      <w:r w:rsidRPr="00A8220C">
        <w:rPr>
          <w:szCs w:val="22"/>
        </w:rPr>
        <w:t xml:space="preserve">De meerjarenraming houdt – omwille van de onzekerheid met betrekking tot de timing - geen rekening met een eventuele terugbetaling door KBC van deze perpetuals. </w:t>
      </w:r>
    </w:p>
    <w:p w:rsidR="00CA2D14" w:rsidRPr="00A8220C" w:rsidRDefault="00CA2D14" w:rsidP="002B47D7">
      <w:pPr>
        <w:pStyle w:val="ListParagraph"/>
        <w:ind w:left="425"/>
        <w:jc w:val="both"/>
        <w:rPr>
          <w:szCs w:val="22"/>
        </w:rPr>
      </w:pPr>
      <w:r w:rsidRPr="00A8220C">
        <w:rPr>
          <w:szCs w:val="22"/>
        </w:rPr>
        <w:t xml:space="preserve">Hoewel de timing onzeker is, kan redelijkerwijs verwacht worden dat KBC de komende jaren deze perpetuals al dan niet gedeeltelijk zal terugbetalen. Een effectieve terugbetaling door KBC zal natuurlijk impact hebben op de dividendenstroom en de rentelasten. </w:t>
      </w:r>
    </w:p>
    <w:p w:rsidR="00CA2D14" w:rsidRPr="00A8220C" w:rsidRDefault="00CA2D14" w:rsidP="002B47D7">
      <w:pPr>
        <w:pStyle w:val="ListParagraph"/>
        <w:ind w:left="425"/>
        <w:jc w:val="both"/>
        <w:rPr>
          <w:szCs w:val="22"/>
        </w:rPr>
      </w:pPr>
      <w:r w:rsidRPr="00A8220C">
        <w:rPr>
          <w:szCs w:val="22"/>
        </w:rPr>
        <w:t xml:space="preserve">De structurele daling van de intrestlasten zal een positieve bijdrage hebben op het structureel vorderingensaldo dat – in een realistisch scenario van 2/3 terugbetaling door KBC in de huidige legislatuur- snel kan oplopen tot 100 miljoen euro jaarlijks. </w:t>
      </w:r>
    </w:p>
    <w:p w:rsidR="00CA2D14" w:rsidRPr="00A8220C" w:rsidRDefault="00CA2D14" w:rsidP="002B47D7">
      <w:pPr>
        <w:pStyle w:val="ListParagraph"/>
        <w:ind w:left="425" w:hanging="426"/>
        <w:jc w:val="both"/>
        <w:rPr>
          <w:szCs w:val="22"/>
        </w:rPr>
      </w:pPr>
    </w:p>
    <w:p w:rsidR="00CA2D14" w:rsidRPr="00A8220C" w:rsidRDefault="00CA2D14" w:rsidP="002B47D7">
      <w:pPr>
        <w:pStyle w:val="ListParagraph"/>
        <w:ind w:left="425"/>
        <w:jc w:val="both"/>
        <w:rPr>
          <w:szCs w:val="22"/>
        </w:rPr>
      </w:pPr>
      <w:r w:rsidRPr="00A8220C">
        <w:rPr>
          <w:szCs w:val="22"/>
        </w:rPr>
        <w:t xml:space="preserve">b) Ik heb een werkgroep structurele norm opgericht die tegen begin volgend jaar een voorstel zal doen met betrekking tot een structurele normering. In functie van dit voorstel zal ik een gewenste evolutie van het structurele saldo vooropstellen. </w:t>
      </w:r>
    </w:p>
    <w:p w:rsidR="00CA2D14" w:rsidRDefault="00CA2D14" w:rsidP="00682FAB">
      <w:pPr>
        <w:pStyle w:val="ListParagraph"/>
        <w:jc w:val="both"/>
        <w:rPr>
          <w:sz w:val="24"/>
        </w:rPr>
      </w:pPr>
    </w:p>
    <w:p w:rsidR="00CA2D14" w:rsidRPr="00E83323" w:rsidRDefault="00CA2D14" w:rsidP="00682FAB">
      <w:pPr>
        <w:pStyle w:val="ListParagraph"/>
        <w:jc w:val="both"/>
        <w:rPr>
          <w:szCs w:val="22"/>
        </w:rPr>
      </w:pPr>
    </w:p>
    <w:sectPr w:rsidR="00CA2D14" w:rsidRPr="00E8332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14" w:rsidRDefault="00CA2D14">
      <w:r>
        <w:separator/>
      </w:r>
    </w:p>
  </w:endnote>
  <w:endnote w:type="continuationSeparator" w:id="1">
    <w:p w:rsidR="00CA2D14" w:rsidRDefault="00CA2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14" w:rsidRDefault="00CA2D14">
      <w:r>
        <w:separator/>
      </w:r>
    </w:p>
  </w:footnote>
  <w:footnote w:type="continuationSeparator" w:id="1">
    <w:p w:rsidR="00CA2D14" w:rsidRDefault="00CA2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08C"/>
    <w:multiLevelType w:val="hybridMultilevel"/>
    <w:tmpl w:val="3588045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2E0"/>
    <w:rsid w:val="00004AD4"/>
    <w:rsid w:val="00011AA3"/>
    <w:rsid w:val="000137BF"/>
    <w:rsid w:val="00014048"/>
    <w:rsid w:val="00015BF7"/>
    <w:rsid w:val="0001662F"/>
    <w:rsid w:val="00042574"/>
    <w:rsid w:val="000533B6"/>
    <w:rsid w:val="00055170"/>
    <w:rsid w:val="00060CAF"/>
    <w:rsid w:val="00062B3A"/>
    <w:rsid w:val="00077CB6"/>
    <w:rsid w:val="00082E20"/>
    <w:rsid w:val="00092E90"/>
    <w:rsid w:val="000976E9"/>
    <w:rsid w:val="000A4B43"/>
    <w:rsid w:val="000B129B"/>
    <w:rsid w:val="000C2BF2"/>
    <w:rsid w:val="000C4E8C"/>
    <w:rsid w:val="000F3532"/>
    <w:rsid w:val="00113D30"/>
    <w:rsid w:val="00115A86"/>
    <w:rsid w:val="00117812"/>
    <w:rsid w:val="001320F0"/>
    <w:rsid w:val="00141268"/>
    <w:rsid w:val="00162ED2"/>
    <w:rsid w:val="00175898"/>
    <w:rsid w:val="0018437F"/>
    <w:rsid w:val="001977A6"/>
    <w:rsid w:val="001C385B"/>
    <w:rsid w:val="001C6D2A"/>
    <w:rsid w:val="001C767D"/>
    <w:rsid w:val="00210C07"/>
    <w:rsid w:val="002200AB"/>
    <w:rsid w:val="002231B1"/>
    <w:rsid w:val="00230467"/>
    <w:rsid w:val="002503E8"/>
    <w:rsid w:val="00253D46"/>
    <w:rsid w:val="0029398C"/>
    <w:rsid w:val="002A7BA2"/>
    <w:rsid w:val="002B3CAB"/>
    <w:rsid w:val="002B47D7"/>
    <w:rsid w:val="002B5D7E"/>
    <w:rsid w:val="002D204C"/>
    <w:rsid w:val="002D7C2C"/>
    <w:rsid w:val="002F035D"/>
    <w:rsid w:val="0031095D"/>
    <w:rsid w:val="00326A58"/>
    <w:rsid w:val="00326BE9"/>
    <w:rsid w:val="00353C75"/>
    <w:rsid w:val="003568BA"/>
    <w:rsid w:val="00357979"/>
    <w:rsid w:val="00365143"/>
    <w:rsid w:val="003750AC"/>
    <w:rsid w:val="00397284"/>
    <w:rsid w:val="003979CE"/>
    <w:rsid w:val="003B19A5"/>
    <w:rsid w:val="003C33C2"/>
    <w:rsid w:val="003D607F"/>
    <w:rsid w:val="004141D1"/>
    <w:rsid w:val="00416093"/>
    <w:rsid w:val="0042145F"/>
    <w:rsid w:val="0043239A"/>
    <w:rsid w:val="00432AB7"/>
    <w:rsid w:val="00436455"/>
    <w:rsid w:val="004472DE"/>
    <w:rsid w:val="0046193E"/>
    <w:rsid w:val="004809DA"/>
    <w:rsid w:val="004A31AF"/>
    <w:rsid w:val="004A4432"/>
    <w:rsid w:val="004A515C"/>
    <w:rsid w:val="004B02B4"/>
    <w:rsid w:val="004B2A99"/>
    <w:rsid w:val="004C133F"/>
    <w:rsid w:val="004C1A8D"/>
    <w:rsid w:val="004E32EA"/>
    <w:rsid w:val="004E548B"/>
    <w:rsid w:val="00542EC1"/>
    <w:rsid w:val="00574745"/>
    <w:rsid w:val="00586236"/>
    <w:rsid w:val="005A2646"/>
    <w:rsid w:val="005B2D7F"/>
    <w:rsid w:val="005B50D5"/>
    <w:rsid w:val="005B757C"/>
    <w:rsid w:val="005D17E7"/>
    <w:rsid w:val="005E0651"/>
    <w:rsid w:val="005E38CA"/>
    <w:rsid w:val="005F3B71"/>
    <w:rsid w:val="00601D11"/>
    <w:rsid w:val="006021A3"/>
    <w:rsid w:val="006114D8"/>
    <w:rsid w:val="00613AA2"/>
    <w:rsid w:val="006260E2"/>
    <w:rsid w:val="00647965"/>
    <w:rsid w:val="006623EB"/>
    <w:rsid w:val="00682FAB"/>
    <w:rsid w:val="006A355B"/>
    <w:rsid w:val="006B2F5C"/>
    <w:rsid w:val="006B7E6F"/>
    <w:rsid w:val="006C5EEB"/>
    <w:rsid w:val="006D31AC"/>
    <w:rsid w:val="006D47B4"/>
    <w:rsid w:val="006E0A01"/>
    <w:rsid w:val="006E2F76"/>
    <w:rsid w:val="007103D2"/>
    <w:rsid w:val="0071248C"/>
    <w:rsid w:val="007252C7"/>
    <w:rsid w:val="00747203"/>
    <w:rsid w:val="00752EC7"/>
    <w:rsid w:val="00763078"/>
    <w:rsid w:val="0078012D"/>
    <w:rsid w:val="0078256A"/>
    <w:rsid w:val="00783B7D"/>
    <w:rsid w:val="00787E6D"/>
    <w:rsid w:val="007927A3"/>
    <w:rsid w:val="007B21BB"/>
    <w:rsid w:val="007B796A"/>
    <w:rsid w:val="007C7B7A"/>
    <w:rsid w:val="007D0E2A"/>
    <w:rsid w:val="007D2CE5"/>
    <w:rsid w:val="007D3128"/>
    <w:rsid w:val="007F6CDA"/>
    <w:rsid w:val="00806BFD"/>
    <w:rsid w:val="008112DC"/>
    <w:rsid w:val="008241FD"/>
    <w:rsid w:val="00826146"/>
    <w:rsid w:val="0083243B"/>
    <w:rsid w:val="00834D15"/>
    <w:rsid w:val="0084458D"/>
    <w:rsid w:val="00851FDB"/>
    <w:rsid w:val="00873C65"/>
    <w:rsid w:val="00882525"/>
    <w:rsid w:val="00885086"/>
    <w:rsid w:val="00887EBC"/>
    <w:rsid w:val="008B68F7"/>
    <w:rsid w:val="008C0746"/>
    <w:rsid w:val="008D5DB4"/>
    <w:rsid w:val="008D7530"/>
    <w:rsid w:val="008E15DA"/>
    <w:rsid w:val="009058B7"/>
    <w:rsid w:val="009127A1"/>
    <w:rsid w:val="00921DD7"/>
    <w:rsid w:val="00924130"/>
    <w:rsid w:val="00933D74"/>
    <w:rsid w:val="009358D6"/>
    <w:rsid w:val="0094124A"/>
    <w:rsid w:val="00941C06"/>
    <w:rsid w:val="00944B1F"/>
    <w:rsid w:val="00947E8A"/>
    <w:rsid w:val="00953DDC"/>
    <w:rsid w:val="00954DC8"/>
    <w:rsid w:val="0095535F"/>
    <w:rsid w:val="009663B8"/>
    <w:rsid w:val="0098343D"/>
    <w:rsid w:val="00990DDA"/>
    <w:rsid w:val="0099419F"/>
    <w:rsid w:val="00995BF9"/>
    <w:rsid w:val="009C2AA0"/>
    <w:rsid w:val="009D6AD7"/>
    <w:rsid w:val="009D7043"/>
    <w:rsid w:val="009D718A"/>
    <w:rsid w:val="009D763F"/>
    <w:rsid w:val="009F5B1B"/>
    <w:rsid w:val="009F5FD8"/>
    <w:rsid w:val="00A075B3"/>
    <w:rsid w:val="00A10835"/>
    <w:rsid w:val="00A12F97"/>
    <w:rsid w:val="00A138F0"/>
    <w:rsid w:val="00A146AA"/>
    <w:rsid w:val="00A21360"/>
    <w:rsid w:val="00A356AB"/>
    <w:rsid w:val="00A435C3"/>
    <w:rsid w:val="00A707B2"/>
    <w:rsid w:val="00A737E8"/>
    <w:rsid w:val="00A81356"/>
    <w:rsid w:val="00A8220C"/>
    <w:rsid w:val="00A9424B"/>
    <w:rsid w:val="00A947B3"/>
    <w:rsid w:val="00A97C34"/>
    <w:rsid w:val="00AA7780"/>
    <w:rsid w:val="00AB7C53"/>
    <w:rsid w:val="00AC45C8"/>
    <w:rsid w:val="00AC4F8B"/>
    <w:rsid w:val="00AC572C"/>
    <w:rsid w:val="00AD6E12"/>
    <w:rsid w:val="00AE58C0"/>
    <w:rsid w:val="00AE7547"/>
    <w:rsid w:val="00AF1FF0"/>
    <w:rsid w:val="00B05DD7"/>
    <w:rsid w:val="00B233AB"/>
    <w:rsid w:val="00B417DF"/>
    <w:rsid w:val="00B45EB2"/>
    <w:rsid w:val="00B51A62"/>
    <w:rsid w:val="00B523F1"/>
    <w:rsid w:val="00B538EB"/>
    <w:rsid w:val="00B65213"/>
    <w:rsid w:val="00B65D8D"/>
    <w:rsid w:val="00B72A3C"/>
    <w:rsid w:val="00B72A57"/>
    <w:rsid w:val="00B80C5C"/>
    <w:rsid w:val="00BA68EE"/>
    <w:rsid w:val="00BB4B6D"/>
    <w:rsid w:val="00BC4515"/>
    <w:rsid w:val="00BC4DBB"/>
    <w:rsid w:val="00BE425A"/>
    <w:rsid w:val="00C12557"/>
    <w:rsid w:val="00C16D61"/>
    <w:rsid w:val="00C20C22"/>
    <w:rsid w:val="00C21608"/>
    <w:rsid w:val="00C23819"/>
    <w:rsid w:val="00C51D62"/>
    <w:rsid w:val="00C63E47"/>
    <w:rsid w:val="00C83DE3"/>
    <w:rsid w:val="00C94C4A"/>
    <w:rsid w:val="00CA2D14"/>
    <w:rsid w:val="00CA40D9"/>
    <w:rsid w:val="00CA45DB"/>
    <w:rsid w:val="00CA65EA"/>
    <w:rsid w:val="00CE1D4A"/>
    <w:rsid w:val="00CE6203"/>
    <w:rsid w:val="00CF525E"/>
    <w:rsid w:val="00CF63E5"/>
    <w:rsid w:val="00CF6877"/>
    <w:rsid w:val="00D03C03"/>
    <w:rsid w:val="00D06C22"/>
    <w:rsid w:val="00D13702"/>
    <w:rsid w:val="00D20DEB"/>
    <w:rsid w:val="00D30EAF"/>
    <w:rsid w:val="00D41ABB"/>
    <w:rsid w:val="00D4336A"/>
    <w:rsid w:val="00D54655"/>
    <w:rsid w:val="00D56DCD"/>
    <w:rsid w:val="00D65ABD"/>
    <w:rsid w:val="00D706EB"/>
    <w:rsid w:val="00D71D99"/>
    <w:rsid w:val="00D72218"/>
    <w:rsid w:val="00D754F2"/>
    <w:rsid w:val="00D84C17"/>
    <w:rsid w:val="00D861C5"/>
    <w:rsid w:val="00DA3F14"/>
    <w:rsid w:val="00DB41C0"/>
    <w:rsid w:val="00DB6963"/>
    <w:rsid w:val="00DC2361"/>
    <w:rsid w:val="00DC32B0"/>
    <w:rsid w:val="00DC4DB6"/>
    <w:rsid w:val="00DD10E4"/>
    <w:rsid w:val="00DD4121"/>
    <w:rsid w:val="00DE5173"/>
    <w:rsid w:val="00DF25FE"/>
    <w:rsid w:val="00E13862"/>
    <w:rsid w:val="00E31F4D"/>
    <w:rsid w:val="00E3292E"/>
    <w:rsid w:val="00E55200"/>
    <w:rsid w:val="00E65ECA"/>
    <w:rsid w:val="00E663EC"/>
    <w:rsid w:val="00E77B13"/>
    <w:rsid w:val="00E83323"/>
    <w:rsid w:val="00EA0884"/>
    <w:rsid w:val="00EB1AA4"/>
    <w:rsid w:val="00ED4461"/>
    <w:rsid w:val="00EE3E29"/>
    <w:rsid w:val="00EE566C"/>
    <w:rsid w:val="00EF07C2"/>
    <w:rsid w:val="00F27521"/>
    <w:rsid w:val="00F36879"/>
    <w:rsid w:val="00F41B70"/>
    <w:rsid w:val="00F50C62"/>
    <w:rsid w:val="00F5196A"/>
    <w:rsid w:val="00F56940"/>
    <w:rsid w:val="00F56C4F"/>
    <w:rsid w:val="00F761CC"/>
    <w:rsid w:val="00F77692"/>
    <w:rsid w:val="00FA1863"/>
    <w:rsid w:val="00FA29D6"/>
    <w:rsid w:val="00FD006E"/>
    <w:rsid w:val="00FD5BF4"/>
    <w:rsid w:val="00FE2F02"/>
    <w:rsid w:val="00FE46C9"/>
    <w:rsid w:val="00FE5406"/>
    <w:rsid w:val="00FF13F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47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5147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5147D"/>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5147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75147D"/>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75147D"/>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5147D"/>
    <w:rPr>
      <w:sz w:val="0"/>
      <w:szCs w:val="0"/>
      <w:lang w:val="nl-NL" w:eastAsia="nl-NL"/>
    </w:rPr>
  </w:style>
  <w:style w:type="paragraph" w:customStyle="1" w:styleId="SVTitel">
    <w:name w:val="SV Titel"/>
    <w:basedOn w:val="Normal"/>
    <w:uiPriority w:val="99"/>
    <w:rsid w:val="00AC4F8B"/>
    <w:pPr>
      <w:jc w:val="both"/>
    </w:pPr>
    <w:rPr>
      <w:i/>
      <w:iCs/>
      <w:szCs w:val="22"/>
    </w:rPr>
  </w:style>
  <w:style w:type="paragraph" w:styleId="NormalWeb">
    <w:name w:val="Normal (Web)"/>
    <w:basedOn w:val="Normal"/>
    <w:uiPriority w:val="99"/>
    <w:rsid w:val="00AC4F8B"/>
    <w:pPr>
      <w:spacing w:before="100" w:beforeAutospacing="1" w:after="75"/>
    </w:pPr>
    <w:rPr>
      <w:sz w:val="24"/>
    </w:rPr>
  </w:style>
  <w:style w:type="character" w:customStyle="1" w:styleId="E-mailStijl42">
    <w:name w:val="EmailStyle49"/>
    <w:aliases w:val="EmailStyle49"/>
    <w:basedOn w:val="DefaultParagraphFont"/>
    <w:uiPriority w:val="99"/>
    <w:semiHidden/>
    <w:personal/>
    <w:rsid w:val="00AC4F8B"/>
    <w:rPr>
      <w:rFonts w:ascii="Arial" w:hAnsi="Arial" w:cs="Arial"/>
      <w:color w:val="auto"/>
      <w:sz w:val="20"/>
      <w:szCs w:val="20"/>
    </w:rPr>
  </w:style>
  <w:style w:type="paragraph" w:customStyle="1" w:styleId="StandaardSV">
    <w:name w:val="Standaard SV"/>
    <w:basedOn w:val="Normal"/>
    <w:uiPriority w:val="99"/>
    <w:rsid w:val="00AC4F8B"/>
    <w:pPr>
      <w:jc w:val="both"/>
    </w:pPr>
    <w:rPr>
      <w:szCs w:val="20"/>
    </w:rPr>
  </w:style>
  <w:style w:type="paragraph" w:styleId="ListParagraph">
    <w:name w:val="List Paragraph"/>
    <w:basedOn w:val="Normal"/>
    <w:uiPriority w:val="99"/>
    <w:qFormat/>
    <w:rsid w:val="00F36879"/>
    <w:pPr>
      <w:ind w:left="720"/>
      <w:contextualSpacing/>
    </w:pPr>
  </w:style>
</w:styles>
</file>

<file path=word/webSettings.xml><?xml version="1.0" encoding="utf-8"?>
<w:webSettings xmlns:r="http://schemas.openxmlformats.org/officeDocument/2006/relationships" xmlns:w="http://schemas.openxmlformats.org/wordprocessingml/2006/main">
  <w:divs>
    <w:div w:id="1170676939">
      <w:marLeft w:val="0"/>
      <w:marRight w:val="0"/>
      <w:marTop w:val="0"/>
      <w:marBottom w:val="0"/>
      <w:divBdr>
        <w:top w:val="none" w:sz="0" w:space="0" w:color="auto"/>
        <w:left w:val="none" w:sz="0" w:space="0" w:color="auto"/>
        <w:bottom w:val="none" w:sz="0" w:space="0" w:color="auto"/>
        <w:right w:val="none" w:sz="0" w:space="0" w:color="auto"/>
      </w:divBdr>
    </w:div>
    <w:div w:id="1170676940">
      <w:marLeft w:val="0"/>
      <w:marRight w:val="0"/>
      <w:marTop w:val="0"/>
      <w:marBottom w:val="0"/>
      <w:divBdr>
        <w:top w:val="none" w:sz="0" w:space="0" w:color="auto"/>
        <w:left w:val="none" w:sz="0" w:space="0" w:color="auto"/>
        <w:bottom w:val="none" w:sz="0" w:space="0" w:color="auto"/>
        <w:right w:val="none" w:sz="0" w:space="0" w:color="auto"/>
      </w:divBdr>
    </w:div>
    <w:div w:id="1170676941">
      <w:marLeft w:val="0"/>
      <w:marRight w:val="0"/>
      <w:marTop w:val="0"/>
      <w:marBottom w:val="0"/>
      <w:divBdr>
        <w:top w:val="none" w:sz="0" w:space="0" w:color="auto"/>
        <w:left w:val="none" w:sz="0" w:space="0" w:color="auto"/>
        <w:bottom w:val="none" w:sz="0" w:space="0" w:color="auto"/>
        <w:right w:val="none" w:sz="0" w:space="0" w:color="auto"/>
      </w:divBdr>
    </w:div>
    <w:div w:id="1170676942">
      <w:marLeft w:val="0"/>
      <w:marRight w:val="0"/>
      <w:marTop w:val="0"/>
      <w:marBottom w:val="0"/>
      <w:divBdr>
        <w:top w:val="none" w:sz="0" w:space="0" w:color="auto"/>
        <w:left w:val="none" w:sz="0" w:space="0" w:color="auto"/>
        <w:bottom w:val="none" w:sz="0" w:space="0" w:color="auto"/>
        <w:right w:val="none" w:sz="0" w:space="0" w:color="auto"/>
      </w:divBdr>
    </w:div>
    <w:div w:id="1170676943">
      <w:marLeft w:val="0"/>
      <w:marRight w:val="0"/>
      <w:marTop w:val="0"/>
      <w:marBottom w:val="0"/>
      <w:divBdr>
        <w:top w:val="none" w:sz="0" w:space="0" w:color="auto"/>
        <w:left w:val="none" w:sz="0" w:space="0" w:color="auto"/>
        <w:bottom w:val="none" w:sz="0" w:space="0" w:color="auto"/>
        <w:right w:val="none" w:sz="0" w:space="0" w:color="auto"/>
      </w:divBdr>
    </w:div>
    <w:div w:id="117067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2</Pages>
  <Words>554</Words>
  <Characters>3052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dc:title>
  <dc:subject>Antwoord op Schriftelijke Vraag</dc:subject>
  <dc:creator>Marc Beckers</dc:creator>
  <cp:keywords/>
  <dc:description/>
  <cp:lastModifiedBy>Nathalie De Keyzer</cp:lastModifiedBy>
  <cp:revision>3</cp:revision>
  <cp:lastPrinted>2010-09-15T14:46:00Z</cp:lastPrinted>
  <dcterms:created xsi:type="dcterms:W3CDTF">2010-09-16T18:38:00Z</dcterms:created>
  <dcterms:modified xsi:type="dcterms:W3CDTF">2010-09-29T13:44:00Z</dcterms:modified>
</cp:coreProperties>
</file>