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9A" w:rsidRPr="0042081E" w:rsidRDefault="00735A9A" w:rsidP="00735A9A">
      <w:pPr>
        <w:ind w:left="348"/>
        <w:jc w:val="both"/>
        <w:rPr>
          <w:b/>
          <w:i/>
          <w:u w:val="single"/>
          <w:lang w:val="nl"/>
        </w:rPr>
      </w:pPr>
      <w:r w:rsidRPr="0042081E">
        <w:rPr>
          <w:b/>
          <w:i/>
          <w:u w:val="single"/>
          <w:lang w:val="nl"/>
        </w:rPr>
        <w:t>Bijlage: Ui</w:t>
      </w:r>
      <w:r w:rsidR="00F31180">
        <w:rPr>
          <w:b/>
          <w:i/>
          <w:u w:val="single"/>
          <w:lang w:val="nl"/>
        </w:rPr>
        <w:t>t</w:t>
      </w:r>
      <w:r w:rsidRPr="0042081E">
        <w:rPr>
          <w:b/>
          <w:i/>
          <w:u w:val="single"/>
          <w:lang w:val="nl"/>
        </w:rPr>
        <w:t xml:space="preserve">treksel uit </w:t>
      </w:r>
      <w:r w:rsidRPr="0042081E">
        <w:rPr>
          <w:b/>
          <w:i/>
          <w:u w:val="single"/>
          <w:lang w:val="nl-NL"/>
        </w:rPr>
        <w:t>het document Richtlijnen naar aanleiding van de federale verkiezingen van 13 juni 2010</w:t>
      </w:r>
    </w:p>
    <w:p w:rsidR="00735A9A" w:rsidRDefault="00735A9A" w:rsidP="00735A9A">
      <w:pPr>
        <w:ind w:left="348"/>
        <w:jc w:val="both"/>
        <w:rPr>
          <w:i/>
          <w:lang w:val="nl"/>
        </w:rPr>
      </w:pPr>
    </w:p>
    <w:p w:rsidR="00735A9A" w:rsidRPr="00BD72EF" w:rsidRDefault="00735A9A" w:rsidP="00735A9A">
      <w:pPr>
        <w:ind w:left="360"/>
        <w:jc w:val="both"/>
        <w:rPr>
          <w:i/>
          <w:sz w:val="20"/>
          <w:szCs w:val="20"/>
          <w:lang w:val="nl-NL"/>
        </w:rPr>
      </w:pPr>
      <w:r w:rsidRPr="00BD72EF">
        <w:rPr>
          <w:i/>
          <w:sz w:val="20"/>
          <w:szCs w:val="20"/>
          <w:lang w:val="nl-NL"/>
        </w:rPr>
        <w:t>“Richtlijnen voor het VRT-personeel</w:t>
      </w:r>
    </w:p>
    <w:p w:rsidR="00735A9A" w:rsidRPr="00BD72EF" w:rsidRDefault="00735A9A" w:rsidP="00735A9A">
      <w:pPr>
        <w:ind w:left="360"/>
        <w:jc w:val="both"/>
        <w:rPr>
          <w:i/>
          <w:sz w:val="20"/>
          <w:szCs w:val="20"/>
          <w:lang w:val="nl-NL"/>
        </w:rPr>
      </w:pPr>
    </w:p>
    <w:p w:rsidR="00735A9A" w:rsidRPr="00BD72EF" w:rsidRDefault="00735A9A" w:rsidP="00735A9A">
      <w:pPr>
        <w:ind w:left="360"/>
        <w:jc w:val="both"/>
        <w:rPr>
          <w:sz w:val="20"/>
          <w:szCs w:val="20"/>
          <w:lang w:val="nl-NL"/>
        </w:rPr>
      </w:pPr>
      <w:r w:rsidRPr="00BD72EF">
        <w:rPr>
          <w:sz w:val="20"/>
          <w:szCs w:val="20"/>
          <w:lang w:val="nl-NL"/>
        </w:rPr>
        <w:t>De richtlijnen die de geloofwaardigheid van de VRT als onafhankelijke en onpartijdige berichtgever garanderen, worden tijdens de carentieperiode uitgebreid. In geen geval mag  de indruk worden gewekt dat bepaalde politieke partijen, kandidaten of standpunten bevoordeeld of benadeeld worden.</w:t>
      </w:r>
      <w:r w:rsidRPr="00BD72EF">
        <w:rPr>
          <w:sz w:val="20"/>
          <w:szCs w:val="20"/>
          <w:vertAlign w:val="superscript"/>
          <w:lang w:val="nl-NL"/>
        </w:rPr>
        <w:t xml:space="preserve"> </w:t>
      </w:r>
      <w:r w:rsidRPr="00BD72EF">
        <w:rPr>
          <w:sz w:val="20"/>
          <w:szCs w:val="20"/>
          <w:lang w:val="nl-NL"/>
        </w:rPr>
        <w:t>Tegelijkertijd heeft de VRT de opdracht een leidinggevende rol te vervullen op gebied van informatie.</w:t>
      </w:r>
    </w:p>
    <w:p w:rsidR="00735A9A" w:rsidRPr="00BD72EF" w:rsidRDefault="00735A9A" w:rsidP="00735A9A">
      <w:pPr>
        <w:ind w:left="360"/>
        <w:jc w:val="both"/>
        <w:rPr>
          <w:sz w:val="20"/>
          <w:szCs w:val="20"/>
          <w:lang w:val="nl-NL"/>
        </w:rPr>
      </w:pPr>
    </w:p>
    <w:p w:rsidR="00735A9A" w:rsidRPr="00BD72EF" w:rsidRDefault="00735A9A" w:rsidP="00735A9A">
      <w:pPr>
        <w:ind w:left="360"/>
        <w:jc w:val="both"/>
        <w:rPr>
          <w:sz w:val="20"/>
          <w:szCs w:val="20"/>
          <w:lang w:val="nl-NL"/>
        </w:rPr>
      </w:pPr>
      <w:r w:rsidRPr="00BD72EF">
        <w:rPr>
          <w:sz w:val="20"/>
          <w:szCs w:val="20"/>
          <w:lang w:val="nl-NL"/>
        </w:rPr>
        <w:t>De volgende richtlijnen dienen dan ook te worden nageleefd :</w:t>
      </w:r>
    </w:p>
    <w:p w:rsidR="00735A9A" w:rsidRPr="00BD72EF" w:rsidRDefault="00735A9A" w:rsidP="00735A9A">
      <w:pPr>
        <w:numPr>
          <w:ilvl w:val="0"/>
          <w:numId w:val="3"/>
        </w:numPr>
        <w:ind w:left="643"/>
        <w:jc w:val="both"/>
        <w:rPr>
          <w:sz w:val="20"/>
          <w:szCs w:val="20"/>
          <w:lang w:val="nl-NL"/>
        </w:rPr>
      </w:pPr>
      <w:r w:rsidRPr="00BD72EF">
        <w:rPr>
          <w:sz w:val="20"/>
          <w:szCs w:val="20"/>
          <w:lang w:val="nl-NL"/>
        </w:rPr>
        <w:t>In alle programma’s, programma-items en berichten moet worden vermeden dat de indruk zou kunnen gewekt worden dat aan verkiezingspropaganda wordt gedaan. De informatieprogramma’s, de mededelingen en de programma’s met een algemene informatieve inslag, en alle informatieve onderdelen moeten immers in een geest van politieke en ideologische onpartijdigheid worden verzorgd.</w:t>
      </w:r>
    </w:p>
    <w:p w:rsidR="00735A9A" w:rsidRPr="00BD72EF" w:rsidRDefault="00735A9A" w:rsidP="00735A9A">
      <w:pPr>
        <w:numPr>
          <w:ilvl w:val="0"/>
          <w:numId w:val="3"/>
        </w:numPr>
        <w:ind w:left="643"/>
        <w:jc w:val="both"/>
        <w:rPr>
          <w:sz w:val="20"/>
          <w:szCs w:val="20"/>
          <w:lang w:val="nl-NL"/>
        </w:rPr>
      </w:pPr>
      <w:r w:rsidRPr="00BD72EF">
        <w:rPr>
          <w:sz w:val="20"/>
          <w:szCs w:val="20"/>
          <w:lang w:val="nl-NL"/>
        </w:rPr>
        <w:t>Enkel in de programma’s en programma-items die door de directie onder de redactionele verantwoordelijkheid van een hoofdredacteur zijn geplaatst, mogen politieke gasten uitgenodigd worden.</w:t>
      </w:r>
    </w:p>
    <w:p w:rsidR="00735A9A" w:rsidRPr="00BD72EF" w:rsidRDefault="00735A9A" w:rsidP="00735A9A">
      <w:pPr>
        <w:ind w:left="360"/>
        <w:jc w:val="both"/>
        <w:rPr>
          <w:sz w:val="20"/>
          <w:szCs w:val="20"/>
          <w:lang w:val="nl-NL"/>
        </w:rPr>
      </w:pPr>
    </w:p>
    <w:p w:rsidR="00735A9A" w:rsidRPr="00BD72EF" w:rsidRDefault="00735A9A" w:rsidP="00735A9A">
      <w:pPr>
        <w:ind w:left="360"/>
        <w:jc w:val="both"/>
        <w:rPr>
          <w:i/>
          <w:sz w:val="20"/>
          <w:szCs w:val="20"/>
          <w:lang w:val="nl-NL"/>
        </w:rPr>
      </w:pPr>
      <w:r w:rsidRPr="00BD72EF">
        <w:rPr>
          <w:i/>
          <w:sz w:val="20"/>
          <w:szCs w:val="20"/>
          <w:lang w:val="nl-NL"/>
        </w:rPr>
        <w:t>Richtlijnen voor zangers, acteurs, entertainers,…</w:t>
      </w:r>
    </w:p>
    <w:p w:rsidR="00735A9A" w:rsidRPr="00BD72EF" w:rsidRDefault="00735A9A" w:rsidP="00735A9A">
      <w:pPr>
        <w:ind w:left="360"/>
        <w:jc w:val="both"/>
        <w:rPr>
          <w:i/>
          <w:sz w:val="20"/>
          <w:szCs w:val="20"/>
          <w:lang w:val="nl-NL"/>
        </w:rPr>
      </w:pPr>
    </w:p>
    <w:p w:rsidR="00735A9A" w:rsidRPr="00BD72EF" w:rsidRDefault="00735A9A" w:rsidP="00735A9A">
      <w:pPr>
        <w:ind w:left="360"/>
        <w:jc w:val="both"/>
        <w:rPr>
          <w:sz w:val="20"/>
          <w:szCs w:val="20"/>
          <w:lang w:val="nl-NL"/>
        </w:rPr>
      </w:pPr>
      <w:r w:rsidRPr="00BD72EF">
        <w:rPr>
          <w:sz w:val="20"/>
          <w:szCs w:val="20"/>
          <w:lang w:val="nl-NL"/>
        </w:rPr>
        <w:t>De algemene richtlijnen zijn ook van toepassing op deze medewerkers. Zij moeten hun gewone act kunnen doen, maar als ze opkomen bij de verkiezingen moet hun medewerking beperkt blijven tot hetgeen hun gebruikelijke activiteit is. Uiteraard mogen deze medewerkers gedurende de carentieperiode niet speciaal worden geprogrammeerd met de bedoeling hen onder de aandacht van het publiek te brengen. In een spelprogramma of talkshow bijvoorbeeld mogen geen personen die bij het publiek als politicus bekend zijn, worden opgevoerd als panel- of praatgast, ook al komen ze nu niet op voor de verkiezingen en het mag evenmin indien de gasten weliswaar niet als politicus bekend zijn maar nu kandidaat zijn voor de verkiezingen.</w:t>
      </w:r>
    </w:p>
    <w:p w:rsidR="00735A9A" w:rsidRPr="00BD72EF" w:rsidRDefault="00735A9A" w:rsidP="00735A9A">
      <w:pPr>
        <w:ind w:left="360"/>
        <w:jc w:val="both"/>
        <w:rPr>
          <w:sz w:val="20"/>
          <w:szCs w:val="20"/>
          <w:lang w:val="nl-NL"/>
        </w:rPr>
      </w:pPr>
      <w:r w:rsidRPr="00BD72EF">
        <w:rPr>
          <w:sz w:val="20"/>
          <w:szCs w:val="20"/>
          <w:lang w:val="nl-NL"/>
        </w:rPr>
        <w:t>(…)</w:t>
      </w:r>
    </w:p>
    <w:p w:rsidR="00735A9A" w:rsidRPr="00BD72EF" w:rsidRDefault="00735A9A" w:rsidP="00735A9A">
      <w:pPr>
        <w:ind w:left="360"/>
        <w:jc w:val="both"/>
        <w:rPr>
          <w:sz w:val="20"/>
          <w:szCs w:val="20"/>
          <w:lang w:val="nl-NL"/>
        </w:rPr>
      </w:pPr>
      <w:r w:rsidRPr="00BD72EF">
        <w:rPr>
          <w:sz w:val="20"/>
          <w:szCs w:val="20"/>
          <w:lang w:val="nl-NL"/>
        </w:rPr>
        <w:t>Voor iedereen moet bij elk concreet probleem de leidraad zijn dat de programmamakers en verantwoordelijken zich opstellen op een manier waarbij elk redelijk denkend mens ervan overtuigd is dat in de uitzendingen geen enkele politieke partij, kandidaat of standpunt bevoordeeld of benadeeld wordt.</w:t>
      </w:r>
    </w:p>
    <w:p w:rsidR="00735A9A" w:rsidRPr="00BD72EF" w:rsidRDefault="00735A9A" w:rsidP="00735A9A">
      <w:pPr>
        <w:ind w:left="360"/>
        <w:jc w:val="both"/>
        <w:rPr>
          <w:sz w:val="20"/>
          <w:szCs w:val="20"/>
          <w:lang w:val="nl-NL"/>
        </w:rPr>
      </w:pPr>
    </w:p>
    <w:p w:rsidR="00735A9A" w:rsidRPr="00BD72EF" w:rsidRDefault="00735A9A" w:rsidP="00735A9A">
      <w:pPr>
        <w:ind w:left="360"/>
        <w:jc w:val="both"/>
        <w:rPr>
          <w:i/>
          <w:sz w:val="20"/>
          <w:szCs w:val="20"/>
          <w:lang w:val="nl-NL"/>
        </w:rPr>
      </w:pPr>
      <w:r w:rsidRPr="00BD72EF">
        <w:rPr>
          <w:i/>
          <w:sz w:val="20"/>
          <w:szCs w:val="20"/>
          <w:lang w:val="nl-NL"/>
        </w:rPr>
        <w:t>Richtlijnen voor zelfstandige medewerkers die toeleveren aan programma’s</w:t>
      </w:r>
    </w:p>
    <w:p w:rsidR="00735A9A" w:rsidRPr="00BD72EF" w:rsidRDefault="00735A9A" w:rsidP="00735A9A">
      <w:pPr>
        <w:ind w:left="360"/>
        <w:jc w:val="both"/>
        <w:rPr>
          <w:i/>
          <w:sz w:val="20"/>
          <w:szCs w:val="20"/>
          <w:lang w:val="nl-NL"/>
        </w:rPr>
      </w:pPr>
    </w:p>
    <w:p w:rsidR="00735A9A" w:rsidRPr="00BD72EF" w:rsidRDefault="00735A9A" w:rsidP="00735A9A">
      <w:pPr>
        <w:ind w:left="360"/>
        <w:jc w:val="both"/>
        <w:rPr>
          <w:sz w:val="20"/>
          <w:szCs w:val="20"/>
          <w:lang w:val="nl-NL"/>
        </w:rPr>
      </w:pPr>
      <w:r w:rsidRPr="00BD72EF">
        <w:rPr>
          <w:sz w:val="20"/>
          <w:szCs w:val="20"/>
          <w:lang w:val="nl-NL"/>
        </w:rPr>
        <w:t>Medewerkers die niet onder gezag staan van de VRT maar op een zelfstandige basis diensten leveren aan programma’s, programma-items of berichten dienen rekening te houden met de specifieke eisen van de uitzendingen tijdens de verkiezingsperiode. Voor de VRT is het belangrijk dat zijn geloofwaardigheid als onafhankelijke en onpartijdige omroep steeds gegarandeerd blijft. Er mag niet de indruk worden gewekt dat bepaalde politieke partijen of standpunten bevoordeeld of benadeeld worden. Enkel wie dit standpunt van strikte terughoudendheid in de uitzendingen onderschrijft, mag zijn medewerking aan de programma’s, programma-items en berichten blijven verlenen.</w:t>
      </w:r>
    </w:p>
    <w:p w:rsidR="00735A9A" w:rsidRPr="00BD72EF" w:rsidRDefault="00735A9A" w:rsidP="00735A9A">
      <w:pPr>
        <w:ind w:left="360"/>
        <w:jc w:val="both"/>
        <w:rPr>
          <w:sz w:val="20"/>
          <w:szCs w:val="20"/>
          <w:lang w:val="nl-NL"/>
        </w:rPr>
      </w:pPr>
    </w:p>
    <w:p w:rsidR="00735A9A" w:rsidRPr="00BD72EF" w:rsidRDefault="00735A9A" w:rsidP="00735A9A">
      <w:pPr>
        <w:ind w:left="360"/>
        <w:jc w:val="both"/>
        <w:rPr>
          <w:i/>
          <w:sz w:val="20"/>
          <w:szCs w:val="20"/>
          <w:lang w:val="nl-NL"/>
        </w:rPr>
      </w:pPr>
      <w:r w:rsidRPr="00BD72EF">
        <w:rPr>
          <w:i/>
          <w:sz w:val="20"/>
          <w:szCs w:val="20"/>
          <w:lang w:val="nl-NL"/>
        </w:rPr>
        <w:t>Richtlijnen t.a.v. programma’s toegeleverd door productiehuizen</w:t>
      </w:r>
    </w:p>
    <w:p w:rsidR="00735A9A" w:rsidRPr="00BD72EF" w:rsidRDefault="00735A9A" w:rsidP="00735A9A">
      <w:pPr>
        <w:ind w:left="360"/>
        <w:jc w:val="both"/>
        <w:rPr>
          <w:i/>
          <w:sz w:val="20"/>
          <w:szCs w:val="20"/>
          <w:lang w:val="nl-NL"/>
        </w:rPr>
      </w:pPr>
    </w:p>
    <w:p w:rsidR="00735A9A" w:rsidRPr="00BD72EF" w:rsidRDefault="00735A9A" w:rsidP="00735A9A">
      <w:pPr>
        <w:ind w:left="360"/>
        <w:jc w:val="both"/>
        <w:rPr>
          <w:sz w:val="20"/>
          <w:szCs w:val="20"/>
          <w:lang w:val="nl-NL"/>
        </w:rPr>
      </w:pPr>
      <w:r w:rsidRPr="00BD72EF">
        <w:rPr>
          <w:sz w:val="20"/>
          <w:szCs w:val="20"/>
          <w:lang w:val="nl-NL"/>
        </w:rPr>
        <w:t>De richtlijnen die hierboven aan bod komen zijn van toepassing op de programma’s die door productiehuizen worden toegeleverd of die in samenwerking of coproductie met derden tot stand komen.</w:t>
      </w:r>
    </w:p>
    <w:p w:rsidR="00735A9A" w:rsidRPr="00BD72EF" w:rsidRDefault="00735A9A" w:rsidP="00735A9A">
      <w:pPr>
        <w:ind w:left="360"/>
        <w:jc w:val="both"/>
        <w:rPr>
          <w:sz w:val="20"/>
          <w:szCs w:val="20"/>
          <w:lang w:val="nl-NL"/>
        </w:rPr>
      </w:pPr>
    </w:p>
    <w:p w:rsidR="00735A9A" w:rsidRPr="00BD72EF" w:rsidRDefault="00735A9A" w:rsidP="00735A9A">
      <w:pPr>
        <w:ind w:left="360"/>
        <w:jc w:val="both"/>
        <w:rPr>
          <w:i/>
          <w:sz w:val="20"/>
          <w:szCs w:val="20"/>
          <w:lang w:val="nl-NL"/>
        </w:rPr>
      </w:pPr>
      <w:r w:rsidRPr="00BD72EF">
        <w:rPr>
          <w:i/>
          <w:sz w:val="20"/>
          <w:szCs w:val="20"/>
          <w:lang w:val="nl-NL"/>
        </w:rPr>
        <w:t>Richtlijnen voor uitzendkrachten</w:t>
      </w:r>
    </w:p>
    <w:p w:rsidR="00735A9A" w:rsidRPr="00BD72EF" w:rsidRDefault="00735A9A" w:rsidP="00735A9A">
      <w:pPr>
        <w:ind w:left="360"/>
        <w:jc w:val="both"/>
        <w:rPr>
          <w:sz w:val="20"/>
          <w:szCs w:val="20"/>
          <w:lang w:val="nl-NL"/>
        </w:rPr>
      </w:pPr>
      <w:r w:rsidRPr="00BD72EF">
        <w:rPr>
          <w:sz w:val="20"/>
          <w:szCs w:val="20"/>
          <w:lang w:val="nl-NL"/>
        </w:rPr>
        <w:t>Ook voor de uitzendkrachten die worden tewerkgesteld bij de VRT geldt een meldingsplicht indien ze zich kandidaat stellen. Ze melden dit  aan het uitzendkantoor dat op zijn beurt de betrokken directies inlicht. Binnen de directies dienen de gepaste maatregelen te worden genomen om de richtlijnen die hierboven aan bod komen t.a.v. de uitzendkrachten in de praktijk om te zetten.”</w:t>
      </w:r>
    </w:p>
    <w:p w:rsidR="00735A9A" w:rsidRPr="00BD72EF" w:rsidRDefault="00735A9A" w:rsidP="00735A9A">
      <w:pPr>
        <w:ind w:left="348"/>
        <w:jc w:val="both"/>
        <w:rPr>
          <w:i/>
          <w:sz w:val="20"/>
          <w:szCs w:val="20"/>
          <w:lang w:val="nl-NL"/>
        </w:rPr>
      </w:pPr>
    </w:p>
    <w:p w:rsidR="00735A9A" w:rsidRPr="0042081E" w:rsidRDefault="00735A9A" w:rsidP="00735A9A">
      <w:pPr>
        <w:ind w:left="348"/>
        <w:jc w:val="both"/>
        <w:rPr>
          <w:i/>
          <w:lang w:val="nl"/>
        </w:rPr>
      </w:pPr>
    </w:p>
    <w:sectPr w:rsidR="00735A9A" w:rsidRPr="0042081E" w:rsidSect="00332E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E89498"/>
    <w:lvl w:ilvl="0">
      <w:numFmt w:val="bullet"/>
      <w:lvlText w:val="*"/>
      <w:lvlJc w:val="left"/>
    </w:lvl>
  </w:abstractNum>
  <w:abstractNum w:abstractNumId="1">
    <w:nsid w:val="275D5744"/>
    <w:multiLevelType w:val="hybridMultilevel"/>
    <w:tmpl w:val="C7A80658"/>
    <w:lvl w:ilvl="0" w:tplc="72B898E4">
      <w:start w:val="1"/>
      <w:numFmt w:val="decimal"/>
      <w:lvlText w:val="%1."/>
      <w:lvlJc w:val="left"/>
      <w:pPr>
        <w:tabs>
          <w:tab w:val="num" w:pos="720"/>
        </w:tabs>
        <w:ind w:left="720" w:hanging="360"/>
      </w:pPr>
    </w:lvl>
    <w:lvl w:ilvl="1" w:tplc="D93A449C">
      <w:start w:val="1"/>
      <w:numFmt w:val="lowerLetter"/>
      <w:lvlText w:val="%2)"/>
      <w:lvlJc w:val="left"/>
      <w:pPr>
        <w:tabs>
          <w:tab w:val="num" w:pos="1440"/>
        </w:tabs>
        <w:ind w:left="1440" w:hanging="360"/>
      </w:pPr>
    </w:lvl>
    <w:lvl w:ilvl="2" w:tplc="8C24D5EE" w:tentative="1">
      <w:start w:val="1"/>
      <w:numFmt w:val="lowerRoman"/>
      <w:lvlText w:val="%3."/>
      <w:lvlJc w:val="right"/>
      <w:pPr>
        <w:tabs>
          <w:tab w:val="num" w:pos="2160"/>
        </w:tabs>
        <w:ind w:left="2160" w:hanging="180"/>
      </w:pPr>
    </w:lvl>
    <w:lvl w:ilvl="3" w:tplc="944CD132" w:tentative="1">
      <w:start w:val="1"/>
      <w:numFmt w:val="decimal"/>
      <w:lvlText w:val="%4."/>
      <w:lvlJc w:val="left"/>
      <w:pPr>
        <w:tabs>
          <w:tab w:val="num" w:pos="2880"/>
        </w:tabs>
        <w:ind w:left="2880" w:hanging="360"/>
      </w:pPr>
    </w:lvl>
    <w:lvl w:ilvl="4" w:tplc="1268881E" w:tentative="1">
      <w:start w:val="1"/>
      <w:numFmt w:val="lowerLetter"/>
      <w:lvlText w:val="%5."/>
      <w:lvlJc w:val="left"/>
      <w:pPr>
        <w:tabs>
          <w:tab w:val="num" w:pos="3600"/>
        </w:tabs>
        <w:ind w:left="3600" w:hanging="360"/>
      </w:pPr>
    </w:lvl>
    <w:lvl w:ilvl="5" w:tplc="8F949ACA" w:tentative="1">
      <w:start w:val="1"/>
      <w:numFmt w:val="lowerRoman"/>
      <w:lvlText w:val="%6."/>
      <w:lvlJc w:val="right"/>
      <w:pPr>
        <w:tabs>
          <w:tab w:val="num" w:pos="4320"/>
        </w:tabs>
        <w:ind w:left="4320" w:hanging="180"/>
      </w:pPr>
    </w:lvl>
    <w:lvl w:ilvl="6" w:tplc="CE565946" w:tentative="1">
      <w:start w:val="1"/>
      <w:numFmt w:val="decimal"/>
      <w:lvlText w:val="%7."/>
      <w:lvlJc w:val="left"/>
      <w:pPr>
        <w:tabs>
          <w:tab w:val="num" w:pos="5040"/>
        </w:tabs>
        <w:ind w:left="5040" w:hanging="360"/>
      </w:pPr>
    </w:lvl>
    <w:lvl w:ilvl="7" w:tplc="2A5C6E1E" w:tentative="1">
      <w:start w:val="1"/>
      <w:numFmt w:val="lowerLetter"/>
      <w:lvlText w:val="%8."/>
      <w:lvlJc w:val="left"/>
      <w:pPr>
        <w:tabs>
          <w:tab w:val="num" w:pos="5760"/>
        </w:tabs>
        <w:ind w:left="5760" w:hanging="360"/>
      </w:pPr>
    </w:lvl>
    <w:lvl w:ilvl="8" w:tplc="052260F6" w:tentative="1">
      <w:start w:val="1"/>
      <w:numFmt w:val="lowerRoman"/>
      <w:lvlText w:val="%9."/>
      <w:lvlJc w:val="right"/>
      <w:pPr>
        <w:tabs>
          <w:tab w:val="num" w:pos="6480"/>
        </w:tabs>
        <w:ind w:left="6480" w:hanging="180"/>
      </w:pPr>
    </w:lvl>
  </w:abstractNum>
  <w:abstractNum w:abstractNumId="2">
    <w:nsid w:val="4A4D3C98"/>
    <w:multiLevelType w:val="hybridMultilevel"/>
    <w:tmpl w:val="FA0EA354"/>
    <w:lvl w:ilvl="0" w:tplc="FE06B4DE">
      <w:start w:val="1"/>
      <w:numFmt w:val="bullet"/>
      <w:lvlText w:val=""/>
      <w:lvlJc w:val="left"/>
      <w:pPr>
        <w:tabs>
          <w:tab w:val="num" w:pos="768"/>
        </w:tabs>
        <w:ind w:left="768" w:hanging="360"/>
      </w:pPr>
      <w:rPr>
        <w:rFonts w:ascii="Symbol" w:hAnsi="Symbol" w:hint="default"/>
      </w:rPr>
    </w:lvl>
    <w:lvl w:ilvl="1" w:tplc="5F2E0598" w:tentative="1">
      <w:start w:val="1"/>
      <w:numFmt w:val="bullet"/>
      <w:lvlText w:val="o"/>
      <w:lvlJc w:val="left"/>
      <w:pPr>
        <w:tabs>
          <w:tab w:val="num" w:pos="1488"/>
        </w:tabs>
        <w:ind w:left="1488" w:hanging="360"/>
      </w:pPr>
      <w:rPr>
        <w:rFonts w:ascii="Courier New" w:hAnsi="Courier New" w:cs="Courier New" w:hint="default"/>
      </w:rPr>
    </w:lvl>
    <w:lvl w:ilvl="2" w:tplc="FF82A1C6" w:tentative="1">
      <w:start w:val="1"/>
      <w:numFmt w:val="bullet"/>
      <w:lvlText w:val=""/>
      <w:lvlJc w:val="left"/>
      <w:pPr>
        <w:tabs>
          <w:tab w:val="num" w:pos="2208"/>
        </w:tabs>
        <w:ind w:left="2208" w:hanging="360"/>
      </w:pPr>
      <w:rPr>
        <w:rFonts w:ascii="Wingdings" w:hAnsi="Wingdings" w:hint="default"/>
      </w:rPr>
    </w:lvl>
    <w:lvl w:ilvl="3" w:tplc="98E297C4" w:tentative="1">
      <w:start w:val="1"/>
      <w:numFmt w:val="bullet"/>
      <w:lvlText w:val=""/>
      <w:lvlJc w:val="left"/>
      <w:pPr>
        <w:tabs>
          <w:tab w:val="num" w:pos="2928"/>
        </w:tabs>
        <w:ind w:left="2928" w:hanging="360"/>
      </w:pPr>
      <w:rPr>
        <w:rFonts w:ascii="Symbol" w:hAnsi="Symbol" w:hint="default"/>
      </w:rPr>
    </w:lvl>
    <w:lvl w:ilvl="4" w:tplc="B6B48CF8" w:tentative="1">
      <w:start w:val="1"/>
      <w:numFmt w:val="bullet"/>
      <w:lvlText w:val="o"/>
      <w:lvlJc w:val="left"/>
      <w:pPr>
        <w:tabs>
          <w:tab w:val="num" w:pos="3648"/>
        </w:tabs>
        <w:ind w:left="3648" w:hanging="360"/>
      </w:pPr>
      <w:rPr>
        <w:rFonts w:ascii="Courier New" w:hAnsi="Courier New" w:cs="Courier New" w:hint="default"/>
      </w:rPr>
    </w:lvl>
    <w:lvl w:ilvl="5" w:tplc="883A7A8E" w:tentative="1">
      <w:start w:val="1"/>
      <w:numFmt w:val="bullet"/>
      <w:lvlText w:val=""/>
      <w:lvlJc w:val="left"/>
      <w:pPr>
        <w:tabs>
          <w:tab w:val="num" w:pos="4368"/>
        </w:tabs>
        <w:ind w:left="4368" w:hanging="360"/>
      </w:pPr>
      <w:rPr>
        <w:rFonts w:ascii="Wingdings" w:hAnsi="Wingdings" w:hint="default"/>
      </w:rPr>
    </w:lvl>
    <w:lvl w:ilvl="6" w:tplc="0942AB14" w:tentative="1">
      <w:start w:val="1"/>
      <w:numFmt w:val="bullet"/>
      <w:lvlText w:val=""/>
      <w:lvlJc w:val="left"/>
      <w:pPr>
        <w:tabs>
          <w:tab w:val="num" w:pos="5088"/>
        </w:tabs>
        <w:ind w:left="5088" w:hanging="360"/>
      </w:pPr>
      <w:rPr>
        <w:rFonts w:ascii="Symbol" w:hAnsi="Symbol" w:hint="default"/>
      </w:rPr>
    </w:lvl>
    <w:lvl w:ilvl="7" w:tplc="B79C4D10" w:tentative="1">
      <w:start w:val="1"/>
      <w:numFmt w:val="bullet"/>
      <w:lvlText w:val="o"/>
      <w:lvlJc w:val="left"/>
      <w:pPr>
        <w:tabs>
          <w:tab w:val="num" w:pos="5808"/>
        </w:tabs>
        <w:ind w:left="5808" w:hanging="360"/>
      </w:pPr>
      <w:rPr>
        <w:rFonts w:ascii="Courier New" w:hAnsi="Courier New" w:cs="Courier New" w:hint="default"/>
      </w:rPr>
    </w:lvl>
    <w:lvl w:ilvl="8" w:tplc="DE9A3CE4" w:tentative="1">
      <w:start w:val="1"/>
      <w:numFmt w:val="bullet"/>
      <w:lvlText w:val=""/>
      <w:lvlJc w:val="left"/>
      <w:pPr>
        <w:tabs>
          <w:tab w:val="num" w:pos="6528"/>
        </w:tabs>
        <w:ind w:left="6528" w:hanging="360"/>
      </w:pPr>
      <w:rPr>
        <w:rFonts w:ascii="Wingdings" w:hAnsi="Wingdings" w:hint="default"/>
      </w:rPr>
    </w:lvl>
  </w:abstractNum>
  <w:abstractNum w:abstractNumId="3">
    <w:nsid w:val="7E3C0635"/>
    <w:multiLevelType w:val="singleLevel"/>
    <w:tmpl w:val="D6504492"/>
    <w:lvl w:ilvl="0">
      <w:start w:val="1"/>
      <w:numFmt w:val="decimal"/>
      <w:lvlText w:val="%1."/>
      <w:legacy w:legacy="1" w:legacySpace="0" w:legacyIndent="283"/>
      <w:lvlJc w:val="left"/>
      <w:pPr>
        <w:ind w:left="283" w:hanging="283"/>
      </w:pPr>
    </w:lvl>
  </w:abstractNum>
  <w:num w:numId="1">
    <w:abstractNumId w:val="1"/>
  </w:num>
  <w:num w:numId="2">
    <w:abstractNumId w:val="0"/>
    <w:lvlOverride w:ilvl="0">
      <w:lvl w:ilvl="0">
        <w:start w:val="1"/>
        <w:numFmt w:val="bullet"/>
        <w:lvlText w:val=""/>
        <w:legacy w:legacy="1" w:legacySpace="0" w:legacyIndent="283"/>
        <w:lvlJc w:val="left"/>
        <w:pPr>
          <w:ind w:left="343" w:hanging="283"/>
        </w:pPr>
        <w:rPr>
          <w:rFonts w:ascii="Wingdings" w:hAnsi="Wingdings" w:hint="default"/>
          <w:b w:val="0"/>
          <w:i w:val="0"/>
          <w:sz w:val="22"/>
        </w:rPr>
      </w:lvl>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spelling="clean"/>
  <w:stylePaneFormatFilter w:val="3F01"/>
  <w:defaultTabStop w:val="708"/>
  <w:hyphenationZone w:val="425"/>
  <w:noPunctuationKerning/>
  <w:characterSpacingControl w:val="doNotCompress"/>
  <w:compat/>
  <w:rsids>
    <w:rsidRoot w:val="003B760B"/>
    <w:rsid w:val="00332E04"/>
    <w:rsid w:val="0036414C"/>
    <w:rsid w:val="003B760B"/>
    <w:rsid w:val="00735A9A"/>
    <w:rsid w:val="00B52DA4"/>
    <w:rsid w:val="00F31180"/>
    <w:rsid w:val="00F320E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2E0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r">
    <w:name w:val="Char"/>
    <w:basedOn w:val="Standaard"/>
    <w:rsid w:val="003B760B"/>
    <w:pPr>
      <w:keepLines/>
      <w:pBdr>
        <w:top w:val="single" w:sz="4" w:space="1" w:color="auto"/>
      </w:pBdr>
      <w:snapToGrid w:val="0"/>
      <w:spacing w:before="480"/>
      <w:jc w:val="both"/>
    </w:pPr>
    <w:rPr>
      <w:i/>
      <w:iCs/>
      <w:lang w:val="fr-FR" w:eastAsia="en-GB"/>
    </w:rPr>
  </w:style>
  <w:style w:type="paragraph" w:styleId="Ballontekst">
    <w:name w:val="Balloon Text"/>
    <w:basedOn w:val="Standaard"/>
    <w:semiHidden/>
    <w:rsid w:val="00034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Antwoord op de schriftelijke vraag van de heer Wim Wienen, Vlaams volksvertegenwoordiger aan mevrouw Ingrid Lieten, Viceminister-president van de Vlaamse Regering, Vlaams Minister van Innovatie, Overheidsinvesteringen, Media en Armoedebestrijding VRT-pro</vt:lpstr>
    </vt:vector>
  </TitlesOfParts>
  <Company>VRT</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de schriftelijke vraag van de heer Wim Wienen, Vlaams volksvertegenwoordiger aan mevrouw Ingrid Lieten, Viceminister-president van de Vlaamse Regering, Vlaams Minister van Innovatie, Overheidsinvesteringen, Media en Armoedebestrijding VRT-pro</dc:title>
  <dc:creator>Frederik Leyts</dc:creator>
  <cp:lastModifiedBy>rendermb</cp:lastModifiedBy>
  <cp:revision>3</cp:revision>
  <cp:lastPrinted>2010-09-28T08:36:00Z</cp:lastPrinted>
  <dcterms:created xsi:type="dcterms:W3CDTF">2010-09-13T13:45:00Z</dcterms:created>
  <dcterms:modified xsi:type="dcterms:W3CDTF">2010-09-28T08:36:00Z</dcterms:modified>
</cp:coreProperties>
</file>