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A1C6D" w:rsidRPr="00DD4121" w:rsidRDefault="006A1C6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p w:rsidR="006A1C6D" w:rsidRPr="00015BF7" w:rsidRDefault="006A1C6D" w:rsidP="000976E9">
      <w:pPr>
        <w:pStyle w:val="A-TitelMinister"/>
      </w:pPr>
      <w:r>
        <w:t>minister-president van de vlaamse regering, vlaams minister van economie, buitenlands beleid, landbouw en plattelandsbeleid</w:t>
      </w:r>
    </w:p>
    <w:p w:rsidR="006A1C6D" w:rsidRPr="00015BF7" w:rsidRDefault="006A1C6D" w:rsidP="000976E9">
      <w:pPr>
        <w:rPr>
          <w:szCs w:val="22"/>
        </w:rPr>
      </w:pPr>
    </w:p>
    <w:p w:rsidR="006A1C6D" w:rsidRPr="00DB41C0" w:rsidRDefault="006A1C6D" w:rsidP="000976E9">
      <w:pPr>
        <w:pStyle w:val="A-Lijn"/>
      </w:pPr>
    </w:p>
    <w:p w:rsidR="006A1C6D" w:rsidRDefault="006A1C6D" w:rsidP="000976E9">
      <w:pPr>
        <w:pStyle w:val="A-Type"/>
        <w:sectPr w:rsidR="006A1C6D">
          <w:pgSz w:w="11906" w:h="16838"/>
          <w:pgMar w:top="1417" w:right="1417" w:bottom="1417" w:left="1417" w:header="708" w:footer="708" w:gutter="0"/>
          <w:cols w:space="708"/>
          <w:rtlGutter/>
          <w:docGrid w:linePitch="360"/>
        </w:sectPr>
      </w:pPr>
    </w:p>
    <w:p w:rsidR="006A1C6D" w:rsidRDefault="006A1C6D" w:rsidP="000976E9">
      <w:pPr>
        <w:pStyle w:val="A-Type"/>
        <w:sectPr w:rsidR="006A1C6D"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6A1C6D" w:rsidRPr="00326A58" w:rsidRDefault="006A1C6D" w:rsidP="000976E9">
      <w:pPr>
        <w:pStyle w:val="A-Type"/>
        <w:rPr>
          <w:b w:val="0"/>
        </w:rPr>
      </w:pPr>
      <w:r w:rsidRPr="00326A58">
        <w:rPr>
          <w:b w:val="0"/>
          <w:smallCaps w:val="0"/>
        </w:rPr>
        <w:t>op vraag nr.</w:t>
      </w:r>
      <w:r w:rsidRPr="00326A58">
        <w:rPr>
          <w:b w:val="0"/>
        </w:rPr>
        <w:t xml:space="preserve"> </w:t>
      </w:r>
      <w:bookmarkStart w:id="1"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293</w:t>
      </w:r>
      <w:r w:rsidRPr="00326A58">
        <w:rPr>
          <w:b w:val="0"/>
        </w:rPr>
        <w:fldChar w:fldCharType="end"/>
      </w:r>
      <w:bookmarkEnd w:id="1"/>
      <w:r w:rsidRPr="00326A58">
        <w:rPr>
          <w:b w:val="0"/>
        </w:rPr>
        <w:t xml:space="preserve"> </w:t>
      </w:r>
      <w:r w:rsidRPr="00326A58">
        <w:rPr>
          <w:b w:val="0"/>
          <w:smallCaps w:val="0"/>
        </w:rPr>
        <w:t>van</w:t>
      </w:r>
      <w:r w:rsidRPr="00326A58">
        <w:rPr>
          <w:b w:val="0"/>
        </w:rPr>
        <w:t xml:space="preserve"> </w:t>
      </w:r>
      <w:bookmarkStart w:id="2"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29</w:t>
      </w:r>
      <w:r>
        <w:rPr>
          <w:b w:val="0"/>
        </w:rPr>
        <w:fldChar w:fldCharType="end"/>
      </w:r>
      <w:bookmarkEnd w:id="2"/>
      <w:r w:rsidRPr="00326A58">
        <w:rPr>
          <w:b w:val="0"/>
        </w:rPr>
        <w:t xml:space="preserve"> </w:t>
      </w:r>
      <w:bookmarkStart w:id="3"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3"/>
      <w:r w:rsidRPr="00326A58">
        <w:rPr>
          <w:b w:val="0"/>
        </w:rPr>
        <w:t xml:space="preserve"> </w:t>
      </w:r>
      <w:bookmarkStart w:id="4" w:name="Dropdown3"/>
      <w:r>
        <w:rPr>
          <w:b w:val="0"/>
        </w:rPr>
        <w:fldChar w:fldCharType="begin">
          <w:ffData>
            <w:name w:val="Dropdown3"/>
            <w:enabled/>
            <w:calcOnExit w:val="0"/>
            <w:statusText w:type="text" w:val="Kies het jaar waarin de vraag gesteld werd..."/>
            <w:ddList>
              <w:result w:val="6"/>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4"/>
    </w:p>
    <w:p w:rsidR="006A1C6D" w:rsidRDefault="006A1C6D"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6A1C6D" w:rsidRPr="00015BF7" w:rsidRDefault="006A1C6D" w:rsidP="000976E9">
      <w:pPr>
        <w:rPr>
          <w:szCs w:val="22"/>
        </w:rPr>
      </w:pPr>
    </w:p>
    <w:p w:rsidR="006A1C6D" w:rsidRPr="00DB41C0" w:rsidRDefault="006A1C6D" w:rsidP="000976E9">
      <w:pPr>
        <w:pStyle w:val="A-Lijn"/>
      </w:pPr>
    </w:p>
    <w:p w:rsidR="006A1C6D" w:rsidRDefault="006A1C6D" w:rsidP="00DB41C0">
      <w:pPr>
        <w:sectPr w:rsidR="006A1C6D" w:rsidSect="000976E9">
          <w:type w:val="continuous"/>
          <w:pgSz w:w="11906" w:h="16838"/>
          <w:pgMar w:top="1417" w:right="1417" w:bottom="1417" w:left="1417" w:header="708" w:footer="708" w:gutter="0"/>
          <w:cols w:space="708"/>
          <w:rtlGutter/>
          <w:docGrid w:linePitch="360"/>
        </w:sectPr>
      </w:pPr>
    </w:p>
    <w:p w:rsidR="006A1C6D" w:rsidRDefault="006A1C6D" w:rsidP="00DD19EF">
      <w:pPr>
        <w:jc w:val="both"/>
      </w:pPr>
    </w:p>
    <w:p w:rsidR="006A1C6D" w:rsidRDefault="006A1C6D" w:rsidP="00A01335">
      <w:pPr>
        <w:numPr>
          <w:ilvl w:val="0"/>
          <w:numId w:val="3"/>
        </w:numPr>
        <w:tabs>
          <w:tab w:val="left" w:pos="360"/>
        </w:tabs>
        <w:autoSpaceDE w:val="0"/>
        <w:autoSpaceDN w:val="0"/>
        <w:adjustRightInd w:val="0"/>
        <w:ind w:left="426" w:hanging="426"/>
        <w:jc w:val="both"/>
        <w:rPr>
          <w:szCs w:val="22"/>
          <w:lang w:val="nl-BE" w:eastAsia="nl-BE"/>
        </w:rPr>
      </w:pPr>
      <w:r w:rsidRPr="006A3E3E">
        <w:rPr>
          <w:szCs w:val="22"/>
          <w:lang w:val="nl-BE" w:eastAsia="nl-BE"/>
        </w:rPr>
        <w:t>Vlaanderen wil tegen 2020 bij de topregio’s behoren op vlak van perfomantie, efficiëntie en effectiviteit. Het is evident dat de Vlaamse overheid hier een voorbeeldrol neemt. In dat kader richtte de Vlaamse Regering de Commissie Efficiënte en Effectieve Overheid (CEEO) op. In tegenstelling tot de adviesraden, die opgericht zijn naar aanleiding van de herorganisatie Beter Bestuurlijk Beleid (BBB), richt de CEEO zich specifiek op het thema efficiëntie en effectiviteit</w:t>
      </w:r>
      <w:r>
        <w:rPr>
          <w:szCs w:val="22"/>
          <w:lang w:val="nl-BE" w:eastAsia="nl-BE"/>
        </w:rPr>
        <w:t xml:space="preserve"> organisatiebreed</w:t>
      </w:r>
      <w:r w:rsidRPr="006A3E3E">
        <w:rPr>
          <w:szCs w:val="22"/>
          <w:lang w:val="nl-BE" w:eastAsia="nl-BE"/>
        </w:rPr>
        <w:t xml:space="preserve">. Het op 26 mei 2009 overhandigde rapport is een vertrekbasis dat verder moet worden geconcretiseerd. </w:t>
      </w:r>
      <w:r>
        <w:rPr>
          <w:szCs w:val="22"/>
          <w:lang w:val="nl-BE" w:eastAsia="nl-BE"/>
        </w:rPr>
        <w:t>Met het oog hierop is h</w:t>
      </w:r>
      <w:r w:rsidRPr="006A3E3E">
        <w:rPr>
          <w:szCs w:val="22"/>
          <w:lang w:val="nl-BE" w:eastAsia="nl-BE"/>
        </w:rPr>
        <w:t>et noodzakelijk dat de CEEO in de toekomst haar functies verder zet en uitbreidt</w:t>
      </w:r>
      <w:r>
        <w:rPr>
          <w:szCs w:val="22"/>
          <w:lang w:val="nl-BE" w:eastAsia="nl-BE"/>
        </w:rPr>
        <w:t xml:space="preserve"> volgens een drieledige taakomschrijving, zoals wordt toegelicht onder punt 2.</w:t>
      </w:r>
    </w:p>
    <w:p w:rsidR="006A1C6D" w:rsidRPr="006A3E3E" w:rsidRDefault="006A1C6D" w:rsidP="00A01335">
      <w:pPr>
        <w:tabs>
          <w:tab w:val="left" w:pos="360"/>
        </w:tabs>
        <w:autoSpaceDE w:val="0"/>
        <w:autoSpaceDN w:val="0"/>
        <w:adjustRightInd w:val="0"/>
        <w:ind w:left="426"/>
        <w:jc w:val="both"/>
        <w:rPr>
          <w:szCs w:val="22"/>
          <w:lang w:val="nl-BE" w:eastAsia="nl-BE"/>
        </w:rPr>
      </w:pPr>
    </w:p>
    <w:p w:rsidR="006A1C6D" w:rsidRDefault="006A1C6D" w:rsidP="00A01335">
      <w:pPr>
        <w:autoSpaceDE w:val="0"/>
        <w:autoSpaceDN w:val="0"/>
        <w:adjustRightInd w:val="0"/>
        <w:ind w:left="426"/>
        <w:jc w:val="both"/>
        <w:rPr>
          <w:szCs w:val="22"/>
          <w:lang w:val="nl-BE" w:eastAsia="nl-BE"/>
        </w:rPr>
      </w:pPr>
      <w:r>
        <w:rPr>
          <w:szCs w:val="22"/>
          <w:lang w:val="nl-BE" w:eastAsia="nl-BE"/>
        </w:rPr>
        <w:t>Zoals uit bovenstaande blijkt moeten de werkzaamheden van de CEEO gezien in het licht van de ambitie om tegen 2020 bij de topregio’s op het vlak van performantie, efficiëntie en effectiviteit te behoren. Er is op dit ogenblik daarom nog geen datum voor stopzetting van de CEEO vastgelegd. De behoefte zal periodiek geëvalueerd worden in het licht van deze doelstelling.</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4"/>
        </w:numPr>
        <w:tabs>
          <w:tab w:val="left" w:pos="360"/>
        </w:tabs>
        <w:autoSpaceDE w:val="0"/>
        <w:autoSpaceDN w:val="0"/>
        <w:adjustRightInd w:val="0"/>
        <w:ind w:left="426" w:hanging="426"/>
        <w:jc w:val="both"/>
        <w:rPr>
          <w:szCs w:val="22"/>
          <w:lang w:val="nl-BE" w:eastAsia="nl-BE"/>
        </w:rPr>
      </w:pPr>
      <w:r w:rsidRPr="006A3E3E">
        <w:rPr>
          <w:szCs w:val="22"/>
          <w:lang w:val="nl-BE" w:eastAsia="nl-BE"/>
        </w:rPr>
        <w:t>De taakomschrijving van de heropgestarte CEEO is drieledig :</w:t>
      </w:r>
    </w:p>
    <w:p w:rsidR="006A1C6D" w:rsidRPr="006A3E3E" w:rsidRDefault="006A1C6D" w:rsidP="00D802E3">
      <w:pPr>
        <w:autoSpaceDE w:val="0"/>
        <w:autoSpaceDN w:val="0"/>
        <w:adjustRightInd w:val="0"/>
        <w:ind w:left="840" w:hanging="414"/>
        <w:jc w:val="both"/>
        <w:rPr>
          <w:szCs w:val="22"/>
          <w:lang w:val="nl-BE" w:eastAsia="nl-BE"/>
        </w:rPr>
      </w:pPr>
      <w:r w:rsidRPr="006A3E3E">
        <w:rPr>
          <w:szCs w:val="22"/>
          <w:lang w:val="nl-BE" w:eastAsia="nl-BE"/>
        </w:rPr>
        <w:t>a.</w:t>
      </w:r>
      <w:r w:rsidRPr="006A3E3E">
        <w:rPr>
          <w:szCs w:val="22"/>
          <w:lang w:val="nl-BE" w:eastAsia="nl-BE"/>
        </w:rPr>
        <w:tab/>
        <w:t>als visiegroep en gemeenschappelijke denktank, formuleert de CEEO voorstellen en aanbevelingen die op termijn moeten leiden tot efficiënt, effectief en innoverend optreden van de overheden in Vlaanderen; het op 26 mei 2009 overhandigd finaal rapport van de eerste CEEO dient hiervoor als vertrekbasis;</w:t>
      </w:r>
    </w:p>
    <w:p w:rsidR="006A1C6D" w:rsidRPr="006A3E3E" w:rsidRDefault="006A1C6D" w:rsidP="00D802E3">
      <w:pPr>
        <w:autoSpaceDE w:val="0"/>
        <w:autoSpaceDN w:val="0"/>
        <w:adjustRightInd w:val="0"/>
        <w:ind w:left="840" w:hanging="414"/>
        <w:jc w:val="both"/>
        <w:rPr>
          <w:szCs w:val="22"/>
          <w:lang w:val="nl-BE" w:eastAsia="nl-BE"/>
        </w:rPr>
      </w:pPr>
      <w:r w:rsidRPr="006A3E3E">
        <w:rPr>
          <w:szCs w:val="22"/>
          <w:lang w:val="nl-BE" w:eastAsia="nl-BE"/>
        </w:rPr>
        <w:t>b.</w:t>
      </w:r>
      <w:r w:rsidRPr="006A3E3E">
        <w:rPr>
          <w:szCs w:val="22"/>
          <w:lang w:val="nl-BE" w:eastAsia="nl-BE"/>
        </w:rPr>
        <w:tab/>
        <w:t>als extern klankbord adviseert en rapporteert de CEEO aan de Vlaamse Regering over de verdere uitwerking van de beleidsmaatregelen die gericht zijn op winsten op het vlak van efficiëntie en effectiviteit. Ze bewaakt eveneens de afstemming tussen het voorgaande en de relevante doelstellingen van het Pact 2020 met betrekking tot het overheidsoptreden, en ook tussen deze doelstellingen en de voorstellen van de Vlaamse administratie en het College van Ambtenaren-generaal (CAG);</w:t>
      </w:r>
    </w:p>
    <w:p w:rsidR="006A1C6D" w:rsidRPr="006A3E3E" w:rsidRDefault="006A1C6D" w:rsidP="00D802E3">
      <w:pPr>
        <w:autoSpaceDE w:val="0"/>
        <w:autoSpaceDN w:val="0"/>
        <w:adjustRightInd w:val="0"/>
        <w:ind w:left="840" w:hanging="414"/>
        <w:jc w:val="both"/>
        <w:rPr>
          <w:szCs w:val="22"/>
          <w:lang w:val="nl-BE" w:eastAsia="nl-BE"/>
        </w:rPr>
      </w:pPr>
      <w:r w:rsidRPr="006A3E3E">
        <w:rPr>
          <w:szCs w:val="22"/>
          <w:lang w:val="nl-BE" w:eastAsia="nl-BE"/>
        </w:rPr>
        <w:t>c.</w:t>
      </w:r>
      <w:r w:rsidRPr="006A3E3E">
        <w:rPr>
          <w:szCs w:val="22"/>
          <w:lang w:val="nl-BE" w:eastAsia="nl-BE"/>
        </w:rPr>
        <w:tab/>
        <w:t>als bruggenbouwer zorgt de CEEO voor de coherentie tussen de beleidsvoorstellen die op verschillende orga</w:t>
      </w:r>
      <w:r>
        <w:rPr>
          <w:szCs w:val="22"/>
          <w:lang w:val="nl-BE" w:eastAsia="nl-BE"/>
        </w:rPr>
        <w:t>nen worden geformuleerd, zoals -</w:t>
      </w:r>
      <w:r w:rsidRPr="006A3E3E">
        <w:rPr>
          <w:szCs w:val="22"/>
          <w:lang w:val="nl-BE" w:eastAsia="nl-BE"/>
        </w:rPr>
        <w:t xml:space="preserve"> niet limitatief - de Raad van Wijzen (ViA), de Commissie Efficiëntie Lokale Besturen (CELB), de sociale partners en het verenigingsleven, met het oog op het creëren van een groter maatschappelijk draagvlak.</w:t>
      </w:r>
    </w:p>
    <w:p w:rsidR="006A1C6D" w:rsidRPr="006A3E3E" w:rsidRDefault="006A1C6D" w:rsidP="00A01335">
      <w:pPr>
        <w:autoSpaceDE w:val="0"/>
        <w:autoSpaceDN w:val="0"/>
        <w:adjustRightInd w:val="0"/>
        <w:ind w:left="426"/>
        <w:jc w:val="both"/>
        <w:rPr>
          <w:szCs w:val="22"/>
          <w:lang w:val="nl-BE" w:eastAsia="nl-BE"/>
        </w:rPr>
      </w:pPr>
    </w:p>
    <w:p w:rsidR="006A1C6D" w:rsidRPr="006A3E3E" w:rsidRDefault="006A1C6D" w:rsidP="00A01335">
      <w:pPr>
        <w:autoSpaceDE w:val="0"/>
        <w:autoSpaceDN w:val="0"/>
        <w:adjustRightInd w:val="0"/>
        <w:ind w:left="426"/>
        <w:jc w:val="both"/>
        <w:rPr>
          <w:szCs w:val="22"/>
          <w:lang w:val="nl-BE" w:eastAsia="nl-BE"/>
        </w:rPr>
      </w:pPr>
      <w:r w:rsidRPr="006A3E3E">
        <w:rPr>
          <w:szCs w:val="22"/>
          <w:lang w:val="nl-BE" w:eastAsia="nl-BE"/>
        </w:rPr>
        <w:t>Er is geen tijdsplanning voorzien, omdat deze taken op constante wijze actueel blijven.</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5"/>
        </w:numPr>
        <w:tabs>
          <w:tab w:val="left" w:pos="360"/>
        </w:tabs>
        <w:autoSpaceDE w:val="0"/>
        <w:autoSpaceDN w:val="0"/>
        <w:adjustRightInd w:val="0"/>
        <w:ind w:left="426" w:hanging="426"/>
        <w:jc w:val="both"/>
        <w:rPr>
          <w:szCs w:val="22"/>
          <w:lang w:val="nl-BE" w:eastAsia="nl-BE"/>
        </w:rPr>
      </w:pPr>
      <w:r w:rsidRPr="006A3E3E">
        <w:rPr>
          <w:szCs w:val="22"/>
          <w:lang w:val="nl-BE" w:eastAsia="nl-BE"/>
        </w:rPr>
        <w:t xml:space="preserve">Sinds de heropstart van de CEEO op 2 april 2010, heeft de CEEO vier bijeenkomsten gehouden. </w:t>
      </w:r>
      <w:r>
        <w:rPr>
          <w:szCs w:val="22"/>
          <w:lang w:val="nl-BE" w:eastAsia="nl-BE"/>
        </w:rPr>
        <w:t xml:space="preserve">De vergaderfrequentie wordt door de CEEO zelf bepaald in functie van concrete adviesvragen en van actuele thema’s waarover de CEEO uit eigen beweging of op vraag zich buigt. </w:t>
      </w:r>
      <w:r w:rsidRPr="006A3E3E">
        <w:rPr>
          <w:szCs w:val="22"/>
          <w:lang w:val="nl-BE" w:eastAsia="nl-BE"/>
        </w:rPr>
        <w:t>Onder normale omstandigheden zal de CEEO in de volgende maanden minstens een tot twee keer per maand samenkomen. De bijeenkomsten van de CEEO worden voorbereid door middel van een ‘bureauvergadering’, bestaande uit 3 commissieleden, inclusief de voorzitter.</w:t>
      </w:r>
    </w:p>
    <w:p w:rsidR="006A1C6D" w:rsidRPr="006A3E3E" w:rsidRDefault="006A1C6D" w:rsidP="00A01335">
      <w:pPr>
        <w:autoSpaceDE w:val="0"/>
        <w:autoSpaceDN w:val="0"/>
        <w:adjustRightInd w:val="0"/>
        <w:ind w:left="426"/>
        <w:jc w:val="both"/>
        <w:rPr>
          <w:szCs w:val="22"/>
          <w:lang w:val="nl-BE" w:eastAsia="nl-BE"/>
        </w:rPr>
      </w:pPr>
      <w:r w:rsidRPr="006A3E3E">
        <w:rPr>
          <w:szCs w:val="22"/>
          <w:lang w:val="nl-BE" w:eastAsia="nl-BE"/>
        </w:rPr>
        <w:t>De Vlaamse administratie staat in voor administratieve en logistieke ondersteuning.</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6"/>
        </w:numPr>
        <w:tabs>
          <w:tab w:val="left" w:pos="360"/>
        </w:tabs>
        <w:autoSpaceDE w:val="0"/>
        <w:autoSpaceDN w:val="0"/>
        <w:adjustRightInd w:val="0"/>
        <w:ind w:left="426" w:hanging="426"/>
        <w:jc w:val="both"/>
        <w:rPr>
          <w:szCs w:val="22"/>
          <w:lang w:val="nl-BE" w:eastAsia="nl-BE"/>
        </w:rPr>
      </w:pPr>
      <w:r>
        <w:rPr>
          <w:szCs w:val="22"/>
          <w:lang w:val="nl-BE" w:eastAsia="nl-BE"/>
        </w:rPr>
        <w:br w:type="page"/>
      </w:r>
      <w:r w:rsidRPr="006A3E3E">
        <w:rPr>
          <w:szCs w:val="22"/>
          <w:lang w:val="nl-BE" w:eastAsia="nl-BE"/>
        </w:rPr>
        <w:t>De budgettaire weerslag is, a rato van de kosten van de vorige Commissie, geraamd op circa 44.000 € per jaar. In toepassing van het besluit van de Vlaamse Regering van 2 april 2010 ontvangt elk extern lid een jaarvergoeding van 2.000 € en een presentievergoeding van 200 € (beide bedragen verdubbeld voor de voorzitter). De presentievergoeding wordt aan 100% uitbetaald tot en met de 8</w:t>
      </w:r>
      <w:r w:rsidRPr="006A3E3E">
        <w:rPr>
          <w:szCs w:val="22"/>
          <w:vertAlign w:val="superscript"/>
          <w:lang w:val="nl-BE" w:eastAsia="nl-BE"/>
        </w:rPr>
        <w:t>ste</w:t>
      </w:r>
      <w:r w:rsidRPr="006A3E3E">
        <w:rPr>
          <w:szCs w:val="22"/>
          <w:lang w:val="nl-BE" w:eastAsia="nl-BE"/>
        </w:rPr>
        <w:t xml:space="preserve"> plenaire vergadering en de 15</w:t>
      </w:r>
      <w:r w:rsidRPr="006A3E3E">
        <w:rPr>
          <w:szCs w:val="22"/>
          <w:vertAlign w:val="superscript"/>
          <w:lang w:val="nl-BE" w:eastAsia="nl-BE"/>
        </w:rPr>
        <w:t>de</w:t>
      </w:r>
      <w:r w:rsidRPr="006A3E3E">
        <w:rPr>
          <w:szCs w:val="22"/>
          <w:lang w:val="nl-BE" w:eastAsia="nl-BE"/>
        </w:rPr>
        <w:t xml:space="preserve"> bureau- of werkvergadering. Vanaf respectievelijk de 9</w:t>
      </w:r>
      <w:r w:rsidRPr="006A3E3E">
        <w:rPr>
          <w:szCs w:val="22"/>
          <w:vertAlign w:val="superscript"/>
          <w:lang w:val="nl-BE" w:eastAsia="nl-BE"/>
        </w:rPr>
        <w:t>de</w:t>
      </w:r>
      <w:r w:rsidRPr="006A3E3E">
        <w:rPr>
          <w:szCs w:val="22"/>
          <w:lang w:val="nl-BE" w:eastAsia="nl-BE"/>
        </w:rPr>
        <w:t xml:space="preserve"> en de 16</w:t>
      </w:r>
      <w:r w:rsidRPr="006A3E3E">
        <w:rPr>
          <w:szCs w:val="22"/>
          <w:vertAlign w:val="superscript"/>
          <w:lang w:val="nl-BE" w:eastAsia="nl-BE"/>
        </w:rPr>
        <w:t>de</w:t>
      </w:r>
      <w:r w:rsidRPr="006A3E3E">
        <w:rPr>
          <w:szCs w:val="22"/>
          <w:lang w:val="nl-BE" w:eastAsia="nl-BE"/>
        </w:rPr>
        <w:t xml:space="preserve"> vergadering, wordt het presentiegeld gehalveerd.</w:t>
      </w:r>
    </w:p>
    <w:p w:rsidR="006A1C6D" w:rsidRPr="006A3E3E" w:rsidRDefault="006A1C6D" w:rsidP="00A01335">
      <w:pPr>
        <w:autoSpaceDE w:val="0"/>
        <w:autoSpaceDN w:val="0"/>
        <w:adjustRightInd w:val="0"/>
        <w:ind w:left="426"/>
        <w:jc w:val="both"/>
        <w:rPr>
          <w:szCs w:val="22"/>
          <w:lang w:val="nl-BE" w:eastAsia="nl-BE"/>
        </w:rPr>
      </w:pPr>
    </w:p>
    <w:p w:rsidR="006A1C6D" w:rsidRPr="006A3E3E" w:rsidRDefault="006A1C6D" w:rsidP="00A01335">
      <w:pPr>
        <w:autoSpaceDE w:val="0"/>
        <w:autoSpaceDN w:val="0"/>
        <w:adjustRightInd w:val="0"/>
        <w:ind w:left="426"/>
        <w:jc w:val="both"/>
        <w:rPr>
          <w:szCs w:val="22"/>
          <w:lang w:val="nl-BE" w:eastAsia="nl-BE"/>
        </w:rPr>
      </w:pPr>
      <w:r w:rsidRPr="006A3E3E">
        <w:rPr>
          <w:szCs w:val="22"/>
          <w:lang w:val="nl-BE" w:eastAsia="nl-BE"/>
        </w:rPr>
        <w:t>Voor de reiskosten wordt teruggegrepen naar de bestaande regeling voor het personeel van de Vlaamse overheid, vastgelegd conform de bepalingen van het Vlaams personeelstatuut van 13 januari 2006.</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7"/>
        </w:numPr>
        <w:tabs>
          <w:tab w:val="left" w:pos="360"/>
        </w:tabs>
        <w:autoSpaceDE w:val="0"/>
        <w:autoSpaceDN w:val="0"/>
        <w:adjustRightInd w:val="0"/>
        <w:ind w:left="426" w:hanging="426"/>
        <w:jc w:val="both"/>
        <w:rPr>
          <w:szCs w:val="22"/>
          <w:lang w:val="nl-BE" w:eastAsia="nl-BE"/>
        </w:rPr>
      </w:pPr>
      <w:r w:rsidRPr="006A3E3E">
        <w:rPr>
          <w:szCs w:val="22"/>
          <w:lang w:val="nl-BE" w:eastAsia="nl-BE"/>
        </w:rPr>
        <w:t xml:space="preserve">De CEEO is samengesteld uit ervaringsdeskundigen uit diverse geledingen (top van de Vlaamse administratie, academische wereld en het bedrijfsleven). </w:t>
      </w:r>
      <w:r>
        <w:rPr>
          <w:szCs w:val="22"/>
          <w:lang w:val="nl-BE" w:eastAsia="nl-BE"/>
        </w:rPr>
        <w:t xml:space="preserve">Hierdoor kunnen verschillende invalshoeken rond de thema’s worden samengebracht. </w:t>
      </w:r>
      <w:r w:rsidRPr="006A3E3E">
        <w:rPr>
          <w:szCs w:val="22"/>
          <w:lang w:val="nl-BE" w:eastAsia="nl-BE"/>
        </w:rPr>
        <w:t xml:space="preserve">Deze samenstelling is een voortzetting van de aanpak tijdens de eerste CEEO. </w:t>
      </w:r>
    </w:p>
    <w:p w:rsidR="006A1C6D" w:rsidRPr="006A3E3E" w:rsidRDefault="006A1C6D" w:rsidP="00A01335">
      <w:pPr>
        <w:autoSpaceDE w:val="0"/>
        <w:autoSpaceDN w:val="0"/>
        <w:adjustRightInd w:val="0"/>
        <w:ind w:left="426"/>
        <w:jc w:val="both"/>
        <w:rPr>
          <w:szCs w:val="22"/>
          <w:lang w:val="nl-BE" w:eastAsia="nl-BE"/>
        </w:rPr>
      </w:pPr>
    </w:p>
    <w:p w:rsidR="006A1C6D" w:rsidRPr="006A3E3E" w:rsidRDefault="006A1C6D" w:rsidP="00A01335">
      <w:pPr>
        <w:autoSpaceDE w:val="0"/>
        <w:autoSpaceDN w:val="0"/>
        <w:adjustRightInd w:val="0"/>
        <w:ind w:left="426"/>
        <w:jc w:val="both"/>
        <w:rPr>
          <w:szCs w:val="22"/>
          <w:lang w:val="nl-BE" w:eastAsia="nl-BE"/>
        </w:rPr>
      </w:pPr>
      <w:r w:rsidRPr="006A3E3E">
        <w:rPr>
          <w:szCs w:val="22"/>
          <w:lang w:val="nl-BE" w:eastAsia="nl-BE"/>
        </w:rPr>
        <w:t>De taakomschrijving is nagenoeg parallel met de taakomschrijving van de Commissie zelf, waarbij ieder lid vanuit zijn of haar kennis en expertise de nodige bijdragen levert.</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8"/>
        </w:numPr>
        <w:tabs>
          <w:tab w:val="left" w:pos="360"/>
        </w:tabs>
        <w:autoSpaceDE w:val="0"/>
        <w:autoSpaceDN w:val="0"/>
        <w:adjustRightInd w:val="0"/>
        <w:ind w:left="426" w:hanging="426"/>
        <w:jc w:val="both"/>
        <w:rPr>
          <w:szCs w:val="22"/>
          <w:lang w:val="nl-BE" w:eastAsia="nl-BE"/>
        </w:rPr>
      </w:pPr>
      <w:r w:rsidRPr="006A3E3E">
        <w:rPr>
          <w:szCs w:val="22"/>
          <w:lang w:val="nl-BE" w:eastAsia="nl-BE"/>
        </w:rPr>
        <w:t>Niets laat vermoeden dat de samenstelling van de CEEO op korte termijn zal worden gewijzigd.</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9"/>
        </w:numPr>
        <w:tabs>
          <w:tab w:val="left" w:pos="360"/>
        </w:tabs>
        <w:autoSpaceDE w:val="0"/>
        <w:autoSpaceDN w:val="0"/>
        <w:adjustRightInd w:val="0"/>
        <w:ind w:left="426" w:hanging="426"/>
        <w:jc w:val="both"/>
        <w:rPr>
          <w:szCs w:val="22"/>
          <w:lang w:val="nl-BE" w:eastAsia="nl-BE"/>
        </w:rPr>
      </w:pPr>
      <w:r w:rsidRPr="006A3E3E">
        <w:rPr>
          <w:szCs w:val="22"/>
          <w:lang w:val="nl-BE" w:eastAsia="nl-BE"/>
        </w:rPr>
        <w:t>Naast de verdiensten van de Strategische Adviesraad voor Bestuurszaken en van haar taakstelling die decretaal is verankerd, concentreert de CEEO zich aan de hand van haar drie kerntaken specifiek op efficiëntie en effectiviteit. Beide advi</w:t>
      </w:r>
      <w:r>
        <w:rPr>
          <w:szCs w:val="22"/>
          <w:lang w:val="nl-BE" w:eastAsia="nl-BE"/>
        </w:rPr>
        <w:t>esorganen werken complementair.</w:t>
      </w:r>
    </w:p>
    <w:p w:rsidR="006A1C6D" w:rsidRPr="006A3E3E" w:rsidRDefault="006A1C6D" w:rsidP="00A01335">
      <w:pPr>
        <w:autoSpaceDE w:val="0"/>
        <w:autoSpaceDN w:val="0"/>
        <w:adjustRightInd w:val="0"/>
        <w:jc w:val="both"/>
        <w:rPr>
          <w:szCs w:val="22"/>
          <w:lang w:val="nl-BE" w:eastAsia="nl-BE"/>
        </w:rPr>
      </w:pPr>
    </w:p>
    <w:p w:rsidR="006A1C6D" w:rsidRPr="006A3E3E" w:rsidRDefault="006A1C6D" w:rsidP="00A01335">
      <w:pPr>
        <w:numPr>
          <w:ilvl w:val="0"/>
          <w:numId w:val="10"/>
        </w:numPr>
        <w:tabs>
          <w:tab w:val="left" w:pos="360"/>
        </w:tabs>
        <w:autoSpaceDE w:val="0"/>
        <w:autoSpaceDN w:val="0"/>
        <w:adjustRightInd w:val="0"/>
        <w:ind w:left="426" w:hanging="426"/>
        <w:jc w:val="both"/>
        <w:rPr>
          <w:szCs w:val="22"/>
          <w:lang w:val="nl-BE" w:eastAsia="nl-BE"/>
        </w:rPr>
      </w:pPr>
      <w:r>
        <w:rPr>
          <w:szCs w:val="22"/>
          <w:lang w:val="nl-BE" w:eastAsia="nl-BE"/>
        </w:rPr>
        <w:t>Gelet op haar drieledige taakstelling fungeert d</w:t>
      </w:r>
      <w:r w:rsidRPr="006A3E3E">
        <w:rPr>
          <w:szCs w:val="22"/>
          <w:lang w:val="nl-BE" w:eastAsia="nl-BE"/>
        </w:rPr>
        <w:t>e CEEO als ‘bruggenbouwer’ tussen de verschillende relevante partners, waaronder</w:t>
      </w:r>
      <w:r>
        <w:rPr>
          <w:szCs w:val="22"/>
          <w:lang w:val="nl-BE" w:eastAsia="nl-BE"/>
        </w:rPr>
        <w:t xml:space="preserve"> ook</w:t>
      </w:r>
      <w:r w:rsidRPr="006A3E3E">
        <w:rPr>
          <w:szCs w:val="22"/>
          <w:lang w:val="nl-BE" w:eastAsia="nl-BE"/>
        </w:rPr>
        <w:t xml:space="preserve"> VLABEST</w:t>
      </w:r>
      <w:r>
        <w:rPr>
          <w:szCs w:val="22"/>
          <w:lang w:val="nl-BE" w:eastAsia="nl-BE"/>
        </w:rPr>
        <w:t>. Ik vertrouw op de professionaliteit en de wil tot samenwerking van de diverse organen om ten gepaste tijden, afhankelijk van het voorliggend onderwerp, elkaar te consulteren en informeren. Dit zorgt voor synergie en kennisopbouw</w:t>
      </w:r>
      <w:r w:rsidRPr="006A3E3E">
        <w:rPr>
          <w:szCs w:val="22"/>
          <w:lang w:val="nl-BE" w:eastAsia="nl-BE"/>
        </w:rPr>
        <w:t xml:space="preserve"> en bijgevolg </w:t>
      </w:r>
      <w:r>
        <w:rPr>
          <w:szCs w:val="22"/>
          <w:lang w:val="nl-BE" w:eastAsia="nl-BE"/>
        </w:rPr>
        <w:t xml:space="preserve">voor </w:t>
      </w:r>
      <w:r w:rsidRPr="006A3E3E">
        <w:rPr>
          <w:szCs w:val="22"/>
          <w:lang w:val="nl-BE" w:eastAsia="nl-BE"/>
        </w:rPr>
        <w:t>een betere invulling van de opdracht</w:t>
      </w:r>
      <w:r>
        <w:rPr>
          <w:szCs w:val="22"/>
          <w:lang w:val="nl-BE" w:eastAsia="nl-BE"/>
        </w:rPr>
        <w:t xml:space="preserve"> van elkeen</w:t>
      </w:r>
      <w:r w:rsidRPr="006A3E3E">
        <w:rPr>
          <w:szCs w:val="22"/>
          <w:lang w:val="nl-BE" w:eastAsia="nl-BE"/>
        </w:rPr>
        <w:t>.</w:t>
      </w:r>
    </w:p>
    <w:p w:rsidR="006A1C6D" w:rsidRPr="001B6E48" w:rsidRDefault="006A1C6D" w:rsidP="00A01335">
      <w:pPr>
        <w:jc w:val="both"/>
        <w:rPr>
          <w:lang w:val="nl-BE"/>
        </w:rPr>
      </w:pPr>
    </w:p>
    <w:sectPr w:rsidR="006A1C6D" w:rsidRPr="001B6E48"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0C2"/>
    <w:multiLevelType w:val="singleLevel"/>
    <w:tmpl w:val="8EEC7C2E"/>
    <w:lvl w:ilvl="0">
      <w:start w:val="2"/>
      <w:numFmt w:val="decimal"/>
      <w:lvlText w:val="%1."/>
      <w:legacy w:legacy="1" w:legacySpace="0" w:legacyIndent="360"/>
      <w:lvlJc w:val="left"/>
      <w:rPr>
        <w:rFonts w:ascii="Times New Roman" w:hAnsi="Times New Roman" w:cs="Times New Roman" w:hint="default"/>
      </w:rPr>
    </w:lvl>
  </w:abstractNum>
  <w:abstractNum w:abstractNumId="1">
    <w:nsid w:val="222F2A7C"/>
    <w:multiLevelType w:val="singleLevel"/>
    <w:tmpl w:val="12C8C216"/>
    <w:lvl w:ilvl="0">
      <w:start w:val="5"/>
      <w:numFmt w:val="decimal"/>
      <w:lvlText w:val="%1."/>
      <w:legacy w:legacy="1" w:legacySpace="0" w:legacyIndent="360"/>
      <w:lvlJc w:val="left"/>
      <w:rPr>
        <w:rFonts w:ascii="Times New Roman" w:hAnsi="Times New Roman" w:cs="Times New Roman" w:hint="default"/>
      </w:rPr>
    </w:lvl>
  </w:abstractNum>
  <w:abstractNum w:abstractNumId="2">
    <w:nsid w:val="26536975"/>
    <w:multiLevelType w:val="singleLevel"/>
    <w:tmpl w:val="DF38FC80"/>
    <w:lvl w:ilvl="0">
      <w:start w:val="7"/>
      <w:numFmt w:val="decimal"/>
      <w:lvlText w:val="%1."/>
      <w:legacy w:legacy="1" w:legacySpace="0" w:legacyIndent="360"/>
      <w:lvlJc w:val="left"/>
      <w:rPr>
        <w:rFonts w:ascii="Times New Roman" w:hAnsi="Times New Roman" w:cs="Times New Roman" w:hint="default"/>
      </w:rPr>
    </w:lvl>
  </w:abstractNum>
  <w:abstractNum w:abstractNumId="3">
    <w:nsid w:val="297D66C0"/>
    <w:multiLevelType w:val="singleLevel"/>
    <w:tmpl w:val="62FAB0F8"/>
    <w:lvl w:ilvl="0">
      <w:start w:val="3"/>
      <w:numFmt w:val="decimal"/>
      <w:lvlText w:val="%1."/>
      <w:legacy w:legacy="1" w:legacySpace="0" w:legacyIndent="360"/>
      <w:lvlJc w:val="left"/>
      <w:rPr>
        <w:rFonts w:ascii="Times New Roman" w:hAnsi="Times New Roman" w:cs="Times New Roman" w:hint="default"/>
      </w:rPr>
    </w:lvl>
  </w:abstractNum>
  <w:abstractNum w:abstractNumId="4">
    <w:nsid w:val="2AD858A1"/>
    <w:multiLevelType w:val="singleLevel"/>
    <w:tmpl w:val="C4324090"/>
    <w:lvl w:ilvl="0">
      <w:start w:val="6"/>
      <w:numFmt w:val="decimal"/>
      <w:lvlText w:val="%1."/>
      <w:legacy w:legacy="1" w:legacySpace="0" w:legacyIndent="360"/>
      <w:lvlJc w:val="left"/>
      <w:rPr>
        <w:rFonts w:ascii="Times New Roman" w:hAnsi="Times New Roman" w:cs="Times New Roman" w:hint="default"/>
      </w:rPr>
    </w:lvl>
  </w:abstractNum>
  <w:abstractNum w:abstractNumId="5">
    <w:nsid w:val="3F322BB8"/>
    <w:multiLevelType w:val="singleLevel"/>
    <w:tmpl w:val="DDD2578A"/>
    <w:lvl w:ilvl="0">
      <w:start w:val="8"/>
      <w:numFmt w:val="decimal"/>
      <w:lvlText w:val="%1."/>
      <w:legacy w:legacy="1" w:legacySpace="0" w:legacyIndent="360"/>
      <w:lvlJc w:val="left"/>
      <w:rPr>
        <w:rFonts w:ascii="Times New Roman" w:hAnsi="Times New Roman" w:cs="Times New Roman" w:hint="default"/>
      </w:rPr>
    </w:lvl>
  </w:abstractNum>
  <w:abstractNum w:abstractNumId="6">
    <w:nsid w:val="4B025BC6"/>
    <w:multiLevelType w:val="singleLevel"/>
    <w:tmpl w:val="2942492A"/>
    <w:lvl w:ilvl="0">
      <w:start w:val="4"/>
      <w:numFmt w:val="decimal"/>
      <w:lvlText w:val="%1."/>
      <w:legacy w:legacy="1" w:legacySpace="0" w:legacyIndent="360"/>
      <w:lvlJc w:val="left"/>
      <w:rPr>
        <w:rFonts w:ascii="Times New Roman" w:hAnsi="Times New Roman" w:cs="Times New Roman"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20B0E23"/>
    <w:multiLevelType w:val="singleLevel"/>
    <w:tmpl w:val="20CECFEA"/>
    <w:lvl w:ilvl="0">
      <w:start w:val="1"/>
      <w:numFmt w:val="decimal"/>
      <w:lvlText w:val="%1."/>
      <w:legacy w:legacy="1" w:legacySpace="0" w:legacyIndent="360"/>
      <w:lvlJc w:val="left"/>
      <w:rPr>
        <w:rFonts w:ascii="Times New Roman" w:hAnsi="Times New Roman" w:cs="Times New Roman" w:hint="default"/>
      </w:rPr>
    </w:lvl>
  </w:abstractNum>
  <w:num w:numId="1">
    <w:abstractNumId w:val="7"/>
  </w:num>
  <w:num w:numId="2">
    <w:abstractNumId w:val="7"/>
  </w:num>
  <w:num w:numId="3">
    <w:abstractNumId w:val="8"/>
  </w:num>
  <w:num w:numId="4">
    <w:abstractNumId w:val="0"/>
  </w:num>
  <w:num w:numId="5">
    <w:abstractNumId w:val="3"/>
  </w:num>
  <w:num w:numId="6">
    <w:abstractNumId w:val="6"/>
  </w:num>
  <w:num w:numId="7">
    <w:abstractNumId w:val="1"/>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127A"/>
    <w:rsid w:val="000865DB"/>
    <w:rsid w:val="000976E9"/>
    <w:rsid w:val="000A6992"/>
    <w:rsid w:val="000C4E8C"/>
    <w:rsid w:val="000F3532"/>
    <w:rsid w:val="00195045"/>
    <w:rsid w:val="001B6E48"/>
    <w:rsid w:val="001F7390"/>
    <w:rsid w:val="00210C07"/>
    <w:rsid w:val="00266E3B"/>
    <w:rsid w:val="002D5B5B"/>
    <w:rsid w:val="002F4B2A"/>
    <w:rsid w:val="00326A58"/>
    <w:rsid w:val="004E2833"/>
    <w:rsid w:val="00502239"/>
    <w:rsid w:val="005401AA"/>
    <w:rsid w:val="00566C53"/>
    <w:rsid w:val="0057058D"/>
    <w:rsid w:val="005900AD"/>
    <w:rsid w:val="005E38CA"/>
    <w:rsid w:val="0063138E"/>
    <w:rsid w:val="006548DD"/>
    <w:rsid w:val="006A1C6D"/>
    <w:rsid w:val="006A3E3E"/>
    <w:rsid w:val="0071248C"/>
    <w:rsid w:val="007252C7"/>
    <w:rsid w:val="007474BA"/>
    <w:rsid w:val="00785A0D"/>
    <w:rsid w:val="007E5DEC"/>
    <w:rsid w:val="007F60A8"/>
    <w:rsid w:val="008346AE"/>
    <w:rsid w:val="00894185"/>
    <w:rsid w:val="008A713D"/>
    <w:rsid w:val="008B0D21"/>
    <w:rsid w:val="008D5DB4"/>
    <w:rsid w:val="009347E0"/>
    <w:rsid w:val="009D7043"/>
    <w:rsid w:val="00A01335"/>
    <w:rsid w:val="00A42280"/>
    <w:rsid w:val="00A76EC9"/>
    <w:rsid w:val="00A804C0"/>
    <w:rsid w:val="00B238B8"/>
    <w:rsid w:val="00B45EB2"/>
    <w:rsid w:val="00B60F0E"/>
    <w:rsid w:val="00BE425A"/>
    <w:rsid w:val="00C0707D"/>
    <w:rsid w:val="00C944A6"/>
    <w:rsid w:val="00C955E4"/>
    <w:rsid w:val="00D40CBD"/>
    <w:rsid w:val="00D71D99"/>
    <w:rsid w:val="00D754F2"/>
    <w:rsid w:val="00D802E3"/>
    <w:rsid w:val="00DB41C0"/>
    <w:rsid w:val="00DC4DB6"/>
    <w:rsid w:val="00DD19EF"/>
    <w:rsid w:val="00DD4121"/>
    <w:rsid w:val="00E12C5D"/>
    <w:rsid w:val="00E31F4D"/>
    <w:rsid w:val="00E55200"/>
    <w:rsid w:val="00E75830"/>
    <w:rsid w:val="00F369E3"/>
    <w:rsid w:val="00FA29D6"/>
    <w:rsid w:val="00FB3D24"/>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28D"/>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4328D"/>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4328D"/>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4328D"/>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825</Words>
  <Characters>4540</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2010-09-15T11:58:00Z</cp:lastPrinted>
  <dcterms:created xsi:type="dcterms:W3CDTF">2010-09-16T08:29:00Z</dcterms:created>
  <dcterms:modified xsi:type="dcterms:W3CDTF">2010-09-20T09:05:00Z</dcterms:modified>
</cp:coreProperties>
</file>