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F87" w:rsidRDefault="00935F87" w:rsidP="005F6B38">
      <w:pPr>
        <w:rPr>
          <w:b/>
          <w:sz w:val="24"/>
          <w:szCs w:val="24"/>
        </w:rPr>
      </w:pPr>
      <w:r>
        <w:rPr>
          <w:b/>
          <w:sz w:val="24"/>
          <w:szCs w:val="24"/>
        </w:rPr>
        <w:t xml:space="preserve">Bijlage </w:t>
      </w:r>
    </w:p>
    <w:p w:rsidR="00935F87" w:rsidRPr="007477F4" w:rsidRDefault="00935F87" w:rsidP="005F6B38">
      <w:pPr>
        <w:rPr>
          <w:b/>
          <w:sz w:val="24"/>
          <w:szCs w:val="24"/>
        </w:rPr>
      </w:pPr>
    </w:p>
    <w:tbl>
      <w:tblPr>
        <w:tblStyle w:val="Tabelraster"/>
        <w:tblW w:w="14400" w:type="dxa"/>
        <w:tblInd w:w="108" w:type="dxa"/>
        <w:tblLayout w:type="fixed"/>
        <w:tblLook w:val="01E0"/>
      </w:tblPr>
      <w:tblGrid>
        <w:gridCol w:w="1440"/>
        <w:gridCol w:w="4140"/>
        <w:gridCol w:w="2520"/>
        <w:gridCol w:w="6300"/>
      </w:tblGrid>
      <w:tr w:rsidR="003C41FC" w:rsidRPr="007477F4" w:rsidTr="00EE322D">
        <w:tc>
          <w:tcPr>
            <w:tcW w:w="1440" w:type="dxa"/>
          </w:tcPr>
          <w:p w:rsidR="003C41FC" w:rsidRDefault="00DD087C" w:rsidP="00B127A0">
            <w:pPr>
              <w:jc w:val="center"/>
              <w:rPr>
                <w:b/>
              </w:rPr>
            </w:pPr>
            <w:r>
              <w:rPr>
                <w:b/>
              </w:rPr>
              <w:t>RUBRIEK</w:t>
            </w:r>
          </w:p>
        </w:tc>
        <w:tc>
          <w:tcPr>
            <w:tcW w:w="4140" w:type="dxa"/>
          </w:tcPr>
          <w:p w:rsidR="003C41FC" w:rsidRDefault="003C41FC" w:rsidP="00915784">
            <w:pPr>
              <w:jc w:val="center"/>
              <w:rPr>
                <w:b/>
              </w:rPr>
            </w:pPr>
            <w:r w:rsidRPr="007477F4">
              <w:rPr>
                <w:b/>
              </w:rPr>
              <w:t>PROGRAMMA</w:t>
            </w:r>
            <w:r>
              <w:rPr>
                <w:b/>
              </w:rPr>
              <w:t>'S/</w:t>
            </w:r>
          </w:p>
          <w:p w:rsidR="003C41FC" w:rsidRPr="007477F4" w:rsidRDefault="003C41FC" w:rsidP="00915784">
            <w:pPr>
              <w:jc w:val="center"/>
              <w:rPr>
                <w:b/>
              </w:rPr>
            </w:pPr>
            <w:r>
              <w:rPr>
                <w:b/>
              </w:rPr>
              <w:t>FONDSEN</w:t>
            </w:r>
          </w:p>
        </w:tc>
        <w:tc>
          <w:tcPr>
            <w:tcW w:w="2520" w:type="dxa"/>
          </w:tcPr>
          <w:p w:rsidR="003C41FC" w:rsidRPr="007477F4" w:rsidRDefault="003C41FC" w:rsidP="00B127A0">
            <w:pPr>
              <w:jc w:val="center"/>
              <w:rPr>
                <w:b/>
              </w:rPr>
            </w:pPr>
            <w:r>
              <w:rPr>
                <w:b/>
              </w:rPr>
              <w:t>EUROPESE FONDSEN VOOR VLAANDEREN</w:t>
            </w:r>
          </w:p>
          <w:p w:rsidR="003C41FC" w:rsidRPr="007477F4" w:rsidRDefault="003C41FC" w:rsidP="00B127A0">
            <w:pPr>
              <w:jc w:val="center"/>
              <w:rPr>
                <w:b/>
              </w:rPr>
            </w:pPr>
            <w:r>
              <w:rPr>
                <w:b/>
              </w:rPr>
              <w:t>2008 (in euro's)</w:t>
            </w:r>
          </w:p>
        </w:tc>
        <w:tc>
          <w:tcPr>
            <w:tcW w:w="6300" w:type="dxa"/>
          </w:tcPr>
          <w:p w:rsidR="003C41FC" w:rsidRPr="007477F4" w:rsidRDefault="003C41FC" w:rsidP="00B127A0">
            <w:pPr>
              <w:jc w:val="center"/>
              <w:rPr>
                <w:b/>
              </w:rPr>
            </w:pPr>
            <w:r>
              <w:rPr>
                <w:b/>
              </w:rPr>
              <w:t>Verdeelsleutel/protocol of kopie van alle betalingen</w:t>
            </w:r>
          </w:p>
        </w:tc>
      </w:tr>
      <w:tr w:rsidR="00EE322D" w:rsidRPr="007477F4" w:rsidTr="00EE322D">
        <w:trPr>
          <w:trHeight w:val="1163"/>
        </w:trPr>
        <w:tc>
          <w:tcPr>
            <w:tcW w:w="1440" w:type="dxa"/>
            <w:vMerge w:val="restart"/>
          </w:tcPr>
          <w:p w:rsidR="00EE322D" w:rsidRDefault="00EE322D" w:rsidP="006E0642">
            <w:pPr>
              <w:jc w:val="both"/>
            </w:pPr>
            <w:r>
              <w:t>Rubriek 1a</w:t>
            </w:r>
          </w:p>
        </w:tc>
        <w:tc>
          <w:tcPr>
            <w:tcW w:w="4140" w:type="dxa"/>
          </w:tcPr>
          <w:p w:rsidR="00EE322D" w:rsidRPr="005F6B38" w:rsidRDefault="00EE322D" w:rsidP="00915784">
            <w:r w:rsidRPr="005F6B38">
              <w:t>Zevende kaderprogramma voor Onderzoek en Ontwikkeling (KP)</w:t>
            </w:r>
          </w:p>
        </w:tc>
        <w:tc>
          <w:tcPr>
            <w:tcW w:w="2520" w:type="dxa"/>
          </w:tcPr>
          <w:p w:rsidR="00EE322D" w:rsidRPr="006E0642" w:rsidRDefault="00EE322D" w:rsidP="006E0642">
            <w:pPr>
              <w:jc w:val="both"/>
            </w:pPr>
            <w:r>
              <w:t xml:space="preserve">Niet </w:t>
            </w:r>
            <w:r w:rsidR="00C3678E">
              <w:t>beschikbaar</w:t>
            </w:r>
          </w:p>
        </w:tc>
        <w:tc>
          <w:tcPr>
            <w:tcW w:w="6300" w:type="dxa"/>
          </w:tcPr>
          <w:p w:rsidR="00EE322D" w:rsidRPr="005F6B38" w:rsidRDefault="00EE322D" w:rsidP="006E0642">
            <w:pPr>
              <w:jc w:val="both"/>
            </w:pPr>
            <w:r>
              <w:t>F</w:t>
            </w:r>
            <w:r w:rsidRPr="005F6B38">
              <w:t xml:space="preserve">inanciering </w:t>
            </w:r>
            <w:r>
              <w:t xml:space="preserve">gebeurt </w:t>
            </w:r>
            <w:r w:rsidRPr="005F6B38">
              <w:t>door de Europese Commissie op basis van ingediende projectvoorstellen door bedrijven en org</w:t>
            </w:r>
            <w:r>
              <w:t xml:space="preserve">anisaties in de EU. </w:t>
            </w:r>
            <w:r w:rsidRPr="005F6B38">
              <w:t>De toekenning van de middelen gebeurt op basis van de excellentie van de ingediende voorstellen</w:t>
            </w:r>
            <w:r>
              <w:t>,</w:t>
            </w:r>
            <w:r w:rsidRPr="005F6B38">
              <w:t xml:space="preserve"> competitief en bottom-up. </w:t>
            </w:r>
            <w:r>
              <w:t>De Vlaamse o</w:t>
            </w:r>
            <w:r w:rsidRPr="005F6B38">
              <w:t xml:space="preserve">verheid komt niet tussen in de selectie van projecten of toekenning van subsidies. </w:t>
            </w:r>
            <w:r>
              <w:t>Er is</w:t>
            </w:r>
            <w:r w:rsidRPr="005F6B38">
              <w:t xml:space="preserve"> geen </w:t>
            </w:r>
            <w:r>
              <w:t>verdeel</w:t>
            </w:r>
            <w:r w:rsidRPr="005F6B38">
              <w:t>sleutel</w:t>
            </w:r>
            <w:r>
              <w:t>, noch</w:t>
            </w:r>
            <w:r w:rsidR="00771753">
              <w:t xml:space="preserve"> een</w:t>
            </w:r>
            <w:r w:rsidRPr="005F6B38">
              <w:t xml:space="preserve"> protocol.</w:t>
            </w:r>
          </w:p>
        </w:tc>
      </w:tr>
      <w:tr w:rsidR="00EE322D" w:rsidRPr="007477F4" w:rsidTr="00EE322D">
        <w:trPr>
          <w:trHeight w:val="1246"/>
        </w:trPr>
        <w:tc>
          <w:tcPr>
            <w:tcW w:w="1440" w:type="dxa"/>
            <w:vMerge/>
          </w:tcPr>
          <w:p w:rsidR="00EE322D" w:rsidRDefault="00EE322D" w:rsidP="005F6B38">
            <w:pPr>
              <w:jc w:val="both"/>
            </w:pPr>
          </w:p>
        </w:tc>
        <w:tc>
          <w:tcPr>
            <w:tcW w:w="4140" w:type="dxa"/>
          </w:tcPr>
          <w:p w:rsidR="00EE322D" w:rsidRPr="005F6B38" w:rsidRDefault="00EE322D" w:rsidP="00915784">
            <w:r w:rsidRPr="005F6B38">
              <w:t>Kaderp</w:t>
            </w:r>
            <w:r>
              <w:t>rogramma voor Concurrentievermo</w:t>
            </w:r>
            <w:r w:rsidRPr="005F6B38">
              <w:t>gen en Innovatie (KCI)</w:t>
            </w:r>
          </w:p>
        </w:tc>
        <w:tc>
          <w:tcPr>
            <w:tcW w:w="2520" w:type="dxa"/>
          </w:tcPr>
          <w:p w:rsidR="00EE322D" w:rsidRPr="005F6B38" w:rsidRDefault="00EE322D" w:rsidP="005F6B38">
            <w:pPr>
              <w:jc w:val="both"/>
            </w:pPr>
            <w:r>
              <w:t xml:space="preserve">Niet </w:t>
            </w:r>
            <w:r w:rsidR="00C3678E">
              <w:t>beschikbaar</w:t>
            </w:r>
          </w:p>
        </w:tc>
        <w:tc>
          <w:tcPr>
            <w:tcW w:w="6300" w:type="dxa"/>
          </w:tcPr>
          <w:p w:rsidR="00EE322D" w:rsidRPr="005F6B38" w:rsidRDefault="00EE322D" w:rsidP="005F6B38">
            <w:pPr>
              <w:jc w:val="both"/>
            </w:pPr>
            <w:r>
              <w:t>F</w:t>
            </w:r>
            <w:r w:rsidRPr="005F6B38">
              <w:t xml:space="preserve">inanciering </w:t>
            </w:r>
            <w:r>
              <w:t xml:space="preserve">gebeurt </w:t>
            </w:r>
            <w:r w:rsidRPr="005F6B38">
              <w:t>door de Europese Commissie op basis van ingediende projectvoorstellen door bedrijven en org</w:t>
            </w:r>
            <w:r>
              <w:t xml:space="preserve">anisaties in de EU. </w:t>
            </w:r>
            <w:r w:rsidRPr="005F6B38">
              <w:t xml:space="preserve">De toekenning van de middelen gebeurt op basis van de excellentie van de ingediende voorstellen. </w:t>
            </w:r>
            <w:r>
              <w:t>De Vlaamse o</w:t>
            </w:r>
            <w:r w:rsidRPr="005F6B38">
              <w:t xml:space="preserve">verheid komt niet tussen in de selectie van projecten of toekenning van subsidies. </w:t>
            </w:r>
            <w:r>
              <w:t>O</w:t>
            </w:r>
            <w:r w:rsidRPr="005F6B38">
              <w:t xml:space="preserve">ok hier bestaat er dus geen verdeelsleutel of protocol. </w:t>
            </w:r>
          </w:p>
        </w:tc>
      </w:tr>
      <w:tr w:rsidR="00EE322D" w:rsidRPr="007477F4" w:rsidTr="00EE322D">
        <w:tc>
          <w:tcPr>
            <w:tcW w:w="1440" w:type="dxa"/>
            <w:vMerge/>
          </w:tcPr>
          <w:p w:rsidR="00EE322D" w:rsidRPr="006E0642" w:rsidRDefault="00EE322D" w:rsidP="005F6B38">
            <w:pPr>
              <w:jc w:val="both"/>
              <w:rPr>
                <w:i/>
              </w:rPr>
            </w:pPr>
          </w:p>
        </w:tc>
        <w:tc>
          <w:tcPr>
            <w:tcW w:w="4140" w:type="dxa"/>
          </w:tcPr>
          <w:p w:rsidR="00EE322D" w:rsidRPr="005F6B38" w:rsidRDefault="00EE322D" w:rsidP="00915784">
            <w:r>
              <w:t xml:space="preserve">'Lifelong Learning' </w:t>
            </w:r>
            <w:r w:rsidRPr="005F6B38">
              <w:t>Programma</w:t>
            </w:r>
          </w:p>
        </w:tc>
        <w:tc>
          <w:tcPr>
            <w:tcW w:w="2520" w:type="dxa"/>
          </w:tcPr>
          <w:p w:rsidR="00EE322D" w:rsidRPr="006E0642" w:rsidRDefault="00EE322D" w:rsidP="005F6B38">
            <w:pPr>
              <w:jc w:val="both"/>
              <w:rPr>
                <w:i/>
              </w:rPr>
            </w:pPr>
            <w:r w:rsidRPr="006E0642">
              <w:rPr>
                <w:i/>
              </w:rPr>
              <w:t>10.733.431</w:t>
            </w:r>
            <w:r>
              <w:rPr>
                <w:i/>
              </w:rPr>
              <w:t xml:space="preserve"> </w:t>
            </w:r>
          </w:p>
        </w:tc>
        <w:tc>
          <w:tcPr>
            <w:tcW w:w="6300" w:type="dxa"/>
          </w:tcPr>
          <w:p w:rsidR="00EE322D" w:rsidRPr="005F6B38" w:rsidRDefault="00EE322D" w:rsidP="005F6B38">
            <w:pPr>
              <w:jc w:val="both"/>
            </w:pPr>
            <w:r>
              <w:t>Verdeelsleutel</w:t>
            </w:r>
            <w:r w:rsidRPr="00225B6A">
              <w:t xml:space="preserve"> - kopie</w:t>
            </w:r>
            <w:r>
              <w:t xml:space="preserve"> gaat als bijlage</w:t>
            </w:r>
          </w:p>
        </w:tc>
      </w:tr>
      <w:tr w:rsidR="00EE322D" w:rsidRPr="007477F4" w:rsidTr="00EE322D">
        <w:tc>
          <w:tcPr>
            <w:tcW w:w="1440" w:type="dxa"/>
            <w:vMerge/>
          </w:tcPr>
          <w:p w:rsidR="00EE322D" w:rsidRPr="006E0642" w:rsidRDefault="00EE322D" w:rsidP="005F6B38">
            <w:pPr>
              <w:jc w:val="both"/>
              <w:rPr>
                <w:i/>
              </w:rPr>
            </w:pPr>
          </w:p>
        </w:tc>
        <w:tc>
          <w:tcPr>
            <w:tcW w:w="4140" w:type="dxa"/>
          </w:tcPr>
          <w:p w:rsidR="00EE322D" w:rsidRPr="005F6B38" w:rsidRDefault="00EE322D" w:rsidP="00915784">
            <w:r w:rsidRPr="005F6B38">
              <w:t>TEN-T</w:t>
            </w:r>
            <w:r>
              <w:t xml:space="preserve"> Programma</w:t>
            </w:r>
          </w:p>
        </w:tc>
        <w:tc>
          <w:tcPr>
            <w:tcW w:w="2520" w:type="dxa"/>
          </w:tcPr>
          <w:p w:rsidR="00EE322D" w:rsidRPr="005F6B38" w:rsidRDefault="00EE322D" w:rsidP="005F6B38">
            <w:pPr>
              <w:jc w:val="both"/>
            </w:pPr>
            <w:r w:rsidRPr="006E0642">
              <w:rPr>
                <w:i/>
              </w:rPr>
              <w:t>13.707.730</w:t>
            </w:r>
            <w:r>
              <w:t xml:space="preserve"> </w:t>
            </w:r>
          </w:p>
        </w:tc>
        <w:tc>
          <w:tcPr>
            <w:tcW w:w="6300" w:type="dxa"/>
          </w:tcPr>
          <w:p w:rsidR="00EE322D" w:rsidRPr="005F6B38" w:rsidRDefault="00EE322D" w:rsidP="005F6B38">
            <w:pPr>
              <w:jc w:val="both"/>
            </w:pPr>
            <w:r w:rsidRPr="005F6B38">
              <w:t>Financiering gebeurt door de Europese Commissie op basis van inge</w:t>
            </w:r>
            <w:r>
              <w:t xml:space="preserve">diende projectvoorstellen door </w:t>
            </w:r>
            <w:r w:rsidRPr="005F6B38">
              <w:t>de lidstaten (nationale / regionale overheden). De toekenning van de middelen gebeurt op basis van de excellentie van de ingediende voorstellen</w:t>
            </w:r>
            <w:r>
              <w:t>,</w:t>
            </w:r>
            <w:r w:rsidRPr="005F6B38">
              <w:t xml:space="preserve"> competitief en bottom-up. </w:t>
            </w:r>
            <w:r>
              <w:t>De Vlaamse o</w:t>
            </w:r>
            <w:r w:rsidRPr="005F6B38">
              <w:t xml:space="preserve">verheid komt niet tussen in de selectie van projecten of toekenning van subsidies. Er is geen verdeelsleutel om de middelen tussen de lidstaten te verdelen. </w:t>
            </w:r>
            <w:r>
              <w:t>O</w:t>
            </w:r>
            <w:r w:rsidRPr="005F6B38">
              <w:t>ok hier bestaat er dus geen verdeelsleutel of protocol.</w:t>
            </w:r>
          </w:p>
        </w:tc>
      </w:tr>
      <w:tr w:rsidR="00EE322D" w:rsidRPr="007477F4" w:rsidTr="00EE322D">
        <w:tc>
          <w:tcPr>
            <w:tcW w:w="1440" w:type="dxa"/>
            <w:vMerge/>
          </w:tcPr>
          <w:p w:rsidR="00EE322D" w:rsidRPr="00225B6A" w:rsidRDefault="00EE322D" w:rsidP="005F6B38">
            <w:pPr>
              <w:jc w:val="both"/>
              <w:rPr>
                <w:i/>
                <w:highlight w:val="yellow"/>
              </w:rPr>
            </w:pPr>
          </w:p>
        </w:tc>
        <w:tc>
          <w:tcPr>
            <w:tcW w:w="4140" w:type="dxa"/>
          </w:tcPr>
          <w:p w:rsidR="00EE322D" w:rsidRPr="001F03FC" w:rsidRDefault="00EE322D" w:rsidP="00915784">
            <w:r w:rsidRPr="001F03FC">
              <w:t>TEN-E Programma</w:t>
            </w:r>
          </w:p>
        </w:tc>
        <w:tc>
          <w:tcPr>
            <w:tcW w:w="2520" w:type="dxa"/>
          </w:tcPr>
          <w:p w:rsidR="00EE322D" w:rsidRPr="00C3678E" w:rsidRDefault="00C3678E" w:rsidP="005F6B38">
            <w:pPr>
              <w:jc w:val="both"/>
            </w:pPr>
            <w:r w:rsidRPr="00C3678E">
              <w:t>Niet beschikbaar</w:t>
            </w:r>
          </w:p>
        </w:tc>
        <w:tc>
          <w:tcPr>
            <w:tcW w:w="6300" w:type="dxa"/>
          </w:tcPr>
          <w:p w:rsidR="00EE322D" w:rsidRPr="001F03FC" w:rsidRDefault="00C3678E" w:rsidP="005F6B38">
            <w:pPr>
              <w:jc w:val="both"/>
              <w:rPr>
                <w:i/>
              </w:rPr>
            </w:pPr>
            <w:r w:rsidRPr="005F6B38">
              <w:t>Financiering gebeurt door de Europese Commissie op basis van inge</w:t>
            </w:r>
            <w:r>
              <w:t xml:space="preserve">diende projectvoorstellen door </w:t>
            </w:r>
            <w:r w:rsidRPr="005F6B38">
              <w:t>de lidstaten (nationale / regionale overheden). De toekenning van de middelen gebeurt op basis van de excellentie van de ingediende voorstellen</w:t>
            </w:r>
            <w:r>
              <w:t>,</w:t>
            </w:r>
            <w:r w:rsidRPr="005F6B38">
              <w:t xml:space="preserve"> competitief en bottom-up. </w:t>
            </w:r>
            <w:r>
              <w:t>De Vlaamse o</w:t>
            </w:r>
            <w:r w:rsidRPr="005F6B38">
              <w:t xml:space="preserve">verheid komt niet tussen in de selectie van projecten of toekenning van subsidies. Er is geen verdeelsleutel om de middelen tussen de lidstaten te verdelen. </w:t>
            </w:r>
            <w:r>
              <w:t>O</w:t>
            </w:r>
            <w:r w:rsidRPr="005F6B38">
              <w:t>ok hier bestaat er dus geen verdeelsleutel of protocol.</w:t>
            </w:r>
          </w:p>
        </w:tc>
      </w:tr>
      <w:tr w:rsidR="00EE322D" w:rsidRPr="007477F4" w:rsidTr="00EE322D">
        <w:tc>
          <w:tcPr>
            <w:tcW w:w="1440" w:type="dxa"/>
            <w:vMerge w:val="restart"/>
          </w:tcPr>
          <w:p w:rsidR="00EE322D" w:rsidRPr="00EE322D" w:rsidRDefault="00EE322D" w:rsidP="00F201BD">
            <w:pPr>
              <w:jc w:val="both"/>
            </w:pPr>
            <w:r>
              <w:t xml:space="preserve">Rubriek </w:t>
            </w:r>
            <w:r w:rsidRPr="00EE322D">
              <w:t>1b</w:t>
            </w:r>
          </w:p>
        </w:tc>
        <w:tc>
          <w:tcPr>
            <w:tcW w:w="4140" w:type="dxa"/>
          </w:tcPr>
          <w:p w:rsidR="00EE322D" w:rsidRPr="00F201BD" w:rsidRDefault="00EE322D" w:rsidP="00915784">
            <w:r w:rsidRPr="00F201BD">
              <w:t xml:space="preserve">Europees Fonds voor </w:t>
            </w:r>
            <w:r>
              <w:t>Regio</w:t>
            </w:r>
            <w:r w:rsidRPr="00F201BD">
              <w:t>nale Ontwikkeling (EFRO)</w:t>
            </w:r>
          </w:p>
        </w:tc>
        <w:tc>
          <w:tcPr>
            <w:tcW w:w="2520" w:type="dxa"/>
          </w:tcPr>
          <w:p w:rsidR="00EE322D" w:rsidRPr="00F201BD" w:rsidRDefault="00EE322D" w:rsidP="00F201BD">
            <w:pPr>
              <w:jc w:val="both"/>
              <w:rPr>
                <w:i/>
              </w:rPr>
            </w:pPr>
            <w:r w:rsidRPr="00F201BD">
              <w:rPr>
                <w:i/>
              </w:rPr>
              <w:t xml:space="preserve">30.000.000 </w:t>
            </w:r>
          </w:p>
        </w:tc>
        <w:tc>
          <w:tcPr>
            <w:tcW w:w="6300" w:type="dxa"/>
          </w:tcPr>
          <w:p w:rsidR="00EE322D" w:rsidRPr="007477F4" w:rsidRDefault="00EE322D" w:rsidP="00F201BD">
            <w:pPr>
              <w:jc w:val="both"/>
            </w:pPr>
            <w:r>
              <w:t>Verdeelsleutel</w:t>
            </w:r>
            <w:r w:rsidRPr="00225B6A">
              <w:t xml:space="preserve"> - kopie</w:t>
            </w:r>
            <w:r>
              <w:t xml:space="preserve"> gaat als bijlage</w:t>
            </w:r>
          </w:p>
        </w:tc>
      </w:tr>
      <w:tr w:rsidR="00EE322D" w:rsidRPr="007477F4" w:rsidTr="00EE322D">
        <w:tc>
          <w:tcPr>
            <w:tcW w:w="1440" w:type="dxa"/>
            <w:vMerge/>
          </w:tcPr>
          <w:p w:rsidR="00EE322D" w:rsidRPr="0018006E" w:rsidRDefault="00EE322D" w:rsidP="00CD3C28">
            <w:pPr>
              <w:jc w:val="both"/>
              <w:rPr>
                <w:i/>
              </w:rPr>
            </w:pPr>
          </w:p>
        </w:tc>
        <w:tc>
          <w:tcPr>
            <w:tcW w:w="4140" w:type="dxa"/>
          </w:tcPr>
          <w:p w:rsidR="00EE322D" w:rsidRPr="00F201BD" w:rsidRDefault="00EE322D" w:rsidP="00915784">
            <w:r w:rsidRPr="00F201BD">
              <w:t>Europese Sociaal Fonds (ESF)</w:t>
            </w:r>
          </w:p>
        </w:tc>
        <w:tc>
          <w:tcPr>
            <w:tcW w:w="2520" w:type="dxa"/>
          </w:tcPr>
          <w:p w:rsidR="00EE322D" w:rsidRPr="0018006E" w:rsidRDefault="00EE322D" w:rsidP="00CD3C28">
            <w:pPr>
              <w:jc w:val="both"/>
              <w:rPr>
                <w:i/>
              </w:rPr>
            </w:pPr>
            <w:r w:rsidRPr="0018006E">
              <w:rPr>
                <w:i/>
              </w:rPr>
              <w:t xml:space="preserve">74.605.000,10 </w:t>
            </w:r>
          </w:p>
        </w:tc>
        <w:tc>
          <w:tcPr>
            <w:tcW w:w="6300" w:type="dxa"/>
          </w:tcPr>
          <w:p w:rsidR="00EE322D" w:rsidRPr="007477F4" w:rsidRDefault="00EE322D" w:rsidP="00CD3C28">
            <w:pPr>
              <w:jc w:val="both"/>
            </w:pPr>
            <w:r>
              <w:t>Verdeelsleutel</w:t>
            </w:r>
            <w:r w:rsidRPr="00225B6A">
              <w:t xml:space="preserve"> - kopie</w:t>
            </w:r>
            <w:r>
              <w:t xml:space="preserve"> gaat als bijlage</w:t>
            </w:r>
          </w:p>
        </w:tc>
      </w:tr>
      <w:tr w:rsidR="00EE322D" w:rsidRPr="007477F4" w:rsidTr="00EE322D">
        <w:tc>
          <w:tcPr>
            <w:tcW w:w="1440" w:type="dxa"/>
            <w:vMerge w:val="restart"/>
          </w:tcPr>
          <w:p w:rsidR="00EE322D" w:rsidRPr="00EE322D" w:rsidRDefault="00EE322D" w:rsidP="00CD3C28">
            <w:r w:rsidRPr="00EE322D">
              <w:t>Rubriek 2</w:t>
            </w:r>
          </w:p>
        </w:tc>
        <w:tc>
          <w:tcPr>
            <w:tcW w:w="4140" w:type="dxa"/>
          </w:tcPr>
          <w:p w:rsidR="00EE322D" w:rsidRPr="007477F4" w:rsidRDefault="00EE322D" w:rsidP="00915784">
            <w:pPr>
              <w:tabs>
                <w:tab w:val="left" w:pos="426"/>
              </w:tabs>
            </w:pPr>
            <w:r w:rsidRPr="007477F4">
              <w:t>LIFE+ projecten</w:t>
            </w:r>
          </w:p>
          <w:p w:rsidR="00EE322D" w:rsidRPr="007477F4" w:rsidRDefault="00EE322D" w:rsidP="00915784">
            <w:pPr>
              <w:tabs>
                <w:tab w:val="left" w:pos="426"/>
              </w:tabs>
            </w:pPr>
            <w:r w:rsidRPr="007477F4">
              <w:t>(leefmilieu)</w:t>
            </w:r>
          </w:p>
        </w:tc>
        <w:tc>
          <w:tcPr>
            <w:tcW w:w="2520" w:type="dxa"/>
          </w:tcPr>
          <w:p w:rsidR="00EE322D" w:rsidRPr="0070024F" w:rsidRDefault="00EE322D" w:rsidP="00CD3C28">
            <w:pPr>
              <w:rPr>
                <w:sz w:val="24"/>
                <w:szCs w:val="24"/>
              </w:rPr>
            </w:pPr>
            <w:r w:rsidRPr="003D198C">
              <w:rPr>
                <w:i/>
              </w:rPr>
              <w:t>4</w:t>
            </w:r>
            <w:r>
              <w:rPr>
                <w:i/>
              </w:rPr>
              <w:t>.</w:t>
            </w:r>
            <w:r w:rsidRPr="003D198C">
              <w:rPr>
                <w:i/>
              </w:rPr>
              <w:t>610</w:t>
            </w:r>
            <w:r>
              <w:rPr>
                <w:i/>
              </w:rPr>
              <w:t>.</w:t>
            </w:r>
            <w:r w:rsidRPr="003D198C">
              <w:rPr>
                <w:i/>
              </w:rPr>
              <w:t xml:space="preserve">342 </w:t>
            </w:r>
          </w:p>
          <w:p w:rsidR="00EE322D" w:rsidRPr="007477F4" w:rsidRDefault="00EE322D" w:rsidP="00CD3C28">
            <w:pPr>
              <w:tabs>
                <w:tab w:val="left" w:pos="426"/>
              </w:tabs>
              <w:jc w:val="both"/>
            </w:pPr>
          </w:p>
        </w:tc>
        <w:tc>
          <w:tcPr>
            <w:tcW w:w="6300" w:type="dxa"/>
          </w:tcPr>
          <w:p w:rsidR="00EE322D" w:rsidRDefault="00EE322D" w:rsidP="00F37F32">
            <w:r>
              <w:t>F</w:t>
            </w:r>
            <w:r w:rsidRPr="005F6B38">
              <w:t>inanciering gebeurt door de Europese Commissie op basis van inge</w:t>
            </w:r>
            <w:r>
              <w:t xml:space="preserve">diende projectvoorstellen door </w:t>
            </w:r>
            <w:r w:rsidRPr="005F6B38">
              <w:t xml:space="preserve">de lidstaten (nationale / regionale overheden). De toekenning van de middelen gebeurt op basis van de excellentie van de </w:t>
            </w:r>
            <w:r w:rsidRPr="005F6B38">
              <w:lastRenderedPageBreak/>
              <w:t>ingediende voorstellen</w:t>
            </w:r>
            <w:r>
              <w:t>,</w:t>
            </w:r>
            <w:r w:rsidRPr="005F6B38">
              <w:t xml:space="preserve"> competitief en bottom-up. </w:t>
            </w:r>
            <w:r>
              <w:t>De Vlaamse o</w:t>
            </w:r>
            <w:r w:rsidRPr="005F6B38">
              <w:t xml:space="preserve">verheid komt niet tussen in de selectie van projecten of toekenning van subsidies. Er is geen verdeelsleutel om de middelen tussen de lidstaten te verdelen. </w:t>
            </w:r>
            <w:r>
              <w:t>O</w:t>
            </w:r>
            <w:r w:rsidRPr="005F6B38">
              <w:t>ok hier bestaat er dus geen verdeelsleutel of protocol.</w:t>
            </w:r>
          </w:p>
          <w:p w:rsidR="00EE322D" w:rsidRDefault="00EE322D" w:rsidP="00F37F32">
            <w:r>
              <w:t>P</w:t>
            </w:r>
            <w:r w:rsidRPr="00F37F32">
              <w:t xml:space="preserve">articipatie aan één gedeeld federaal- en gewestenproject ter waarde van </w:t>
            </w:r>
            <w:r w:rsidRPr="00F37F32">
              <w:rPr>
                <w:i/>
              </w:rPr>
              <w:t xml:space="preserve">501.482 </w:t>
            </w:r>
            <w:r>
              <w:rPr>
                <w:i/>
              </w:rPr>
              <w:t xml:space="preserve">€ </w:t>
            </w:r>
            <w:r>
              <w:t xml:space="preserve">.  De </w:t>
            </w:r>
            <w:r w:rsidRPr="00CD3C28">
              <w:t xml:space="preserve"> verdeelsleutel </w:t>
            </w:r>
            <w:r>
              <w:t>voor de Europese cofinanciering is</w:t>
            </w:r>
            <w:r w:rsidRPr="00CD3C28">
              <w:t xml:space="preserve"> onbekend.</w:t>
            </w:r>
            <w:r>
              <w:t xml:space="preserve"> </w:t>
            </w:r>
            <w:r w:rsidRPr="007A74CA">
              <w:t xml:space="preserve">Er werd een </w:t>
            </w:r>
            <w:r>
              <w:t>raming</w:t>
            </w:r>
            <w:r w:rsidRPr="007A74CA">
              <w:t xml:space="preserve"> gemaakt</w:t>
            </w:r>
            <w:r>
              <w:t>.</w:t>
            </w:r>
          </w:p>
          <w:p w:rsidR="00EE322D" w:rsidRPr="007477F4" w:rsidRDefault="00EE322D" w:rsidP="0018006E">
            <w:pPr>
              <w:jc w:val="both"/>
            </w:pPr>
          </w:p>
        </w:tc>
      </w:tr>
      <w:tr w:rsidR="00EE322D" w:rsidRPr="007477F4" w:rsidTr="00EE322D">
        <w:tc>
          <w:tcPr>
            <w:tcW w:w="1440" w:type="dxa"/>
            <w:vMerge/>
          </w:tcPr>
          <w:p w:rsidR="00EE322D" w:rsidRPr="00EE322D" w:rsidRDefault="00EE322D" w:rsidP="00CD3C28">
            <w:pPr>
              <w:tabs>
                <w:tab w:val="left" w:pos="426"/>
              </w:tabs>
              <w:jc w:val="both"/>
            </w:pPr>
          </w:p>
        </w:tc>
        <w:tc>
          <w:tcPr>
            <w:tcW w:w="4140" w:type="dxa"/>
          </w:tcPr>
          <w:p w:rsidR="00EE322D" w:rsidRPr="007477F4" w:rsidRDefault="00EE322D" w:rsidP="00915784">
            <w:pPr>
              <w:tabs>
                <w:tab w:val="left" w:pos="426"/>
              </w:tabs>
            </w:pPr>
            <w:r>
              <w:rPr>
                <w:lang w:val="nl-BE"/>
              </w:rPr>
              <w:t>ELGF en ELFPO (</w:t>
            </w:r>
            <w:r w:rsidRPr="00F37F32">
              <w:rPr>
                <w:lang w:val="nl-BE"/>
              </w:rPr>
              <w:t>Agentschap Landbouw en Visserij</w:t>
            </w:r>
            <w:r>
              <w:rPr>
                <w:lang w:val="nl-BE"/>
              </w:rPr>
              <w:t>) *</w:t>
            </w:r>
          </w:p>
        </w:tc>
        <w:tc>
          <w:tcPr>
            <w:tcW w:w="2520" w:type="dxa"/>
          </w:tcPr>
          <w:p w:rsidR="00EE322D" w:rsidRPr="00F37F32" w:rsidRDefault="00EE322D" w:rsidP="00CD3C28">
            <w:pPr>
              <w:tabs>
                <w:tab w:val="left" w:pos="426"/>
              </w:tabs>
              <w:jc w:val="both"/>
              <w:rPr>
                <w:i/>
              </w:rPr>
            </w:pPr>
            <w:r w:rsidRPr="00F37F32">
              <w:rPr>
                <w:i/>
              </w:rPr>
              <w:t>302.500.000</w:t>
            </w:r>
          </w:p>
        </w:tc>
        <w:tc>
          <w:tcPr>
            <w:tcW w:w="6300" w:type="dxa"/>
          </w:tcPr>
          <w:p w:rsidR="00EE322D" w:rsidRPr="00225B6A" w:rsidRDefault="00EE322D" w:rsidP="00225B6A">
            <w:pPr>
              <w:rPr>
                <w:lang w:val="nl-BE"/>
              </w:rPr>
            </w:pPr>
            <w:r>
              <w:rPr>
                <w:lang w:val="nl-BE"/>
              </w:rPr>
              <w:t xml:space="preserve">Jaarlijks worden tussen Vlaanderen en Wallonië (binnen de Permanente Werkgroep Inter-ministerieel Overleg) afspraken gemaakt aangaande de verdeelsleutels van de ELGF-steun en ELFPO-steun (en hun verschillende onderdelen). </w:t>
            </w:r>
            <w:r>
              <w:t xml:space="preserve">Verdeelsleutels </w:t>
            </w:r>
            <w:r w:rsidRPr="00225B6A">
              <w:t xml:space="preserve">variëren van jaar tot jaar, en verschillen per type subsidie. </w:t>
            </w:r>
          </w:p>
        </w:tc>
      </w:tr>
      <w:tr w:rsidR="00EE322D" w:rsidRPr="007477F4" w:rsidTr="00EE322D">
        <w:trPr>
          <w:trHeight w:val="3258"/>
        </w:trPr>
        <w:tc>
          <w:tcPr>
            <w:tcW w:w="1440" w:type="dxa"/>
            <w:vMerge/>
          </w:tcPr>
          <w:p w:rsidR="00EE322D" w:rsidRPr="00EE322D" w:rsidRDefault="00EE322D" w:rsidP="00F37F32">
            <w:pPr>
              <w:jc w:val="both"/>
              <w:rPr>
                <w:lang w:val="nl-BE"/>
              </w:rPr>
            </w:pPr>
          </w:p>
        </w:tc>
        <w:tc>
          <w:tcPr>
            <w:tcW w:w="4140" w:type="dxa"/>
          </w:tcPr>
          <w:p w:rsidR="00EE322D" w:rsidRPr="00B80A78" w:rsidRDefault="00EE322D" w:rsidP="00915784">
            <w:pPr>
              <w:tabs>
                <w:tab w:val="left" w:pos="426"/>
              </w:tabs>
            </w:pPr>
            <w:r w:rsidRPr="00B80A78">
              <w:rPr>
                <w:lang w:val="nl-BE"/>
              </w:rPr>
              <w:t>ELGF (Belgisch Interventie- en Resti-tutiebureau)</w:t>
            </w:r>
            <w:r w:rsidR="004725C6">
              <w:rPr>
                <w:lang w:val="nl-BE"/>
              </w:rPr>
              <w:t xml:space="preserve"> *</w:t>
            </w:r>
          </w:p>
        </w:tc>
        <w:tc>
          <w:tcPr>
            <w:tcW w:w="2520" w:type="dxa"/>
          </w:tcPr>
          <w:p w:rsidR="00EE322D" w:rsidRPr="00B80A78" w:rsidRDefault="00EE322D" w:rsidP="00CD3C28">
            <w:pPr>
              <w:tabs>
                <w:tab w:val="left" w:pos="426"/>
              </w:tabs>
              <w:jc w:val="both"/>
              <w:rPr>
                <w:color w:val="333399"/>
              </w:rPr>
            </w:pPr>
            <w:r w:rsidRPr="00B80A78">
              <w:rPr>
                <w:lang w:val="nl-BE"/>
              </w:rPr>
              <w:t xml:space="preserve">Afgaande op de lokalisatie van de maatschappelijke zetel van de begunstigde operatoren van de betalingen van het </w:t>
            </w:r>
            <w:r w:rsidRPr="00B80A78">
              <w:t xml:space="preserve">Belgisch Interventie- en Restitutiebureau </w:t>
            </w:r>
            <w:r w:rsidRPr="00B80A78">
              <w:rPr>
                <w:lang w:val="nl-BE"/>
              </w:rPr>
              <w:t xml:space="preserve">van het ELGF-begrotingsjaar 2008 werden aan het Vlaams gewest voor 16,1 miljoen € aan restituties en voor 44,5 miljoen € aan interventies toegekend. Globaal maakt dit </w:t>
            </w:r>
            <w:r w:rsidRPr="00B80A78">
              <w:rPr>
                <w:i/>
                <w:lang w:val="nl-BE"/>
              </w:rPr>
              <w:t xml:space="preserve">60.600.000 </w:t>
            </w:r>
            <w:r w:rsidRPr="00B80A78">
              <w:rPr>
                <w:lang w:val="nl-BE"/>
              </w:rPr>
              <w:t>€ in 2008.</w:t>
            </w:r>
          </w:p>
        </w:tc>
        <w:tc>
          <w:tcPr>
            <w:tcW w:w="6300" w:type="dxa"/>
          </w:tcPr>
          <w:p w:rsidR="00EE322D" w:rsidRPr="00B80A78" w:rsidRDefault="00EE322D" w:rsidP="007C4772">
            <w:pPr>
              <w:jc w:val="both"/>
              <w:rPr>
                <w:lang w:val="nl-BE"/>
              </w:rPr>
            </w:pPr>
            <w:r w:rsidRPr="00B80A78">
              <w:rPr>
                <w:lang w:val="nl-BE"/>
              </w:rPr>
              <w:t xml:space="preserve">Overeenkomstig ver. (EG) nr. 259/2008 van de Commissie tot vaststelling van de uitvoeringsbepalingen van ver. (EG) nr. 1290/2005 van de Raad m.b.t. de bekendmaking van informatie over de begunstigden van financiële middelen uit het ELGF en het ELFPO wordt op de website </w:t>
            </w:r>
            <w:hyperlink r:id="rId7" w:history="1">
              <w:r w:rsidRPr="00B80A78">
                <w:rPr>
                  <w:rStyle w:val="Hyperlink"/>
                  <w:lang w:val="nl-BE"/>
                </w:rPr>
                <w:t>www.belpa.be</w:t>
              </w:r>
            </w:hyperlink>
            <w:r w:rsidRPr="00B80A78">
              <w:rPr>
                <w:lang w:val="nl-BE"/>
              </w:rPr>
              <w:t xml:space="preserve"> informatie zoals de naam, woonplaats, bedragen van rechtstreekse ELGF-steun, andere ELGF-steun en van de ELFPO-steun aan de begunstigden van de drie Belgische ELGF- en ELFPO-betaalorganen bekendgemaakt voor het begrotingsjaar 2008.</w:t>
            </w:r>
          </w:p>
          <w:p w:rsidR="00EE322D" w:rsidRPr="00B80A78" w:rsidRDefault="00EE322D" w:rsidP="007C4772">
            <w:pPr>
              <w:jc w:val="both"/>
              <w:rPr>
                <w:lang w:val="nl-BE"/>
              </w:rPr>
            </w:pPr>
          </w:p>
        </w:tc>
      </w:tr>
      <w:tr w:rsidR="00EE322D" w:rsidRPr="007477F4" w:rsidTr="00EE322D">
        <w:tc>
          <w:tcPr>
            <w:tcW w:w="1440" w:type="dxa"/>
            <w:vMerge w:val="restart"/>
          </w:tcPr>
          <w:p w:rsidR="00EE322D" w:rsidRPr="00EE322D" w:rsidRDefault="00EE322D" w:rsidP="00CD3C28">
            <w:pPr>
              <w:jc w:val="both"/>
            </w:pPr>
            <w:r w:rsidRPr="00EE322D">
              <w:t>Rubriek 3b</w:t>
            </w:r>
          </w:p>
        </w:tc>
        <w:tc>
          <w:tcPr>
            <w:tcW w:w="4140" w:type="dxa"/>
          </w:tcPr>
          <w:p w:rsidR="00EE322D" w:rsidRPr="007477F4" w:rsidRDefault="00EE322D" w:rsidP="00915784">
            <w:r>
              <w:t>Youth Action programma</w:t>
            </w:r>
          </w:p>
          <w:p w:rsidR="00EE322D" w:rsidRPr="007477F4" w:rsidRDefault="00EE322D" w:rsidP="00915784"/>
        </w:tc>
        <w:tc>
          <w:tcPr>
            <w:tcW w:w="2520" w:type="dxa"/>
          </w:tcPr>
          <w:p w:rsidR="00EE322D" w:rsidRPr="00CD3C28" w:rsidRDefault="00EE322D" w:rsidP="00CD3C28">
            <w:pPr>
              <w:jc w:val="both"/>
              <w:rPr>
                <w:i/>
              </w:rPr>
            </w:pPr>
            <w:r w:rsidRPr="00CD3C28">
              <w:rPr>
                <w:i/>
              </w:rPr>
              <w:t xml:space="preserve">1.425.000 </w:t>
            </w:r>
          </w:p>
        </w:tc>
        <w:tc>
          <w:tcPr>
            <w:tcW w:w="6300" w:type="dxa"/>
          </w:tcPr>
          <w:p w:rsidR="00610771" w:rsidRDefault="00EE322D" w:rsidP="00610771">
            <w:pPr>
              <w:jc w:val="both"/>
              <w:rPr>
                <w:iCs/>
              </w:rPr>
            </w:pPr>
            <w:r w:rsidRPr="00610771">
              <w:t>In samenspraak met de nationale autoriteiten bepaalt de Europese Commissie het bedrag voor elke gemeenschap in België. Het zijn vervolgens de nationale agentschappen die over de toekenning van de middelen beslissen.</w:t>
            </w:r>
            <w:r w:rsidR="00610771" w:rsidRPr="00610771">
              <w:t xml:space="preserve"> </w:t>
            </w:r>
            <w:r w:rsidR="00610771" w:rsidRPr="00610771">
              <w:rPr>
                <w:iCs/>
              </w:rPr>
              <w:t>Een officieel document voor deze verdeling bestaat niet.</w:t>
            </w:r>
            <w:r w:rsidR="00610771" w:rsidRPr="00610771">
              <w:t xml:space="preserve"> </w:t>
            </w:r>
            <w:r w:rsidR="00610771" w:rsidRPr="00610771">
              <w:rPr>
                <w:iCs/>
              </w:rPr>
              <w:t>Vanuit de drie administraties wordt dergelijke verdeelsleutel jaarlijks bekeken en berekend (binnen de marges van het aan België toegewezen budget wat wordt berekend op basis van de door de Europese Commissie opgelegde parameters).</w:t>
            </w:r>
            <w:r w:rsidR="00610771">
              <w:rPr>
                <w:iCs/>
              </w:rPr>
              <w:t xml:space="preserve"> </w:t>
            </w:r>
          </w:p>
          <w:p w:rsidR="00EE322D" w:rsidRPr="007477F4" w:rsidRDefault="00610771" w:rsidP="007A74CA">
            <w:pPr>
              <w:jc w:val="both"/>
            </w:pPr>
            <w:r w:rsidRPr="00610771">
              <w:rPr>
                <w:iCs/>
              </w:rPr>
              <w:t xml:space="preserve">Na de voorafname ten gunste van de Duitstalige gemeenschap wordt de verdeelsleutel van 59,5% voor de Vlaamse gemeenschap en 40,5% voor de Franstalige gemeenschap gehanteerd. </w:t>
            </w:r>
          </w:p>
        </w:tc>
      </w:tr>
      <w:tr w:rsidR="00EE322D" w:rsidRPr="007477F4" w:rsidTr="00EE322D">
        <w:tc>
          <w:tcPr>
            <w:tcW w:w="1440" w:type="dxa"/>
            <w:vMerge/>
          </w:tcPr>
          <w:p w:rsidR="00EE322D" w:rsidRPr="00CD3C28" w:rsidRDefault="00EE322D" w:rsidP="00CD3C28">
            <w:pPr>
              <w:jc w:val="both"/>
              <w:rPr>
                <w:i/>
              </w:rPr>
            </w:pPr>
          </w:p>
        </w:tc>
        <w:tc>
          <w:tcPr>
            <w:tcW w:w="4140" w:type="dxa"/>
          </w:tcPr>
          <w:p w:rsidR="00EE322D" w:rsidRPr="007477F4" w:rsidRDefault="00EE322D" w:rsidP="00915784">
            <w:pPr>
              <w:rPr>
                <w:lang w:val="fr-FR"/>
              </w:rPr>
            </w:pPr>
            <w:r>
              <w:rPr>
                <w:lang w:val="fr-FR"/>
              </w:rPr>
              <w:t>MEDIA-programma</w:t>
            </w:r>
          </w:p>
        </w:tc>
        <w:tc>
          <w:tcPr>
            <w:tcW w:w="2520" w:type="dxa"/>
          </w:tcPr>
          <w:p w:rsidR="00EE322D" w:rsidRPr="00CD3C28" w:rsidRDefault="00EE322D" w:rsidP="00CD3C28">
            <w:pPr>
              <w:jc w:val="both"/>
              <w:rPr>
                <w:i/>
              </w:rPr>
            </w:pPr>
            <w:r w:rsidRPr="00CD3C28">
              <w:rPr>
                <w:i/>
              </w:rPr>
              <w:t xml:space="preserve">1.037.000 </w:t>
            </w:r>
          </w:p>
        </w:tc>
        <w:tc>
          <w:tcPr>
            <w:tcW w:w="6300" w:type="dxa"/>
          </w:tcPr>
          <w:p w:rsidR="00EE322D" w:rsidRPr="007A74CA" w:rsidRDefault="00EE322D" w:rsidP="007A74CA">
            <w:r w:rsidRPr="007A74CA">
              <w:t xml:space="preserve">De subsidies worden rechtstreeks door de Europese Commissie aan het </w:t>
            </w:r>
            <w:r w:rsidRPr="007A74CA">
              <w:lastRenderedPageBreak/>
              <w:t xml:space="preserve">veld uitbetaald. De Vlaamse administratie kan hier dus geen gedetailleerde informatie over aanleveren. Er werd een </w:t>
            </w:r>
            <w:r>
              <w:t>raming</w:t>
            </w:r>
            <w:r w:rsidRPr="007A74CA">
              <w:t xml:space="preserve"> gemaakt van de verdeling van de Europese middelen tussen Vlaanderen, Wallonië en Brussel.</w:t>
            </w:r>
          </w:p>
        </w:tc>
      </w:tr>
      <w:tr w:rsidR="00EE322D" w:rsidRPr="007477F4" w:rsidTr="00EE322D">
        <w:tc>
          <w:tcPr>
            <w:tcW w:w="1440" w:type="dxa"/>
            <w:vMerge/>
          </w:tcPr>
          <w:p w:rsidR="00EE322D" w:rsidRPr="00CD3C28" w:rsidRDefault="00EE322D" w:rsidP="00CD3C28">
            <w:pPr>
              <w:jc w:val="both"/>
              <w:rPr>
                <w:i/>
              </w:rPr>
            </w:pPr>
          </w:p>
        </w:tc>
        <w:tc>
          <w:tcPr>
            <w:tcW w:w="4140" w:type="dxa"/>
          </w:tcPr>
          <w:p w:rsidR="00EE322D" w:rsidRPr="007477F4" w:rsidRDefault="00EE322D" w:rsidP="00915784">
            <w:r>
              <w:t>Cultuur Programma</w:t>
            </w:r>
          </w:p>
        </w:tc>
        <w:tc>
          <w:tcPr>
            <w:tcW w:w="2520" w:type="dxa"/>
          </w:tcPr>
          <w:p w:rsidR="00EE322D" w:rsidRPr="007477F4" w:rsidRDefault="00EE322D" w:rsidP="00CD3C28">
            <w:pPr>
              <w:jc w:val="both"/>
            </w:pPr>
            <w:r w:rsidRPr="00CD3C28">
              <w:rPr>
                <w:i/>
              </w:rPr>
              <w:t>1.820.441</w:t>
            </w:r>
          </w:p>
        </w:tc>
        <w:tc>
          <w:tcPr>
            <w:tcW w:w="6300" w:type="dxa"/>
          </w:tcPr>
          <w:p w:rsidR="00EE322D" w:rsidRPr="007477F4" w:rsidRDefault="00EE322D" w:rsidP="00CD3C28">
            <w:pPr>
              <w:jc w:val="both"/>
            </w:pPr>
            <w:r w:rsidRPr="007A74CA">
              <w:t>De subsidies worden rechtstreeks door de Europese Commissie aan het veld uitbetaald. Deze toekenning gebeurt niet volgens een verdeelsleutel naar de verschillende landen, maar volgens de kwaliteit van het project. Vanuit de administratie heeft men enkel een globaal</w:t>
            </w:r>
            <w:r>
              <w:t>, Belgisch</w:t>
            </w:r>
            <w:r w:rsidRPr="007A74CA">
              <w:t xml:space="preserve"> cijf</w:t>
            </w:r>
            <w:r>
              <w:t>er ter beschikking.</w:t>
            </w:r>
            <w:r w:rsidRPr="007A74CA">
              <w:t xml:space="preserve"> Er werd een </w:t>
            </w:r>
            <w:r>
              <w:t>raming</w:t>
            </w:r>
            <w:r w:rsidRPr="007A74CA">
              <w:t xml:space="preserve"> gemaakt</w:t>
            </w:r>
            <w:r>
              <w:t>.</w:t>
            </w:r>
          </w:p>
        </w:tc>
      </w:tr>
      <w:tr w:rsidR="00EE322D" w:rsidRPr="007477F4" w:rsidTr="00EE322D">
        <w:tc>
          <w:tcPr>
            <w:tcW w:w="1440" w:type="dxa"/>
            <w:vMerge/>
          </w:tcPr>
          <w:p w:rsidR="00EE322D" w:rsidRPr="007A74CA" w:rsidRDefault="00EE322D" w:rsidP="00CD3C28">
            <w:pPr>
              <w:jc w:val="both"/>
              <w:rPr>
                <w:i/>
              </w:rPr>
            </w:pPr>
          </w:p>
        </w:tc>
        <w:tc>
          <w:tcPr>
            <w:tcW w:w="4140" w:type="dxa"/>
          </w:tcPr>
          <w:p w:rsidR="00EE322D" w:rsidRDefault="00EE322D" w:rsidP="00915784">
            <w:r>
              <w:t>Europa voor de burger Programma inclusief de w</w:t>
            </w:r>
            <w:r w:rsidRPr="007A74CA">
              <w:t xml:space="preserve">erkingsmiddelen </w:t>
            </w:r>
            <w:r>
              <w:t xml:space="preserve">van de </w:t>
            </w:r>
            <w:r w:rsidRPr="007A74CA">
              <w:t>Vlaamse infopunten voor het Cultuur</w:t>
            </w:r>
            <w:r>
              <w:t>contact</w:t>
            </w:r>
            <w:r w:rsidRPr="007A74CA">
              <w:t xml:space="preserve">punt (CCP) en het contact </w:t>
            </w:r>
            <w:r>
              <w:t xml:space="preserve">punt </w:t>
            </w:r>
            <w:r w:rsidRPr="007A74CA">
              <w:t>voor het Media programma</w:t>
            </w:r>
            <w:r>
              <w:t xml:space="preserve"> **</w:t>
            </w:r>
          </w:p>
        </w:tc>
        <w:tc>
          <w:tcPr>
            <w:tcW w:w="2520" w:type="dxa"/>
          </w:tcPr>
          <w:p w:rsidR="00EE322D" w:rsidRPr="007A74CA" w:rsidRDefault="00EE322D" w:rsidP="00CD3C28">
            <w:pPr>
              <w:jc w:val="both"/>
            </w:pPr>
            <w:r w:rsidRPr="007A74CA">
              <w:rPr>
                <w:i/>
              </w:rPr>
              <w:t>436.355</w:t>
            </w:r>
          </w:p>
        </w:tc>
        <w:tc>
          <w:tcPr>
            <w:tcW w:w="6300" w:type="dxa"/>
          </w:tcPr>
          <w:p w:rsidR="00EE322D" w:rsidRPr="007477F4" w:rsidRDefault="00EE322D" w:rsidP="007A74CA">
            <w:pPr>
              <w:jc w:val="both"/>
            </w:pPr>
            <w:r w:rsidRPr="007A74CA">
              <w:t>De subsidies worden rechtstreeks door de Europese Commissie aan het veld uitbetaald. Deze toekenning gebeurt niet volgens een verdeelsleutel naar de verschillende landen, maar volgens de kwaliteit van het project. De betaling gebeurt rechtstreeks van de Europese Commissie aan het veld. Vanuit de administratie heeft men ook hier enkel een globaal</w:t>
            </w:r>
            <w:r>
              <w:t>, Belgisch</w:t>
            </w:r>
            <w:r w:rsidRPr="007A74CA">
              <w:t xml:space="preserve"> cijfer ter beschikking. Er werd een </w:t>
            </w:r>
            <w:r>
              <w:t>raming</w:t>
            </w:r>
            <w:r w:rsidRPr="007A74CA">
              <w:t xml:space="preserve"> gemaakt van de verdeling van de Europese middelen tussen Vlaanderen, Wallonië en Brussel.</w:t>
            </w:r>
            <w:r>
              <w:t xml:space="preserve"> </w:t>
            </w:r>
          </w:p>
        </w:tc>
      </w:tr>
      <w:tr w:rsidR="003C41FC" w:rsidRPr="007477F4" w:rsidTr="00EE322D">
        <w:tc>
          <w:tcPr>
            <w:tcW w:w="1440" w:type="dxa"/>
          </w:tcPr>
          <w:p w:rsidR="003C41FC" w:rsidRPr="00343D1D" w:rsidRDefault="003C41FC" w:rsidP="00CD3C28">
            <w:pPr>
              <w:jc w:val="both"/>
              <w:rPr>
                <w:i/>
              </w:rPr>
            </w:pPr>
          </w:p>
        </w:tc>
        <w:tc>
          <w:tcPr>
            <w:tcW w:w="4140" w:type="dxa"/>
          </w:tcPr>
          <w:p w:rsidR="003C41FC" w:rsidRDefault="003C41FC" w:rsidP="00915784">
            <w:r>
              <w:t>Werkings- en projectmiddelen voor Eurodesk, SALTO en "EU-Jeugd"***</w:t>
            </w:r>
          </w:p>
        </w:tc>
        <w:tc>
          <w:tcPr>
            <w:tcW w:w="2520" w:type="dxa"/>
          </w:tcPr>
          <w:p w:rsidR="003C41FC" w:rsidRPr="00343D1D" w:rsidRDefault="003C41FC" w:rsidP="00CD3C28">
            <w:pPr>
              <w:jc w:val="both"/>
              <w:rPr>
                <w:i/>
              </w:rPr>
            </w:pPr>
            <w:r w:rsidRPr="00343D1D">
              <w:rPr>
                <w:i/>
              </w:rPr>
              <w:t>243.939</w:t>
            </w:r>
          </w:p>
        </w:tc>
        <w:tc>
          <w:tcPr>
            <w:tcW w:w="6300" w:type="dxa"/>
          </w:tcPr>
          <w:p w:rsidR="003C41FC" w:rsidRPr="007477F4" w:rsidRDefault="003C41FC" w:rsidP="00F55D2F"/>
        </w:tc>
      </w:tr>
    </w:tbl>
    <w:p w:rsidR="005F6B38" w:rsidRDefault="005F6B38" w:rsidP="005F6B38">
      <w:pPr>
        <w:rPr>
          <w:b/>
        </w:rPr>
      </w:pPr>
    </w:p>
    <w:p w:rsidR="005F6B38" w:rsidRPr="007477F4" w:rsidRDefault="005F6B38" w:rsidP="005F6B38">
      <w:pPr>
        <w:rPr>
          <w:b/>
        </w:rPr>
      </w:pPr>
    </w:p>
    <w:p w:rsidR="007A74CA" w:rsidRDefault="00F37F32" w:rsidP="0098309C">
      <w:pPr>
        <w:tabs>
          <w:tab w:val="left" w:pos="540"/>
        </w:tabs>
        <w:ind w:left="540" w:hanging="540"/>
        <w:jc w:val="both"/>
        <w:rPr>
          <w:lang w:val="nl-BE"/>
        </w:rPr>
      </w:pPr>
      <w:r>
        <w:rPr>
          <w:sz w:val="22"/>
          <w:szCs w:val="22"/>
          <w:lang w:val="nl-BE"/>
        </w:rPr>
        <w:t xml:space="preserve">* </w:t>
      </w:r>
      <w:r>
        <w:rPr>
          <w:sz w:val="22"/>
          <w:szCs w:val="22"/>
          <w:lang w:val="nl-BE"/>
        </w:rPr>
        <w:tab/>
      </w:r>
      <w:r w:rsidRPr="00F37F32">
        <w:rPr>
          <w:lang w:val="nl-BE"/>
        </w:rPr>
        <w:t xml:space="preserve">Het Belgisch Interventie- </w:t>
      </w:r>
      <w:r>
        <w:rPr>
          <w:lang w:val="nl-BE"/>
        </w:rPr>
        <w:t xml:space="preserve">en Restitutiebureau (BIRB) </w:t>
      </w:r>
      <w:r w:rsidR="00CD3C28">
        <w:rPr>
          <w:lang w:val="nl-BE"/>
        </w:rPr>
        <w:t xml:space="preserve">is verantwoordelijk </w:t>
      </w:r>
      <w:r w:rsidRPr="00F37F32">
        <w:rPr>
          <w:lang w:val="nl-BE"/>
        </w:rPr>
        <w:t>voor</w:t>
      </w:r>
      <w:r w:rsidR="00CD3C28">
        <w:rPr>
          <w:lang w:val="nl-BE"/>
        </w:rPr>
        <w:t xml:space="preserve"> betalingen uit het </w:t>
      </w:r>
      <w:r w:rsidRPr="00F37F32">
        <w:rPr>
          <w:lang w:val="nl-BE"/>
        </w:rPr>
        <w:t xml:space="preserve"> </w:t>
      </w:r>
      <w:r w:rsidR="00CD3C28" w:rsidRPr="00F37F32">
        <w:rPr>
          <w:lang w:val="nl-BE"/>
        </w:rPr>
        <w:t xml:space="preserve">Europees Landbouwgarantiefonds </w:t>
      </w:r>
      <w:r w:rsidR="00CD3C28">
        <w:rPr>
          <w:lang w:val="nl-BE"/>
        </w:rPr>
        <w:t>(</w:t>
      </w:r>
      <w:r w:rsidR="00CD3C28" w:rsidRPr="00F37F32">
        <w:rPr>
          <w:lang w:val="nl-BE"/>
        </w:rPr>
        <w:t>ELGF</w:t>
      </w:r>
      <w:r w:rsidR="00CD3C28">
        <w:rPr>
          <w:lang w:val="nl-BE"/>
        </w:rPr>
        <w:t xml:space="preserve">) voor </w:t>
      </w:r>
      <w:r w:rsidRPr="00F37F32">
        <w:rPr>
          <w:lang w:val="nl-BE"/>
        </w:rPr>
        <w:t>operatoren op het vlak van uitvoer, verwerking en opslag</w:t>
      </w:r>
      <w:r w:rsidR="003F59F3">
        <w:rPr>
          <w:lang w:val="nl-BE"/>
        </w:rPr>
        <w:t xml:space="preserve">. </w:t>
      </w:r>
      <w:r w:rsidR="008D4656" w:rsidRPr="00F37F32">
        <w:rPr>
          <w:lang w:val="nl-BE"/>
        </w:rPr>
        <w:t>De Euro</w:t>
      </w:r>
      <w:r>
        <w:rPr>
          <w:lang w:val="nl-BE"/>
        </w:rPr>
        <w:t>pese landbouwsteun uit het ELGF</w:t>
      </w:r>
      <w:r w:rsidR="008D4656" w:rsidRPr="00F37F32">
        <w:rPr>
          <w:lang w:val="nl-BE"/>
        </w:rPr>
        <w:t xml:space="preserve"> en het ELFPO (Europees Landbouwfonds voor Plattelandsontwikkeling) in Vlaanderen wordt betaald door een erkend betaalorgaan, met name het Agentschap Landbouw en Visserij (ALV) van het Beleidsdomein Landbouw en Visserij van de Vlaamse Overheid. Deze beheert de rechtstreekse steun aan de landbouwers (ELGF) en de plattelandsontwikkelingssteun (ELFPO).</w:t>
      </w:r>
      <w:r w:rsidRPr="00F37F32">
        <w:rPr>
          <w:lang w:val="nl-BE"/>
        </w:rPr>
        <w:t xml:space="preserve"> </w:t>
      </w:r>
    </w:p>
    <w:p w:rsidR="008D4656" w:rsidRPr="0098309C" w:rsidRDefault="007A74CA" w:rsidP="0098309C">
      <w:pPr>
        <w:tabs>
          <w:tab w:val="left" w:pos="540"/>
        </w:tabs>
        <w:ind w:left="360" w:hanging="360"/>
        <w:jc w:val="both"/>
        <w:rPr>
          <w:lang w:val="nl-BE"/>
        </w:rPr>
      </w:pPr>
      <w:r>
        <w:rPr>
          <w:lang w:val="nl-BE"/>
        </w:rPr>
        <w:t xml:space="preserve">**  </w:t>
      </w:r>
      <w:r w:rsidR="00F55D2F">
        <w:rPr>
          <w:lang w:val="nl-BE"/>
        </w:rPr>
        <w:tab/>
      </w:r>
      <w:r w:rsidR="00F55D2F">
        <w:rPr>
          <w:lang w:val="nl-BE"/>
        </w:rPr>
        <w:tab/>
      </w:r>
      <w:r w:rsidRPr="007A74CA">
        <w:t>In 2008 was er nog geen contactpunt voor het Europa voor de Burger programma en waren er bijgevolg oo</w:t>
      </w:r>
      <w:r w:rsidR="0098309C">
        <w:t>k geen werkingsmiddelen voorzien.</w:t>
      </w:r>
    </w:p>
    <w:p w:rsidR="00F55D2F" w:rsidRPr="00F55D2F" w:rsidRDefault="00F55D2F" w:rsidP="00F55D2F">
      <w:pPr>
        <w:tabs>
          <w:tab w:val="left" w:pos="540"/>
          <w:tab w:val="left" w:pos="900"/>
        </w:tabs>
        <w:ind w:left="540" w:hanging="540"/>
      </w:pPr>
      <w:r>
        <w:t>***</w:t>
      </w:r>
      <w:r>
        <w:tab/>
      </w:r>
      <w:r w:rsidRPr="00F55D2F">
        <w:t xml:space="preserve">EU-Jeugd staat het jeugdbeleid van de EU. Het is </w:t>
      </w:r>
      <w:r w:rsidR="00AA7891">
        <w:t xml:space="preserve">dus geen dienst of organisatie; </w:t>
      </w:r>
      <w:r w:rsidRPr="00F55D2F">
        <w:t>Eurodesk is een informatie</w:t>
      </w:r>
      <w:r>
        <w:t>dienst</w:t>
      </w:r>
      <w:r w:rsidRPr="00F55D2F">
        <w:t xml:space="preserve"> voor jongeren en jeugdwerkers omtrent internationale en Europese uitwisselingsmogelijkheden </w:t>
      </w:r>
      <w:r>
        <w:t>en het Europese jeugdbeleid</w:t>
      </w:r>
      <w:r w:rsidR="00AA7891">
        <w:t xml:space="preserve">; </w:t>
      </w:r>
      <w:r w:rsidRPr="00F55D2F">
        <w:t>SALTO Resource Centre is een opdracht die de Europese Com</w:t>
      </w:r>
      <w:r>
        <w:t xml:space="preserve">missie geeft aan sommige </w:t>
      </w:r>
      <w:r w:rsidRPr="00F55D2F">
        <w:t>Nationale Agentschappen van het Youth in Action programma</w:t>
      </w:r>
      <w:r>
        <w:t xml:space="preserve"> m</w:t>
      </w:r>
      <w:r w:rsidRPr="00F55D2F">
        <w:t xml:space="preserve">et de bedoeling om belangrijke thema's in het programma onder de aandacht te houden en het hele netwerk van Nationale Agentschappen daarbij te betrekken. JINT werd aangeduid als 1 van de 9 Europese Salto Centres rond het thema </w:t>
      </w:r>
      <w:r w:rsidR="00AA7891">
        <w:t>"</w:t>
      </w:r>
      <w:r w:rsidRPr="00F55D2F">
        <w:t>Sociale Inclusie</w:t>
      </w:r>
      <w:r w:rsidR="00AA7891">
        <w:t>"</w:t>
      </w:r>
      <w:r w:rsidRPr="00F55D2F">
        <w:t>.</w:t>
      </w:r>
    </w:p>
    <w:p w:rsidR="008D4656" w:rsidRDefault="008D4656">
      <w:pPr>
        <w:rPr>
          <w:lang w:val="nl-BE"/>
        </w:rPr>
      </w:pPr>
    </w:p>
    <w:sectPr w:rsidR="008D4656" w:rsidSect="00B127A0">
      <w:pgSz w:w="16838" w:h="11906" w:orient="landscape"/>
      <w:pgMar w:top="1418" w:right="1418" w:bottom="1418" w:left="1418"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554" w:rsidRDefault="000B7554">
      <w:r>
        <w:separator/>
      </w:r>
    </w:p>
  </w:endnote>
  <w:endnote w:type="continuationSeparator" w:id="1">
    <w:p w:rsidR="000B7554" w:rsidRDefault="000B755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554" w:rsidRDefault="000B7554">
      <w:r>
        <w:separator/>
      </w:r>
    </w:p>
  </w:footnote>
  <w:footnote w:type="continuationSeparator" w:id="1">
    <w:p w:rsidR="000B7554" w:rsidRDefault="000B75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4133D"/>
    <w:multiLevelType w:val="hybridMultilevel"/>
    <w:tmpl w:val="EE5E2FA0"/>
    <w:lvl w:ilvl="0" w:tplc="1486DA78">
      <w:start w:val="17"/>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5F6B38"/>
    <w:rsid w:val="000B7554"/>
    <w:rsid w:val="0018006E"/>
    <w:rsid w:val="001F03FC"/>
    <w:rsid w:val="00225B6A"/>
    <w:rsid w:val="00335030"/>
    <w:rsid w:val="00343D1D"/>
    <w:rsid w:val="003C41FC"/>
    <w:rsid w:val="003D198C"/>
    <w:rsid w:val="003F59F3"/>
    <w:rsid w:val="004725C6"/>
    <w:rsid w:val="0049549A"/>
    <w:rsid w:val="005C2390"/>
    <w:rsid w:val="005E1D44"/>
    <w:rsid w:val="005F6B38"/>
    <w:rsid w:val="00610771"/>
    <w:rsid w:val="006E0642"/>
    <w:rsid w:val="0070024F"/>
    <w:rsid w:val="007276FE"/>
    <w:rsid w:val="007510BE"/>
    <w:rsid w:val="00771753"/>
    <w:rsid w:val="007732DC"/>
    <w:rsid w:val="007A74CA"/>
    <w:rsid w:val="007B7BDE"/>
    <w:rsid w:val="007C4772"/>
    <w:rsid w:val="008C078B"/>
    <w:rsid w:val="008D4656"/>
    <w:rsid w:val="008F2200"/>
    <w:rsid w:val="00915784"/>
    <w:rsid w:val="00935F87"/>
    <w:rsid w:val="0098309C"/>
    <w:rsid w:val="00A16550"/>
    <w:rsid w:val="00AA7891"/>
    <w:rsid w:val="00B127A0"/>
    <w:rsid w:val="00B310C0"/>
    <w:rsid w:val="00B80A78"/>
    <w:rsid w:val="00C3678E"/>
    <w:rsid w:val="00CD3C28"/>
    <w:rsid w:val="00DA0891"/>
    <w:rsid w:val="00DC47AD"/>
    <w:rsid w:val="00DC7602"/>
    <w:rsid w:val="00DD087C"/>
    <w:rsid w:val="00EE322D"/>
    <w:rsid w:val="00F201BD"/>
    <w:rsid w:val="00F37433"/>
    <w:rsid w:val="00F37F32"/>
    <w:rsid w:val="00F55D2F"/>
    <w:rsid w:val="00F928C9"/>
    <w:rsid w:val="00FD4E9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F6B38"/>
    <w:rPr>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CharCharCharCharCharCharCharCharCharChar">
    <w:name w:val=" Char Char Char Char Char Char Char Char Char Char"/>
    <w:basedOn w:val="Standaard"/>
    <w:rsid w:val="005F6B38"/>
    <w:pPr>
      <w:keepLines/>
      <w:pBdr>
        <w:top w:val="single" w:sz="4" w:space="1" w:color="auto"/>
      </w:pBdr>
      <w:spacing w:before="480"/>
      <w:jc w:val="both"/>
    </w:pPr>
    <w:rPr>
      <w:i/>
      <w:iCs/>
      <w:snapToGrid w:val="0"/>
      <w:sz w:val="24"/>
      <w:szCs w:val="24"/>
      <w:lang w:val="fr-FR" w:eastAsia="en-GB"/>
    </w:rPr>
  </w:style>
  <w:style w:type="table" w:styleId="Tabelraster">
    <w:name w:val="Table Grid"/>
    <w:basedOn w:val="Standaardtabel"/>
    <w:rsid w:val="005F6B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druk">
    <w:name w:val="Emphasis"/>
    <w:basedOn w:val="Standaardalinea-lettertype"/>
    <w:qFormat/>
    <w:rsid w:val="005F6B38"/>
    <w:rPr>
      <w:b/>
      <w:bCs/>
      <w:i w:val="0"/>
      <w:iCs w:val="0"/>
    </w:rPr>
  </w:style>
  <w:style w:type="paragraph" w:customStyle="1" w:styleId="standaardsv">
    <w:name w:val="standaardsv"/>
    <w:basedOn w:val="Standaard"/>
    <w:rsid w:val="005F6B38"/>
    <w:pPr>
      <w:spacing w:before="100" w:beforeAutospacing="1" w:after="100" w:afterAutospacing="1"/>
    </w:pPr>
    <w:rPr>
      <w:sz w:val="24"/>
      <w:szCs w:val="24"/>
    </w:rPr>
  </w:style>
  <w:style w:type="character" w:styleId="Zwaar">
    <w:name w:val="Strong"/>
    <w:basedOn w:val="Standaardalinea-lettertype"/>
    <w:qFormat/>
    <w:rsid w:val="005F6B38"/>
    <w:rPr>
      <w:b/>
      <w:bCs/>
    </w:rPr>
  </w:style>
  <w:style w:type="character" w:styleId="Hyperlink">
    <w:name w:val="Hyperlink"/>
    <w:basedOn w:val="Standaardalinea-lettertype"/>
    <w:rsid w:val="008D4656"/>
    <w:rPr>
      <w:color w:val="0000FF"/>
      <w:u w:val="single"/>
    </w:rPr>
  </w:style>
  <w:style w:type="paragraph" w:styleId="Ballontekst">
    <w:name w:val="Balloon Text"/>
    <w:basedOn w:val="Standaard"/>
    <w:semiHidden/>
    <w:rsid w:val="00DA08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0040119">
      <w:bodyDiv w:val="1"/>
      <w:marLeft w:val="0"/>
      <w:marRight w:val="0"/>
      <w:marTop w:val="0"/>
      <w:marBottom w:val="0"/>
      <w:divBdr>
        <w:top w:val="none" w:sz="0" w:space="0" w:color="auto"/>
        <w:left w:val="none" w:sz="0" w:space="0" w:color="auto"/>
        <w:bottom w:val="none" w:sz="0" w:space="0" w:color="auto"/>
        <w:right w:val="none" w:sz="0" w:space="0" w:color="auto"/>
      </w:divBdr>
    </w:div>
    <w:div w:id="481316052">
      <w:bodyDiv w:val="1"/>
      <w:marLeft w:val="0"/>
      <w:marRight w:val="0"/>
      <w:marTop w:val="0"/>
      <w:marBottom w:val="0"/>
      <w:divBdr>
        <w:top w:val="none" w:sz="0" w:space="0" w:color="auto"/>
        <w:left w:val="none" w:sz="0" w:space="0" w:color="auto"/>
        <w:bottom w:val="none" w:sz="0" w:space="0" w:color="auto"/>
        <w:right w:val="none" w:sz="0" w:space="0" w:color="auto"/>
      </w:divBdr>
    </w:div>
    <w:div w:id="571506166">
      <w:bodyDiv w:val="1"/>
      <w:marLeft w:val="0"/>
      <w:marRight w:val="0"/>
      <w:marTop w:val="0"/>
      <w:marBottom w:val="0"/>
      <w:divBdr>
        <w:top w:val="none" w:sz="0" w:space="0" w:color="auto"/>
        <w:left w:val="none" w:sz="0" w:space="0" w:color="auto"/>
        <w:bottom w:val="none" w:sz="0" w:space="0" w:color="auto"/>
        <w:right w:val="none" w:sz="0" w:space="0" w:color="auto"/>
      </w:divBdr>
    </w:div>
    <w:div w:id="1153717642">
      <w:bodyDiv w:val="1"/>
      <w:marLeft w:val="0"/>
      <w:marRight w:val="0"/>
      <w:marTop w:val="0"/>
      <w:marBottom w:val="0"/>
      <w:divBdr>
        <w:top w:val="none" w:sz="0" w:space="0" w:color="auto"/>
        <w:left w:val="none" w:sz="0" w:space="0" w:color="auto"/>
        <w:bottom w:val="none" w:sz="0" w:space="0" w:color="auto"/>
        <w:right w:val="none" w:sz="0" w:space="0" w:color="auto"/>
      </w:divBdr>
    </w:div>
    <w:div w:id="1403211913">
      <w:bodyDiv w:val="1"/>
      <w:marLeft w:val="0"/>
      <w:marRight w:val="0"/>
      <w:marTop w:val="0"/>
      <w:marBottom w:val="0"/>
      <w:divBdr>
        <w:top w:val="none" w:sz="0" w:space="0" w:color="auto"/>
        <w:left w:val="none" w:sz="0" w:space="0" w:color="auto"/>
        <w:bottom w:val="none" w:sz="0" w:space="0" w:color="auto"/>
        <w:right w:val="none" w:sz="0" w:space="0" w:color="auto"/>
      </w:divBdr>
    </w:div>
    <w:div w:id="178438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lpa.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6746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Bijlage 1 </vt:lpstr>
    </vt:vector>
  </TitlesOfParts>
  <Company>MVG</Company>
  <LinksUpToDate>false</LinksUpToDate>
  <CharactersWithSpaces>7957</CharactersWithSpaces>
  <SharedDoc>false</SharedDoc>
  <HLinks>
    <vt:vector size="6" baseType="variant">
      <vt:variant>
        <vt:i4>589838</vt:i4>
      </vt:variant>
      <vt:variant>
        <vt:i4>0</vt:i4>
      </vt:variant>
      <vt:variant>
        <vt:i4>0</vt:i4>
      </vt:variant>
      <vt:variant>
        <vt:i4>5</vt:i4>
      </vt:variant>
      <vt:variant>
        <vt:lpwstr>http://www.belpa.be/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dc:title>
  <dc:creator>carmanja</dc:creator>
  <cp:lastModifiedBy>deboeclw</cp:lastModifiedBy>
  <cp:revision>2</cp:revision>
  <cp:lastPrinted>2010-03-19T09:16:00Z</cp:lastPrinted>
  <dcterms:created xsi:type="dcterms:W3CDTF">2010-03-19T09:16:00Z</dcterms:created>
  <dcterms:modified xsi:type="dcterms:W3CDTF">2010-03-19T09:16:00Z</dcterms:modified>
</cp:coreProperties>
</file>