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CD67" w14:textId="17F1BA78" w:rsidR="00256C8A" w:rsidRDefault="00256C8A" w:rsidP="00256C8A">
      <w:pPr>
        <w:ind w:left="1410" w:hanging="1410"/>
      </w:pPr>
      <w:r w:rsidRPr="00256C8A">
        <w:rPr>
          <w:u w:val="single"/>
        </w:rPr>
        <w:t>Bijlage 2</w:t>
      </w:r>
      <w:r>
        <w:t xml:space="preserve">: </w:t>
      </w:r>
      <w:r>
        <w:tab/>
      </w:r>
      <w:r w:rsidRPr="00256C8A">
        <w:rPr>
          <w:i/>
          <w:iCs/>
        </w:rPr>
        <w:t xml:space="preserve">aanvullende informatie verschaft door administrateur-generaal David Van </w:t>
      </w:r>
      <w:proofErr w:type="spellStart"/>
      <w:r w:rsidRPr="00256C8A">
        <w:rPr>
          <w:i/>
          <w:iCs/>
        </w:rPr>
        <w:t>Herreweghe</w:t>
      </w:r>
      <w:proofErr w:type="spellEnd"/>
      <w:r w:rsidRPr="00256C8A">
        <w:rPr>
          <w:i/>
          <w:iCs/>
        </w:rPr>
        <w:t xml:space="preserve"> m.b.t. het dossiervolume inzake overdracht van familiale ondernemingen/vennootschappen</w:t>
      </w:r>
    </w:p>
    <w:p w14:paraId="3497A8ED" w14:textId="77777777" w:rsidR="00256C8A" w:rsidRDefault="00256C8A" w:rsidP="00256C8A"/>
    <w:p w14:paraId="4B2B6083" w14:textId="5F188EA5" w:rsidR="00256C8A" w:rsidRDefault="00256C8A" w:rsidP="00256C8A">
      <w:r>
        <w:t xml:space="preserve">Tijdens de hoorzitting met de Vlaamse Belastingdienst (VLABEL) , en dan specifiek bij de bespreking van de gunstregeling inzake familiale ondernemingen en familiale vennootschappen, </w:t>
      </w:r>
      <w:r>
        <w:t xml:space="preserve">werd gevraagd naar </w:t>
      </w:r>
      <w:r>
        <w:t xml:space="preserve">de relevantie van het cijfer 21, wat het aantal was van de rechtszaken die door </w:t>
      </w:r>
      <w:proofErr w:type="spellStart"/>
      <w:r>
        <w:t>Vlabel</w:t>
      </w:r>
      <w:proofErr w:type="spellEnd"/>
      <w:r>
        <w:t xml:space="preserve"> “on </w:t>
      </w:r>
      <w:proofErr w:type="spellStart"/>
      <w:r>
        <w:t>hold</w:t>
      </w:r>
      <w:proofErr w:type="spellEnd"/>
      <w:r>
        <w:t xml:space="preserve">” waren gezet in afwachting van een uitspraak van het Grondwettelijk Hof. </w:t>
      </w:r>
    </w:p>
    <w:p w14:paraId="4A27FF29" w14:textId="77777777" w:rsidR="00256C8A" w:rsidRDefault="00256C8A" w:rsidP="00256C8A"/>
    <w:p w14:paraId="5A22652B" w14:textId="5E4B20F1" w:rsidR="00256C8A" w:rsidRDefault="00256C8A" w:rsidP="00256C8A">
      <w:r>
        <w:t>De concrete vragen waren</w:t>
      </w:r>
      <w:r>
        <w:t xml:space="preserve"> : komt dit vaak voor ? ten aanzien van welk volume aan dossiers moeten we dat getal van 21 afzetten ? </w:t>
      </w:r>
    </w:p>
    <w:p w14:paraId="74900BD1" w14:textId="77777777" w:rsidR="00256C8A" w:rsidRDefault="00256C8A" w:rsidP="00256C8A"/>
    <w:p w14:paraId="55225207" w14:textId="77777777" w:rsidR="00256C8A" w:rsidRDefault="00256C8A" w:rsidP="00256C8A">
      <w:r>
        <w:t xml:space="preserve">We hebben dit intussen bekeken. Ik ga u de cijfers geven per jaar van het aantal dossiers waarin de in supra beschreven gunstregeling werd gebruikt en dit uitgesplitst over familiale bedrijven en familiale vennootschappen. </w:t>
      </w:r>
    </w:p>
    <w:p w14:paraId="20B1AF2F" w14:textId="77777777" w:rsidR="00256C8A" w:rsidRDefault="00256C8A" w:rsidP="00256C8A"/>
    <w:p w14:paraId="5B9A7357" w14:textId="77777777" w:rsidR="00256C8A" w:rsidRDefault="00256C8A" w:rsidP="00256C8A">
      <w:r>
        <w:t xml:space="preserve">Zoals tijdens mijn uiteenzetting gezegd zijn er namelijk verschillende spelregels van toepassing al naargelang het gaat om een familiale onderneming enerzijds of een familiale vennootschap anderzijds. </w:t>
      </w:r>
    </w:p>
    <w:p w14:paraId="4F47C591" w14:textId="77777777" w:rsidR="00256C8A" w:rsidRDefault="00256C8A" w:rsidP="00256C8A"/>
    <w:p w14:paraId="0F733A46" w14:textId="77777777" w:rsidR="00256C8A" w:rsidRDefault="00256C8A" w:rsidP="00256C8A">
      <w:r>
        <w:t xml:space="preserve">Bij familiale ondernemingen wordt op vandaag al per definitie uitgesloten : alle vastgoed dat ofwel gebruikt wordt, ofwel bestemd is, voor private bewoning. Bij familiale vennootschappen niet. </w:t>
      </w:r>
    </w:p>
    <w:p w14:paraId="528F46CD" w14:textId="77777777" w:rsidR="00256C8A" w:rsidRDefault="00256C8A" w:rsidP="00256C8A"/>
    <w:p w14:paraId="5D9C093A" w14:textId="77777777" w:rsidR="00256C8A" w:rsidRDefault="00256C8A" w:rsidP="00256C8A">
      <w:r>
        <w:t xml:space="preserve">Aantal dossiers onder het gunstregime in de schenkbelasting , (aan tarief 0%) : </w:t>
      </w:r>
    </w:p>
    <w:p w14:paraId="461ADF58" w14:textId="77777777" w:rsidR="00256C8A" w:rsidRDefault="00256C8A" w:rsidP="00256C8A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Familiale ondernemingen = circa 450 / jaarbasis</w:t>
      </w:r>
    </w:p>
    <w:p w14:paraId="0FF714AE" w14:textId="77777777" w:rsidR="00256C8A" w:rsidRDefault="00256C8A" w:rsidP="00256C8A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Familiale vennootschappen =  circa 550 / jaarbasis</w:t>
      </w:r>
    </w:p>
    <w:p w14:paraId="14E1054B" w14:textId="77777777" w:rsidR="00256C8A" w:rsidRDefault="00256C8A" w:rsidP="00256C8A"/>
    <w:p w14:paraId="1794DCEC" w14:textId="77777777" w:rsidR="00256C8A" w:rsidRDefault="00256C8A" w:rsidP="00256C8A">
      <w:r>
        <w:t xml:space="preserve">Aantal dossiers onder het gunstregime in de erfbelasting , (tarief 3% rechte lijn + partners) (tarief 7% tussen anderen) </w:t>
      </w:r>
    </w:p>
    <w:p w14:paraId="44EC18EF" w14:textId="77777777" w:rsidR="00256C8A" w:rsidRDefault="00256C8A" w:rsidP="00256C8A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Familiale ondernemingen = circa 80 / jaarbasis</w:t>
      </w:r>
    </w:p>
    <w:p w14:paraId="30856271" w14:textId="77777777" w:rsidR="00256C8A" w:rsidRDefault="00256C8A" w:rsidP="00256C8A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Familiale vennootschappen =  circa 150 / jaarbasis</w:t>
      </w:r>
    </w:p>
    <w:p w14:paraId="081E45D2" w14:textId="77777777" w:rsidR="00256C8A" w:rsidRDefault="00256C8A" w:rsidP="00256C8A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Gemengde dossiers = circa 20 / jaarbasis. </w:t>
      </w:r>
    </w:p>
    <w:p w14:paraId="0C6948AF" w14:textId="77777777" w:rsidR="00256C8A" w:rsidRDefault="00256C8A" w:rsidP="00256C8A"/>
    <w:p w14:paraId="3E160850" w14:textId="77777777" w:rsidR="00256C8A" w:rsidRDefault="00256C8A" w:rsidP="00256C8A">
      <w:r>
        <w:t xml:space="preserve">Ik denk dat we deze cijfers kunnen gebruiken als “ijkpunt” of “referentiegetal” voor de toekomst. =&gt; de vraag is nu : zal het aantal dossiers in de toekomst significant stijgen ? </w:t>
      </w:r>
    </w:p>
    <w:p w14:paraId="17748E5F" w14:textId="77777777" w:rsidR="006C7E42" w:rsidRDefault="006C7E42"/>
    <w:sectPr w:rsidR="006C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3185"/>
    <w:multiLevelType w:val="hybridMultilevel"/>
    <w:tmpl w:val="F2F692F6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7505389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8A"/>
    <w:rsid w:val="00256C8A"/>
    <w:rsid w:val="006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34FD"/>
  <w15:chartTrackingRefBased/>
  <w15:docId w15:val="{F66F325D-F813-40D3-A63E-46E8F769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Cs w:val="22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C8A"/>
    <w:rPr>
      <w:rFonts w:ascii="Calibri" w:hAnsi="Calibri" w:cs="Calibri"/>
      <w:kern w:val="0"/>
      <w:sz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6C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Debrabandere</dc:creator>
  <cp:keywords/>
  <dc:description/>
  <cp:lastModifiedBy>Bart Debrabandere</cp:lastModifiedBy>
  <cp:revision>1</cp:revision>
  <dcterms:created xsi:type="dcterms:W3CDTF">2023-10-31T12:58:00Z</dcterms:created>
  <dcterms:modified xsi:type="dcterms:W3CDTF">2023-10-31T13:09:00Z</dcterms:modified>
</cp:coreProperties>
</file>