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AA" w:rsidRDefault="00494FAA" w:rsidP="00582641">
      <w:pPr>
        <w:pStyle w:val="Title"/>
        <w:jc w:val="both"/>
        <w:outlineLvl w:val="0"/>
        <w:rPr>
          <w:rFonts w:ascii="Times New Roman" w:hAnsi="Times New Roman" w:cs="Times New Roman"/>
        </w:rPr>
      </w:pPr>
      <w:r>
        <w:rPr>
          <w:rFonts w:ascii="Times New Roman" w:hAnsi="Times New Roman" w:cs="Times New Roman"/>
          <w:smallCaps/>
          <w:spacing w:val="-3"/>
        </w:rPr>
        <w:t>jo vandeurzen</w:t>
      </w:r>
    </w:p>
    <w:p w:rsidR="00494FAA" w:rsidRPr="002E7B5F" w:rsidRDefault="00494FAA" w:rsidP="00582641">
      <w:pPr>
        <w:pStyle w:val="Title"/>
        <w:jc w:val="both"/>
        <w:outlineLvl w:val="0"/>
        <w:rPr>
          <w:rFonts w:ascii="Times New Roman" w:hAnsi="Times New Roman" w:cs="Times New Roman"/>
        </w:rPr>
      </w:pPr>
      <w:r w:rsidRPr="005A24B2">
        <w:rPr>
          <w:rFonts w:ascii="Times New Roman" w:hAnsi="Times New Roman" w:cs="Times New Roman"/>
          <w:b w:val="0"/>
          <w:bCs w:val="0"/>
          <w:smallCaps/>
          <w:spacing w:val="-3"/>
        </w:rPr>
        <w:t>vlaams minister van</w:t>
      </w:r>
      <w:r>
        <w:rPr>
          <w:rFonts w:ascii="Times New Roman" w:hAnsi="Times New Roman" w:cs="Times New Roman"/>
          <w:b w:val="0"/>
          <w:bCs w:val="0"/>
          <w:smallCaps/>
          <w:spacing w:val="-3"/>
        </w:rPr>
        <w:t xml:space="preserve"> welzijn, volksgezondheid en gezin</w:t>
      </w:r>
    </w:p>
    <w:p w:rsidR="00494FAA" w:rsidRPr="00E4520D" w:rsidRDefault="00494FAA" w:rsidP="00BC2AC7">
      <w:pPr>
        <w:pStyle w:val="StandaardSV"/>
        <w:pBdr>
          <w:bottom w:val="single" w:sz="4" w:space="1" w:color="auto"/>
        </w:pBdr>
        <w:rPr>
          <w:smallCaps/>
        </w:rPr>
      </w:pPr>
    </w:p>
    <w:p w:rsidR="00494FAA" w:rsidRPr="005A24B2" w:rsidRDefault="00494FAA" w:rsidP="00BC2AC7">
      <w:pPr>
        <w:pStyle w:val="Title"/>
        <w:jc w:val="both"/>
        <w:rPr>
          <w:rFonts w:ascii="Times New Roman" w:hAnsi="Times New Roman" w:cs="Times New Roman"/>
          <w:spacing w:val="-3"/>
        </w:rPr>
      </w:pPr>
    </w:p>
    <w:p w:rsidR="00494FAA" w:rsidRDefault="00494FAA" w:rsidP="00582641">
      <w:pPr>
        <w:pStyle w:val="Title"/>
        <w:jc w:val="both"/>
        <w:outlineLvl w:val="0"/>
        <w:rPr>
          <w:rFonts w:ascii="Times New Roman" w:hAnsi="Times New Roman" w:cs="Times New Roman"/>
          <w:b w:val="0"/>
          <w:bCs w:val="0"/>
          <w:spacing w:val="-3"/>
        </w:rPr>
      </w:pPr>
      <w:r>
        <w:rPr>
          <w:rFonts w:ascii="Times New Roman" w:hAnsi="Times New Roman" w:cs="Times New Roman"/>
          <w:smallCaps/>
          <w:spacing w:val="-3"/>
        </w:rPr>
        <w:t xml:space="preserve">antwoord </w:t>
      </w:r>
    </w:p>
    <w:p w:rsidR="00494FAA" w:rsidRPr="001D5DD5" w:rsidRDefault="00494FAA" w:rsidP="00BC2AC7">
      <w:pPr>
        <w:pStyle w:val="Title"/>
        <w:jc w:val="both"/>
        <w:rPr>
          <w:rFonts w:ascii="Times New Roman" w:hAnsi="Times New Roman" w:cs="Times New Roman"/>
          <w:smallCaps/>
          <w:spacing w:val="-3"/>
        </w:rPr>
      </w:pPr>
      <w:r>
        <w:rPr>
          <w:rFonts w:ascii="Times New Roman" w:hAnsi="Times New Roman" w:cs="Times New Roman"/>
          <w:b w:val="0"/>
          <w:bCs w:val="0"/>
          <w:spacing w:val="-3"/>
        </w:rPr>
        <w:t xml:space="preserve">op vraag </w:t>
      </w:r>
      <w:r w:rsidRPr="005A24B2">
        <w:rPr>
          <w:rFonts w:ascii="Times New Roman" w:hAnsi="Times New Roman" w:cs="Times New Roman"/>
          <w:b w:val="0"/>
          <w:bCs w:val="0"/>
          <w:spacing w:val="-3"/>
        </w:rPr>
        <w:t xml:space="preserve">nr. </w:t>
      </w:r>
      <w:r>
        <w:rPr>
          <w:rFonts w:ascii="Times New Roman" w:hAnsi="Times New Roman" w:cs="Times New Roman"/>
          <w:b w:val="0"/>
          <w:bCs w:val="0"/>
          <w:spacing w:val="-3"/>
        </w:rPr>
        <w:t>7</w:t>
      </w:r>
      <w:r>
        <w:rPr>
          <w:rFonts w:ascii="Times New Roman" w:hAnsi="Times New Roman" w:cs="Times New Roman"/>
          <w:smallCaps/>
          <w:spacing w:val="-3"/>
        </w:rPr>
        <w:t xml:space="preserve"> </w:t>
      </w:r>
      <w:r w:rsidRPr="005A24B2">
        <w:rPr>
          <w:rFonts w:ascii="Times New Roman" w:hAnsi="Times New Roman" w:cs="Times New Roman"/>
          <w:b w:val="0"/>
          <w:bCs w:val="0"/>
          <w:spacing w:val="-3"/>
        </w:rPr>
        <w:t xml:space="preserve">van </w:t>
      </w:r>
      <w:r>
        <w:rPr>
          <w:rFonts w:ascii="Times New Roman" w:hAnsi="Times New Roman" w:cs="Times New Roman"/>
          <w:b w:val="0"/>
          <w:bCs w:val="0"/>
          <w:spacing w:val="-3"/>
        </w:rPr>
        <w:t>20 augustus 2009</w:t>
      </w:r>
    </w:p>
    <w:p w:rsidR="00494FAA" w:rsidRPr="005A24B2" w:rsidRDefault="00494FAA" w:rsidP="00BC2AC7">
      <w:pPr>
        <w:pStyle w:val="Title"/>
        <w:jc w:val="both"/>
        <w:rPr>
          <w:rFonts w:ascii="Times New Roman" w:hAnsi="Times New Roman" w:cs="Times New Roman"/>
          <w:b w:val="0"/>
          <w:bCs w:val="0"/>
          <w:spacing w:val="-3"/>
        </w:rPr>
      </w:pPr>
      <w:r w:rsidRPr="005A24B2">
        <w:rPr>
          <w:rFonts w:ascii="Times New Roman" w:hAnsi="Times New Roman" w:cs="Times New Roman"/>
          <w:b w:val="0"/>
          <w:bCs w:val="0"/>
          <w:spacing w:val="-3"/>
        </w:rPr>
        <w:t xml:space="preserve">van </w:t>
      </w:r>
      <w:r>
        <w:rPr>
          <w:rFonts w:ascii="Times New Roman" w:hAnsi="Times New Roman" w:cs="Times New Roman"/>
          <w:smallCaps/>
          <w:spacing w:val="-3"/>
        </w:rPr>
        <w:t>vera jans</w:t>
      </w:r>
    </w:p>
    <w:p w:rsidR="00494FAA" w:rsidRPr="005A24B2" w:rsidRDefault="00494FAA" w:rsidP="00BC2AC7">
      <w:pPr>
        <w:pStyle w:val="Title"/>
        <w:pBdr>
          <w:bottom w:val="single" w:sz="4" w:space="1" w:color="auto"/>
        </w:pBdr>
        <w:jc w:val="both"/>
        <w:rPr>
          <w:rFonts w:ascii="Times New Roman" w:hAnsi="Times New Roman" w:cs="Times New Roman"/>
          <w:b w:val="0"/>
          <w:bCs w:val="0"/>
          <w:spacing w:val="-3"/>
        </w:rPr>
      </w:pPr>
    </w:p>
    <w:p w:rsidR="00494FAA" w:rsidRDefault="00494FAA" w:rsidP="00BC2AC7">
      <w:pPr>
        <w:pStyle w:val="Title"/>
        <w:jc w:val="both"/>
        <w:rPr>
          <w:rFonts w:ascii="Times New Roman" w:hAnsi="Times New Roman" w:cs="Times New Roman"/>
          <w:b w:val="0"/>
          <w:bCs w:val="0"/>
          <w:spacing w:val="-3"/>
        </w:rPr>
      </w:pPr>
    </w:p>
    <w:p w:rsidR="00494FAA" w:rsidRDefault="00494FAA" w:rsidP="00BC2AC7">
      <w:pPr>
        <w:pStyle w:val="Title"/>
        <w:jc w:val="both"/>
        <w:rPr>
          <w:rFonts w:ascii="Times New Roman" w:hAnsi="Times New Roman" w:cs="Times New Roman"/>
          <w:b w:val="0"/>
          <w:bCs w:val="0"/>
          <w:spacing w:val="-3"/>
        </w:rPr>
      </w:pPr>
    </w:p>
    <w:p w:rsidR="00494FAA" w:rsidRDefault="00494FAA" w:rsidP="00B33706">
      <w:pPr>
        <w:pStyle w:val="StandaardSV"/>
        <w:numPr>
          <w:ilvl w:val="0"/>
          <w:numId w:val="25"/>
        </w:numPr>
      </w:pPr>
      <w:r>
        <w:t xml:space="preserve">De gegevens die hier zijn opgenomen betreffen de periode van 1/01/2006 tot 24/08/2009. De eerste tabel geeft het totaal aantal inspecties weer. Dit omvat alle inspecties die het globale nazicht beogen van erkenningsnormen en kwaliteitsnormen. Daarnaast worden er ook financiële inspecties uitgevoerd, die vooral zijn gericht op de boekhoudkundige en financiële aspecten. De cijfers daarvan worden weergegeven in de tweede tabel. </w:t>
      </w:r>
    </w:p>
    <w:p w:rsidR="00494FAA" w:rsidRDefault="00494FAA" w:rsidP="00B33706">
      <w:pPr>
        <w:pStyle w:val="StandaardSV"/>
      </w:pPr>
    </w:p>
    <w:tbl>
      <w:tblPr>
        <w:tblW w:w="3899" w:type="dxa"/>
        <w:tblInd w:w="708" w:type="dxa"/>
        <w:tblCellMar>
          <w:left w:w="70" w:type="dxa"/>
          <w:right w:w="70" w:type="dxa"/>
        </w:tblCellMar>
        <w:tblLook w:val="00A0"/>
      </w:tblPr>
      <w:tblGrid>
        <w:gridCol w:w="2479"/>
        <w:gridCol w:w="1420"/>
      </w:tblGrid>
      <w:tr w:rsidR="00494FAA" w:rsidRPr="004E5514" w:rsidTr="00361F6A">
        <w:trPr>
          <w:trHeight w:val="270"/>
        </w:trPr>
        <w:tc>
          <w:tcPr>
            <w:tcW w:w="2479" w:type="dxa"/>
            <w:tcBorders>
              <w:top w:val="single" w:sz="8" w:space="0" w:color="auto"/>
              <w:left w:val="single" w:sz="8" w:space="0" w:color="auto"/>
              <w:bottom w:val="nil"/>
              <w:right w:val="single" w:sz="8" w:space="0" w:color="auto"/>
            </w:tcBorders>
            <w:noWrap/>
            <w:vAlign w:val="bottom"/>
          </w:tcPr>
          <w:p w:rsidR="00494FAA" w:rsidRPr="005B4F3B" w:rsidRDefault="00494FAA" w:rsidP="004E5514">
            <w:pPr>
              <w:rPr>
                <w:b/>
                <w:bCs/>
                <w:sz w:val="20"/>
                <w:szCs w:val="20"/>
                <w:lang w:val="nl-BE" w:eastAsia="nl-BE"/>
              </w:rPr>
            </w:pPr>
            <w:r w:rsidRPr="005B4F3B">
              <w:rPr>
                <w:b/>
                <w:bCs/>
                <w:sz w:val="20"/>
                <w:szCs w:val="20"/>
                <w:lang w:val="nl-BE" w:eastAsia="nl-BE"/>
              </w:rPr>
              <w:t>Provincie</w:t>
            </w:r>
          </w:p>
        </w:tc>
        <w:tc>
          <w:tcPr>
            <w:tcW w:w="1420" w:type="dxa"/>
            <w:tcBorders>
              <w:top w:val="single" w:sz="8" w:space="0" w:color="auto"/>
              <w:left w:val="nil"/>
              <w:bottom w:val="nil"/>
              <w:right w:val="single" w:sz="8" w:space="0" w:color="auto"/>
            </w:tcBorders>
            <w:noWrap/>
            <w:vAlign w:val="bottom"/>
          </w:tcPr>
          <w:p w:rsidR="00494FAA" w:rsidRPr="005B4F3B" w:rsidRDefault="00494FAA" w:rsidP="004E5514">
            <w:pPr>
              <w:jc w:val="center"/>
              <w:rPr>
                <w:b/>
                <w:bCs/>
                <w:sz w:val="20"/>
                <w:szCs w:val="20"/>
                <w:lang w:val="nl-BE" w:eastAsia="nl-BE"/>
              </w:rPr>
            </w:pPr>
            <w:r w:rsidRPr="005B4F3B">
              <w:rPr>
                <w:b/>
                <w:bCs/>
                <w:sz w:val="20"/>
                <w:szCs w:val="20"/>
                <w:lang w:val="nl-BE" w:eastAsia="nl-BE"/>
              </w:rPr>
              <w:t>Totaal</w:t>
            </w:r>
          </w:p>
        </w:tc>
      </w:tr>
      <w:tr w:rsidR="00494FAA" w:rsidRPr="004E5514" w:rsidTr="00361F6A">
        <w:trPr>
          <w:trHeight w:val="255"/>
        </w:trPr>
        <w:tc>
          <w:tcPr>
            <w:tcW w:w="2479" w:type="dxa"/>
            <w:tcBorders>
              <w:top w:val="single" w:sz="8" w:space="0" w:color="auto"/>
              <w:left w:val="single" w:sz="8" w:space="0" w:color="auto"/>
              <w:bottom w:val="single" w:sz="4" w:space="0" w:color="auto"/>
              <w:right w:val="nil"/>
            </w:tcBorders>
            <w:noWrap/>
            <w:vAlign w:val="bottom"/>
          </w:tcPr>
          <w:p w:rsidR="00494FAA" w:rsidRPr="005B4F3B" w:rsidRDefault="00494FAA" w:rsidP="004E5514">
            <w:pPr>
              <w:rPr>
                <w:sz w:val="20"/>
                <w:szCs w:val="20"/>
                <w:lang w:val="nl-BE" w:eastAsia="nl-BE"/>
              </w:rPr>
            </w:pPr>
            <w:r w:rsidRPr="005B4F3B">
              <w:rPr>
                <w:sz w:val="20"/>
                <w:szCs w:val="20"/>
                <w:lang w:val="nl-BE" w:eastAsia="nl-BE"/>
              </w:rPr>
              <w:t>Antwerpen</w:t>
            </w:r>
          </w:p>
        </w:tc>
        <w:tc>
          <w:tcPr>
            <w:tcW w:w="1420" w:type="dxa"/>
            <w:tcBorders>
              <w:top w:val="single" w:sz="8" w:space="0" w:color="auto"/>
              <w:left w:val="single" w:sz="8" w:space="0" w:color="auto"/>
              <w:bottom w:val="single" w:sz="4" w:space="0" w:color="auto"/>
              <w:right w:val="single" w:sz="8" w:space="0" w:color="auto"/>
            </w:tcBorders>
            <w:noWrap/>
            <w:vAlign w:val="bottom"/>
          </w:tcPr>
          <w:p w:rsidR="00494FAA" w:rsidRPr="005B4F3B" w:rsidRDefault="00494FAA" w:rsidP="00B33706">
            <w:pPr>
              <w:jc w:val="right"/>
              <w:rPr>
                <w:sz w:val="20"/>
                <w:szCs w:val="20"/>
                <w:lang w:val="nl-BE" w:eastAsia="nl-BE"/>
              </w:rPr>
            </w:pPr>
            <w:r w:rsidRPr="005B4F3B">
              <w:rPr>
                <w:sz w:val="20"/>
                <w:szCs w:val="20"/>
                <w:lang w:val="nl-BE" w:eastAsia="nl-BE"/>
              </w:rPr>
              <w:t>790</w:t>
            </w:r>
          </w:p>
        </w:tc>
      </w:tr>
      <w:tr w:rsidR="00494FAA" w:rsidRPr="004E5514" w:rsidTr="00361F6A">
        <w:trPr>
          <w:trHeight w:val="255"/>
        </w:trPr>
        <w:tc>
          <w:tcPr>
            <w:tcW w:w="2479" w:type="dxa"/>
            <w:tcBorders>
              <w:top w:val="nil"/>
              <w:left w:val="single" w:sz="8" w:space="0" w:color="auto"/>
              <w:bottom w:val="single" w:sz="4" w:space="0" w:color="auto"/>
              <w:right w:val="nil"/>
            </w:tcBorders>
            <w:noWrap/>
            <w:vAlign w:val="bottom"/>
          </w:tcPr>
          <w:p w:rsidR="00494FAA" w:rsidRPr="005B4F3B" w:rsidRDefault="00494FAA" w:rsidP="004E5514">
            <w:pPr>
              <w:rPr>
                <w:sz w:val="20"/>
                <w:szCs w:val="20"/>
                <w:lang w:val="nl-BE" w:eastAsia="nl-BE"/>
              </w:rPr>
            </w:pPr>
            <w:r w:rsidRPr="005B4F3B">
              <w:rPr>
                <w:sz w:val="20"/>
                <w:szCs w:val="20"/>
                <w:lang w:val="nl-BE" w:eastAsia="nl-BE"/>
              </w:rPr>
              <w:t>Brussels Hoofdstedelijk Gewest</w:t>
            </w:r>
          </w:p>
        </w:tc>
        <w:tc>
          <w:tcPr>
            <w:tcW w:w="1420" w:type="dxa"/>
            <w:tcBorders>
              <w:top w:val="nil"/>
              <w:left w:val="single" w:sz="8" w:space="0" w:color="auto"/>
              <w:bottom w:val="single" w:sz="4" w:space="0" w:color="auto"/>
              <w:right w:val="single" w:sz="8" w:space="0" w:color="auto"/>
            </w:tcBorders>
            <w:noWrap/>
            <w:vAlign w:val="bottom"/>
          </w:tcPr>
          <w:p w:rsidR="00494FAA" w:rsidRPr="005B4F3B" w:rsidRDefault="00494FAA" w:rsidP="00B33706">
            <w:pPr>
              <w:jc w:val="right"/>
              <w:rPr>
                <w:sz w:val="20"/>
                <w:szCs w:val="20"/>
                <w:lang w:val="nl-BE" w:eastAsia="nl-BE"/>
              </w:rPr>
            </w:pPr>
            <w:r w:rsidRPr="005B4F3B">
              <w:rPr>
                <w:sz w:val="20"/>
                <w:szCs w:val="20"/>
                <w:lang w:val="nl-BE" w:eastAsia="nl-BE"/>
              </w:rPr>
              <w:t>30</w:t>
            </w:r>
          </w:p>
        </w:tc>
      </w:tr>
      <w:tr w:rsidR="00494FAA" w:rsidRPr="004E5514" w:rsidTr="00361F6A">
        <w:trPr>
          <w:trHeight w:val="255"/>
        </w:trPr>
        <w:tc>
          <w:tcPr>
            <w:tcW w:w="2479" w:type="dxa"/>
            <w:tcBorders>
              <w:top w:val="nil"/>
              <w:left w:val="single" w:sz="8" w:space="0" w:color="auto"/>
              <w:bottom w:val="single" w:sz="4" w:space="0" w:color="auto"/>
              <w:right w:val="nil"/>
            </w:tcBorders>
            <w:noWrap/>
            <w:vAlign w:val="bottom"/>
          </w:tcPr>
          <w:p w:rsidR="00494FAA" w:rsidRPr="005B4F3B" w:rsidRDefault="00494FAA" w:rsidP="004E5514">
            <w:pPr>
              <w:rPr>
                <w:sz w:val="20"/>
                <w:szCs w:val="20"/>
                <w:lang w:val="nl-BE" w:eastAsia="nl-BE"/>
              </w:rPr>
            </w:pPr>
            <w:r w:rsidRPr="005B4F3B">
              <w:rPr>
                <w:sz w:val="20"/>
                <w:szCs w:val="20"/>
                <w:lang w:val="nl-BE" w:eastAsia="nl-BE"/>
              </w:rPr>
              <w:t>Limburg</w:t>
            </w:r>
          </w:p>
        </w:tc>
        <w:tc>
          <w:tcPr>
            <w:tcW w:w="1420" w:type="dxa"/>
            <w:tcBorders>
              <w:top w:val="nil"/>
              <w:left w:val="single" w:sz="8" w:space="0" w:color="auto"/>
              <w:bottom w:val="single" w:sz="4" w:space="0" w:color="auto"/>
              <w:right w:val="single" w:sz="8" w:space="0" w:color="auto"/>
            </w:tcBorders>
            <w:noWrap/>
            <w:vAlign w:val="bottom"/>
          </w:tcPr>
          <w:p w:rsidR="00494FAA" w:rsidRPr="005B4F3B" w:rsidRDefault="00494FAA" w:rsidP="00B33706">
            <w:pPr>
              <w:jc w:val="right"/>
              <w:rPr>
                <w:sz w:val="20"/>
                <w:szCs w:val="20"/>
                <w:lang w:val="nl-BE" w:eastAsia="nl-BE"/>
              </w:rPr>
            </w:pPr>
            <w:r w:rsidRPr="005B4F3B">
              <w:rPr>
                <w:sz w:val="20"/>
                <w:szCs w:val="20"/>
                <w:lang w:val="nl-BE" w:eastAsia="nl-BE"/>
              </w:rPr>
              <w:t>322</w:t>
            </w:r>
          </w:p>
        </w:tc>
      </w:tr>
      <w:tr w:rsidR="00494FAA" w:rsidRPr="004E5514" w:rsidTr="00361F6A">
        <w:trPr>
          <w:trHeight w:val="255"/>
        </w:trPr>
        <w:tc>
          <w:tcPr>
            <w:tcW w:w="2479" w:type="dxa"/>
            <w:tcBorders>
              <w:top w:val="nil"/>
              <w:left w:val="single" w:sz="8" w:space="0" w:color="auto"/>
              <w:bottom w:val="single" w:sz="4" w:space="0" w:color="auto"/>
              <w:right w:val="nil"/>
            </w:tcBorders>
            <w:noWrap/>
            <w:vAlign w:val="bottom"/>
          </w:tcPr>
          <w:p w:rsidR="00494FAA" w:rsidRPr="005B4F3B" w:rsidRDefault="00494FAA" w:rsidP="004E5514">
            <w:pPr>
              <w:rPr>
                <w:sz w:val="20"/>
                <w:szCs w:val="20"/>
                <w:lang w:val="nl-BE" w:eastAsia="nl-BE"/>
              </w:rPr>
            </w:pPr>
            <w:r w:rsidRPr="005B4F3B">
              <w:rPr>
                <w:sz w:val="20"/>
                <w:szCs w:val="20"/>
                <w:lang w:val="nl-BE" w:eastAsia="nl-BE"/>
              </w:rPr>
              <w:t>Oost-Vlaanderen</w:t>
            </w:r>
          </w:p>
        </w:tc>
        <w:tc>
          <w:tcPr>
            <w:tcW w:w="1420" w:type="dxa"/>
            <w:tcBorders>
              <w:top w:val="nil"/>
              <w:left w:val="single" w:sz="8" w:space="0" w:color="auto"/>
              <w:bottom w:val="single" w:sz="4" w:space="0" w:color="auto"/>
              <w:right w:val="single" w:sz="8" w:space="0" w:color="auto"/>
            </w:tcBorders>
            <w:noWrap/>
            <w:vAlign w:val="bottom"/>
          </w:tcPr>
          <w:p w:rsidR="00494FAA" w:rsidRPr="005B4F3B" w:rsidRDefault="00494FAA" w:rsidP="00B33706">
            <w:pPr>
              <w:jc w:val="right"/>
              <w:rPr>
                <w:sz w:val="20"/>
                <w:szCs w:val="20"/>
                <w:lang w:val="nl-BE" w:eastAsia="nl-BE"/>
              </w:rPr>
            </w:pPr>
            <w:r w:rsidRPr="005B4F3B">
              <w:rPr>
                <w:sz w:val="20"/>
                <w:szCs w:val="20"/>
                <w:lang w:val="nl-BE" w:eastAsia="nl-BE"/>
              </w:rPr>
              <w:t>605</w:t>
            </w:r>
          </w:p>
        </w:tc>
      </w:tr>
      <w:tr w:rsidR="00494FAA" w:rsidRPr="004E5514" w:rsidTr="00361F6A">
        <w:trPr>
          <w:trHeight w:val="255"/>
        </w:trPr>
        <w:tc>
          <w:tcPr>
            <w:tcW w:w="2479" w:type="dxa"/>
            <w:tcBorders>
              <w:top w:val="nil"/>
              <w:left w:val="single" w:sz="8" w:space="0" w:color="auto"/>
              <w:bottom w:val="single" w:sz="4" w:space="0" w:color="auto"/>
              <w:right w:val="nil"/>
            </w:tcBorders>
            <w:noWrap/>
            <w:vAlign w:val="bottom"/>
          </w:tcPr>
          <w:p w:rsidR="00494FAA" w:rsidRPr="005B4F3B" w:rsidRDefault="00494FAA" w:rsidP="004E5514">
            <w:pPr>
              <w:rPr>
                <w:sz w:val="20"/>
                <w:szCs w:val="20"/>
                <w:lang w:val="nl-BE" w:eastAsia="nl-BE"/>
              </w:rPr>
            </w:pPr>
            <w:r w:rsidRPr="005B4F3B">
              <w:rPr>
                <w:sz w:val="20"/>
                <w:szCs w:val="20"/>
                <w:lang w:val="nl-BE" w:eastAsia="nl-BE"/>
              </w:rPr>
              <w:t>Vlaams-Brabant</w:t>
            </w:r>
          </w:p>
        </w:tc>
        <w:tc>
          <w:tcPr>
            <w:tcW w:w="1420" w:type="dxa"/>
            <w:tcBorders>
              <w:top w:val="nil"/>
              <w:left w:val="single" w:sz="8" w:space="0" w:color="auto"/>
              <w:bottom w:val="single" w:sz="4" w:space="0" w:color="auto"/>
              <w:right w:val="single" w:sz="8" w:space="0" w:color="auto"/>
            </w:tcBorders>
            <w:noWrap/>
            <w:vAlign w:val="bottom"/>
          </w:tcPr>
          <w:p w:rsidR="00494FAA" w:rsidRPr="005B4F3B" w:rsidRDefault="00494FAA" w:rsidP="00B33706">
            <w:pPr>
              <w:jc w:val="right"/>
              <w:rPr>
                <w:sz w:val="20"/>
                <w:szCs w:val="20"/>
                <w:lang w:val="nl-BE" w:eastAsia="nl-BE"/>
              </w:rPr>
            </w:pPr>
            <w:r w:rsidRPr="005B4F3B">
              <w:rPr>
                <w:sz w:val="20"/>
                <w:szCs w:val="20"/>
                <w:lang w:val="nl-BE" w:eastAsia="nl-BE"/>
              </w:rPr>
              <w:t>509</w:t>
            </w:r>
          </w:p>
        </w:tc>
      </w:tr>
      <w:tr w:rsidR="00494FAA" w:rsidRPr="004E5514" w:rsidTr="00361F6A">
        <w:trPr>
          <w:trHeight w:val="270"/>
        </w:trPr>
        <w:tc>
          <w:tcPr>
            <w:tcW w:w="2479" w:type="dxa"/>
            <w:tcBorders>
              <w:top w:val="nil"/>
              <w:left w:val="single" w:sz="8" w:space="0" w:color="auto"/>
              <w:bottom w:val="single" w:sz="8" w:space="0" w:color="auto"/>
              <w:right w:val="nil"/>
            </w:tcBorders>
            <w:noWrap/>
            <w:vAlign w:val="bottom"/>
          </w:tcPr>
          <w:p w:rsidR="00494FAA" w:rsidRPr="005B4F3B" w:rsidRDefault="00494FAA" w:rsidP="004E5514">
            <w:pPr>
              <w:rPr>
                <w:sz w:val="20"/>
                <w:szCs w:val="20"/>
                <w:lang w:val="nl-BE" w:eastAsia="nl-BE"/>
              </w:rPr>
            </w:pPr>
            <w:r w:rsidRPr="005B4F3B">
              <w:rPr>
                <w:sz w:val="20"/>
                <w:szCs w:val="20"/>
                <w:lang w:val="nl-BE" w:eastAsia="nl-BE"/>
              </w:rPr>
              <w:t>West-Vlaanderen</w:t>
            </w:r>
          </w:p>
        </w:tc>
        <w:tc>
          <w:tcPr>
            <w:tcW w:w="1420" w:type="dxa"/>
            <w:tcBorders>
              <w:top w:val="nil"/>
              <w:left w:val="single" w:sz="8" w:space="0" w:color="auto"/>
              <w:bottom w:val="single" w:sz="8" w:space="0" w:color="auto"/>
              <w:right w:val="single" w:sz="8" w:space="0" w:color="auto"/>
            </w:tcBorders>
            <w:noWrap/>
            <w:vAlign w:val="bottom"/>
          </w:tcPr>
          <w:p w:rsidR="00494FAA" w:rsidRPr="005B4F3B" w:rsidRDefault="00494FAA" w:rsidP="00B33706">
            <w:pPr>
              <w:jc w:val="right"/>
              <w:rPr>
                <w:sz w:val="20"/>
                <w:szCs w:val="20"/>
                <w:lang w:val="nl-BE" w:eastAsia="nl-BE"/>
              </w:rPr>
            </w:pPr>
            <w:r w:rsidRPr="005B4F3B">
              <w:rPr>
                <w:sz w:val="20"/>
                <w:szCs w:val="20"/>
                <w:lang w:val="nl-BE" w:eastAsia="nl-BE"/>
              </w:rPr>
              <w:t>554</w:t>
            </w:r>
          </w:p>
        </w:tc>
      </w:tr>
      <w:tr w:rsidR="00494FAA" w:rsidRPr="004E5514" w:rsidTr="00361F6A">
        <w:trPr>
          <w:trHeight w:val="270"/>
        </w:trPr>
        <w:tc>
          <w:tcPr>
            <w:tcW w:w="2479" w:type="dxa"/>
            <w:tcBorders>
              <w:top w:val="nil"/>
              <w:left w:val="single" w:sz="8" w:space="0" w:color="auto"/>
              <w:bottom w:val="single" w:sz="8" w:space="0" w:color="auto"/>
              <w:right w:val="single" w:sz="8" w:space="0" w:color="auto"/>
            </w:tcBorders>
            <w:noWrap/>
            <w:vAlign w:val="bottom"/>
          </w:tcPr>
          <w:p w:rsidR="00494FAA" w:rsidRPr="005B4F3B" w:rsidRDefault="00494FAA" w:rsidP="004E5514">
            <w:pPr>
              <w:rPr>
                <w:b/>
                <w:bCs/>
                <w:sz w:val="20"/>
                <w:szCs w:val="20"/>
                <w:lang w:val="nl-BE" w:eastAsia="nl-BE"/>
              </w:rPr>
            </w:pPr>
            <w:r w:rsidRPr="005B4F3B">
              <w:rPr>
                <w:b/>
                <w:bCs/>
                <w:sz w:val="20"/>
                <w:szCs w:val="20"/>
                <w:lang w:val="nl-BE" w:eastAsia="nl-BE"/>
              </w:rPr>
              <w:t>Eindtotaal</w:t>
            </w:r>
          </w:p>
        </w:tc>
        <w:tc>
          <w:tcPr>
            <w:tcW w:w="1420" w:type="dxa"/>
            <w:tcBorders>
              <w:top w:val="nil"/>
              <w:left w:val="nil"/>
              <w:bottom w:val="single" w:sz="8" w:space="0" w:color="auto"/>
              <w:right w:val="single" w:sz="8" w:space="0" w:color="auto"/>
            </w:tcBorders>
            <w:noWrap/>
            <w:vAlign w:val="bottom"/>
          </w:tcPr>
          <w:p w:rsidR="00494FAA" w:rsidRPr="005B4F3B" w:rsidRDefault="00494FAA" w:rsidP="00B33706">
            <w:pPr>
              <w:jc w:val="right"/>
              <w:rPr>
                <w:b/>
                <w:bCs/>
                <w:sz w:val="20"/>
                <w:szCs w:val="20"/>
                <w:lang w:val="nl-BE" w:eastAsia="nl-BE"/>
              </w:rPr>
            </w:pPr>
            <w:r w:rsidRPr="005B4F3B">
              <w:rPr>
                <w:b/>
                <w:bCs/>
                <w:sz w:val="20"/>
                <w:szCs w:val="20"/>
                <w:lang w:val="nl-BE" w:eastAsia="nl-BE"/>
              </w:rPr>
              <w:t>2810</w:t>
            </w:r>
          </w:p>
        </w:tc>
      </w:tr>
    </w:tbl>
    <w:p w:rsidR="00494FAA" w:rsidRDefault="00494FAA" w:rsidP="00361F6A">
      <w:pPr>
        <w:pStyle w:val="StandaardSV"/>
        <w:ind w:left="776"/>
        <w:jc w:val="left"/>
      </w:pPr>
    </w:p>
    <w:tbl>
      <w:tblPr>
        <w:tblW w:w="3969" w:type="dxa"/>
        <w:tblInd w:w="708" w:type="dxa"/>
        <w:tblCellMar>
          <w:left w:w="70" w:type="dxa"/>
          <w:right w:w="70" w:type="dxa"/>
        </w:tblCellMar>
        <w:tblLook w:val="00A0"/>
      </w:tblPr>
      <w:tblGrid>
        <w:gridCol w:w="2551"/>
        <w:gridCol w:w="1418"/>
      </w:tblGrid>
      <w:tr w:rsidR="00494FAA" w:rsidRPr="00B94B6D" w:rsidTr="00361F6A">
        <w:trPr>
          <w:trHeight w:val="270"/>
        </w:trPr>
        <w:tc>
          <w:tcPr>
            <w:tcW w:w="2551" w:type="dxa"/>
            <w:tcBorders>
              <w:top w:val="single" w:sz="8" w:space="0" w:color="auto"/>
              <w:left w:val="single" w:sz="8" w:space="0" w:color="auto"/>
              <w:bottom w:val="nil"/>
              <w:right w:val="nil"/>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Provincie voorziening</w:t>
            </w:r>
          </w:p>
        </w:tc>
        <w:tc>
          <w:tcPr>
            <w:tcW w:w="1418" w:type="dxa"/>
            <w:tcBorders>
              <w:top w:val="single" w:sz="8" w:space="0" w:color="auto"/>
              <w:left w:val="single" w:sz="8" w:space="0" w:color="auto"/>
              <w:bottom w:val="nil"/>
              <w:right w:val="single" w:sz="8" w:space="0" w:color="auto"/>
            </w:tcBorders>
            <w:shd w:val="clear" w:color="000000" w:fill="FFFFFF"/>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Totaal</w:t>
            </w:r>
          </w:p>
        </w:tc>
      </w:tr>
      <w:tr w:rsidR="00494FAA" w:rsidRPr="00B94B6D" w:rsidTr="00361F6A">
        <w:trPr>
          <w:trHeight w:val="255"/>
        </w:trPr>
        <w:tc>
          <w:tcPr>
            <w:tcW w:w="2551" w:type="dxa"/>
            <w:tcBorders>
              <w:top w:val="single" w:sz="8" w:space="0" w:color="auto"/>
              <w:left w:val="single" w:sz="8" w:space="0" w:color="auto"/>
              <w:bottom w:val="single" w:sz="4" w:space="0" w:color="auto"/>
              <w:right w:val="nil"/>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Antwerpen</w:t>
            </w:r>
          </w:p>
        </w:tc>
        <w:tc>
          <w:tcPr>
            <w:tcW w:w="1418" w:type="dxa"/>
            <w:tcBorders>
              <w:top w:val="single" w:sz="8" w:space="0" w:color="auto"/>
              <w:left w:val="single" w:sz="8" w:space="0" w:color="auto"/>
              <w:bottom w:val="single" w:sz="4" w:space="0" w:color="auto"/>
              <w:right w:val="single" w:sz="8" w:space="0" w:color="auto"/>
            </w:tcBorders>
            <w:noWrap/>
            <w:vAlign w:val="bottom"/>
          </w:tcPr>
          <w:p w:rsidR="00494FAA" w:rsidRPr="005B4F3B" w:rsidRDefault="00494FAA" w:rsidP="00B94B6D">
            <w:pPr>
              <w:jc w:val="right"/>
              <w:rPr>
                <w:sz w:val="20"/>
                <w:szCs w:val="20"/>
                <w:lang w:val="nl-BE" w:eastAsia="nl-BE"/>
              </w:rPr>
            </w:pPr>
            <w:r w:rsidRPr="005B4F3B">
              <w:rPr>
                <w:sz w:val="20"/>
                <w:szCs w:val="20"/>
                <w:lang w:val="nl-BE" w:eastAsia="nl-BE"/>
              </w:rPr>
              <w:t>42</w:t>
            </w:r>
          </w:p>
        </w:tc>
      </w:tr>
      <w:tr w:rsidR="00494FAA" w:rsidRPr="00B94B6D" w:rsidTr="00361F6A">
        <w:trPr>
          <w:trHeight w:val="255"/>
        </w:trPr>
        <w:tc>
          <w:tcPr>
            <w:tcW w:w="2551" w:type="dxa"/>
            <w:tcBorders>
              <w:top w:val="nil"/>
              <w:left w:val="single" w:sz="8" w:space="0" w:color="auto"/>
              <w:bottom w:val="single" w:sz="4" w:space="0" w:color="auto"/>
              <w:right w:val="nil"/>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Brussels Hoofdstedelijk Gewest</w:t>
            </w:r>
          </w:p>
        </w:tc>
        <w:tc>
          <w:tcPr>
            <w:tcW w:w="1418" w:type="dxa"/>
            <w:tcBorders>
              <w:top w:val="nil"/>
              <w:left w:val="single" w:sz="8" w:space="0" w:color="auto"/>
              <w:bottom w:val="single" w:sz="4" w:space="0" w:color="auto"/>
              <w:right w:val="single" w:sz="8" w:space="0" w:color="auto"/>
            </w:tcBorders>
            <w:noWrap/>
            <w:vAlign w:val="bottom"/>
          </w:tcPr>
          <w:p w:rsidR="00494FAA" w:rsidRPr="005B4F3B" w:rsidRDefault="00494FAA" w:rsidP="00B94B6D">
            <w:pPr>
              <w:jc w:val="right"/>
              <w:rPr>
                <w:sz w:val="20"/>
                <w:szCs w:val="20"/>
                <w:lang w:val="nl-BE" w:eastAsia="nl-BE"/>
              </w:rPr>
            </w:pPr>
            <w:r w:rsidRPr="005B4F3B">
              <w:rPr>
                <w:sz w:val="20"/>
                <w:szCs w:val="20"/>
                <w:lang w:val="nl-BE" w:eastAsia="nl-BE"/>
              </w:rPr>
              <w:t>1</w:t>
            </w:r>
          </w:p>
        </w:tc>
      </w:tr>
      <w:tr w:rsidR="00494FAA" w:rsidRPr="00B94B6D" w:rsidTr="00361F6A">
        <w:trPr>
          <w:trHeight w:val="255"/>
        </w:trPr>
        <w:tc>
          <w:tcPr>
            <w:tcW w:w="2551" w:type="dxa"/>
            <w:tcBorders>
              <w:top w:val="nil"/>
              <w:left w:val="single" w:sz="8" w:space="0" w:color="auto"/>
              <w:bottom w:val="single" w:sz="4" w:space="0" w:color="auto"/>
              <w:right w:val="nil"/>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Limburg</w:t>
            </w:r>
          </w:p>
        </w:tc>
        <w:tc>
          <w:tcPr>
            <w:tcW w:w="1418" w:type="dxa"/>
            <w:tcBorders>
              <w:top w:val="nil"/>
              <w:left w:val="single" w:sz="8" w:space="0" w:color="auto"/>
              <w:bottom w:val="single" w:sz="4" w:space="0" w:color="auto"/>
              <w:right w:val="single" w:sz="8" w:space="0" w:color="auto"/>
            </w:tcBorders>
            <w:noWrap/>
            <w:vAlign w:val="bottom"/>
          </w:tcPr>
          <w:p w:rsidR="00494FAA" w:rsidRPr="005B4F3B" w:rsidRDefault="00494FAA" w:rsidP="00B94B6D">
            <w:pPr>
              <w:jc w:val="right"/>
              <w:rPr>
                <w:sz w:val="20"/>
                <w:szCs w:val="20"/>
                <w:lang w:val="nl-BE" w:eastAsia="nl-BE"/>
              </w:rPr>
            </w:pPr>
            <w:r w:rsidRPr="005B4F3B">
              <w:rPr>
                <w:sz w:val="20"/>
                <w:szCs w:val="20"/>
                <w:lang w:val="nl-BE" w:eastAsia="nl-BE"/>
              </w:rPr>
              <w:t>16</w:t>
            </w:r>
          </w:p>
        </w:tc>
      </w:tr>
      <w:tr w:rsidR="00494FAA" w:rsidRPr="00B94B6D" w:rsidTr="00361F6A">
        <w:trPr>
          <w:trHeight w:val="255"/>
        </w:trPr>
        <w:tc>
          <w:tcPr>
            <w:tcW w:w="2551" w:type="dxa"/>
            <w:tcBorders>
              <w:top w:val="nil"/>
              <w:left w:val="single" w:sz="8" w:space="0" w:color="auto"/>
              <w:bottom w:val="single" w:sz="4" w:space="0" w:color="auto"/>
              <w:right w:val="nil"/>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Oost-Vlaanderen</w:t>
            </w:r>
          </w:p>
        </w:tc>
        <w:tc>
          <w:tcPr>
            <w:tcW w:w="1418" w:type="dxa"/>
            <w:tcBorders>
              <w:top w:val="nil"/>
              <w:left w:val="single" w:sz="8" w:space="0" w:color="auto"/>
              <w:bottom w:val="single" w:sz="4" w:space="0" w:color="auto"/>
              <w:right w:val="single" w:sz="8" w:space="0" w:color="auto"/>
            </w:tcBorders>
            <w:noWrap/>
            <w:vAlign w:val="bottom"/>
          </w:tcPr>
          <w:p w:rsidR="00494FAA" w:rsidRPr="005B4F3B" w:rsidRDefault="00494FAA" w:rsidP="00B94B6D">
            <w:pPr>
              <w:jc w:val="right"/>
              <w:rPr>
                <w:sz w:val="20"/>
                <w:szCs w:val="20"/>
                <w:lang w:val="nl-BE" w:eastAsia="nl-BE"/>
              </w:rPr>
            </w:pPr>
            <w:r w:rsidRPr="005B4F3B">
              <w:rPr>
                <w:sz w:val="20"/>
                <w:szCs w:val="20"/>
                <w:lang w:val="nl-BE" w:eastAsia="nl-BE"/>
              </w:rPr>
              <w:t>20</w:t>
            </w:r>
          </w:p>
        </w:tc>
      </w:tr>
      <w:tr w:rsidR="00494FAA" w:rsidRPr="00B94B6D" w:rsidTr="00361F6A">
        <w:trPr>
          <w:trHeight w:val="255"/>
        </w:trPr>
        <w:tc>
          <w:tcPr>
            <w:tcW w:w="2551" w:type="dxa"/>
            <w:tcBorders>
              <w:top w:val="nil"/>
              <w:left w:val="single" w:sz="8" w:space="0" w:color="auto"/>
              <w:bottom w:val="single" w:sz="4" w:space="0" w:color="auto"/>
              <w:right w:val="nil"/>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Vlaams-Brabant</w:t>
            </w:r>
          </w:p>
        </w:tc>
        <w:tc>
          <w:tcPr>
            <w:tcW w:w="1418" w:type="dxa"/>
            <w:tcBorders>
              <w:top w:val="nil"/>
              <w:left w:val="single" w:sz="8" w:space="0" w:color="auto"/>
              <w:bottom w:val="single" w:sz="4" w:space="0" w:color="auto"/>
              <w:right w:val="single" w:sz="8" w:space="0" w:color="auto"/>
            </w:tcBorders>
            <w:noWrap/>
            <w:vAlign w:val="bottom"/>
          </w:tcPr>
          <w:p w:rsidR="00494FAA" w:rsidRPr="005B4F3B" w:rsidRDefault="00494FAA" w:rsidP="00B94B6D">
            <w:pPr>
              <w:jc w:val="right"/>
              <w:rPr>
                <w:sz w:val="20"/>
                <w:szCs w:val="20"/>
                <w:lang w:val="nl-BE" w:eastAsia="nl-BE"/>
              </w:rPr>
            </w:pPr>
            <w:r w:rsidRPr="005B4F3B">
              <w:rPr>
                <w:sz w:val="20"/>
                <w:szCs w:val="20"/>
                <w:lang w:val="nl-BE" w:eastAsia="nl-BE"/>
              </w:rPr>
              <w:t>36</w:t>
            </w:r>
          </w:p>
        </w:tc>
      </w:tr>
      <w:tr w:rsidR="00494FAA" w:rsidRPr="00B94B6D" w:rsidTr="00361F6A">
        <w:trPr>
          <w:trHeight w:val="270"/>
        </w:trPr>
        <w:tc>
          <w:tcPr>
            <w:tcW w:w="2551" w:type="dxa"/>
            <w:tcBorders>
              <w:top w:val="nil"/>
              <w:left w:val="single" w:sz="8" w:space="0" w:color="auto"/>
              <w:bottom w:val="nil"/>
              <w:right w:val="nil"/>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West-Vlaanderen</w:t>
            </w:r>
          </w:p>
        </w:tc>
        <w:tc>
          <w:tcPr>
            <w:tcW w:w="1418" w:type="dxa"/>
            <w:tcBorders>
              <w:top w:val="nil"/>
              <w:left w:val="single" w:sz="8" w:space="0" w:color="auto"/>
              <w:bottom w:val="nil"/>
              <w:right w:val="single" w:sz="8" w:space="0" w:color="auto"/>
            </w:tcBorders>
            <w:noWrap/>
            <w:vAlign w:val="bottom"/>
          </w:tcPr>
          <w:p w:rsidR="00494FAA" w:rsidRPr="005B4F3B" w:rsidRDefault="00494FAA" w:rsidP="00B94B6D">
            <w:pPr>
              <w:jc w:val="right"/>
              <w:rPr>
                <w:sz w:val="20"/>
                <w:szCs w:val="20"/>
                <w:lang w:val="nl-BE" w:eastAsia="nl-BE"/>
              </w:rPr>
            </w:pPr>
            <w:r w:rsidRPr="005B4F3B">
              <w:rPr>
                <w:sz w:val="20"/>
                <w:szCs w:val="20"/>
                <w:lang w:val="nl-BE" w:eastAsia="nl-BE"/>
              </w:rPr>
              <w:t>14</w:t>
            </w:r>
          </w:p>
        </w:tc>
      </w:tr>
      <w:tr w:rsidR="00494FAA" w:rsidRPr="00B94B6D" w:rsidTr="00361F6A">
        <w:trPr>
          <w:trHeight w:val="270"/>
        </w:trPr>
        <w:tc>
          <w:tcPr>
            <w:tcW w:w="2551" w:type="dxa"/>
            <w:tcBorders>
              <w:top w:val="single" w:sz="8" w:space="0" w:color="auto"/>
              <w:left w:val="single" w:sz="8" w:space="0" w:color="auto"/>
              <w:bottom w:val="single" w:sz="8" w:space="0" w:color="auto"/>
              <w:right w:val="single" w:sz="4" w:space="0" w:color="auto"/>
            </w:tcBorders>
            <w:noWrap/>
            <w:vAlign w:val="bottom"/>
          </w:tcPr>
          <w:p w:rsidR="00494FAA" w:rsidRPr="005B4F3B" w:rsidRDefault="00494FAA" w:rsidP="00B94B6D">
            <w:pPr>
              <w:rPr>
                <w:b/>
                <w:bCs/>
                <w:sz w:val="20"/>
                <w:szCs w:val="20"/>
                <w:lang w:val="nl-BE" w:eastAsia="nl-BE"/>
              </w:rPr>
            </w:pPr>
            <w:r w:rsidRPr="005B4F3B">
              <w:rPr>
                <w:b/>
                <w:bCs/>
                <w:sz w:val="20"/>
                <w:szCs w:val="20"/>
                <w:lang w:val="nl-BE" w:eastAsia="nl-BE"/>
              </w:rPr>
              <w:t>Eindtotaal</w:t>
            </w:r>
          </w:p>
        </w:tc>
        <w:tc>
          <w:tcPr>
            <w:tcW w:w="1418" w:type="dxa"/>
            <w:tcBorders>
              <w:top w:val="single" w:sz="8" w:space="0" w:color="auto"/>
              <w:left w:val="nil"/>
              <w:bottom w:val="single" w:sz="8" w:space="0" w:color="auto"/>
              <w:right w:val="single" w:sz="8" w:space="0" w:color="auto"/>
            </w:tcBorders>
            <w:shd w:val="clear" w:color="000000" w:fill="FFFFFF"/>
            <w:noWrap/>
            <w:vAlign w:val="bottom"/>
          </w:tcPr>
          <w:p w:rsidR="00494FAA" w:rsidRPr="005B4F3B" w:rsidRDefault="00494FAA" w:rsidP="00B94B6D">
            <w:pPr>
              <w:jc w:val="right"/>
              <w:rPr>
                <w:b/>
                <w:bCs/>
                <w:sz w:val="20"/>
                <w:szCs w:val="20"/>
                <w:lang w:val="nl-BE" w:eastAsia="nl-BE"/>
              </w:rPr>
            </w:pPr>
            <w:r w:rsidRPr="005B4F3B">
              <w:rPr>
                <w:b/>
                <w:bCs/>
                <w:sz w:val="20"/>
                <w:szCs w:val="20"/>
                <w:lang w:val="nl-BE" w:eastAsia="nl-BE"/>
              </w:rPr>
              <w:t>129</w:t>
            </w:r>
          </w:p>
        </w:tc>
      </w:tr>
    </w:tbl>
    <w:p w:rsidR="00494FAA" w:rsidRPr="00ED5532" w:rsidRDefault="00494FAA" w:rsidP="004E5514">
      <w:pPr>
        <w:pStyle w:val="StandaardSV"/>
      </w:pPr>
    </w:p>
    <w:p w:rsidR="00494FAA" w:rsidRDefault="00494FAA" w:rsidP="000B12B4">
      <w:pPr>
        <w:pStyle w:val="StandaardSV"/>
        <w:numPr>
          <w:ilvl w:val="0"/>
          <w:numId w:val="25"/>
        </w:numPr>
      </w:pPr>
      <w:r>
        <w:t>De redenen voor een inspectie kunnen velerlei zijn. Inspecties kunnen gekoppeld zijn aan admini-stratieve processen (zoals voorafgaande vergunningen, verlengingen van erkenningen,</w:t>
      </w:r>
      <w:r w:rsidRPr="002A39DB">
        <w:t xml:space="preserve"> </w:t>
      </w:r>
      <w:r>
        <w:t xml:space="preserve">opvolgingen van verbouwingen,…) of eerder gericht op een specifiek onderwerp (bijvoorbeeld kwaliteitsinspecties in functie van de toepassing van het kwaliteitsdecreet). Inspecties kunnen te maken hebben met vastgestelde tekorten bij een vorige inspectie (dit kan eenmalig zijn of meermaals afhankelijk van de aard van de tekorten) of met eenmalige feiten zoals een brand, een gerechtelijke procedure of klachten (met mogelijk daaruit volgende opvolgingsinspecties). Inspecties kunnen ook in functie staan van een nakende sluiting met strikte opvolging daarvan. Tenslotte kunnen inspecties gebeuren in functie van het opmaken van een proces verbaal (bijvoorbeeld bij illegale uitbating). </w:t>
      </w:r>
    </w:p>
    <w:p w:rsidR="00494FAA" w:rsidRDefault="00494FAA" w:rsidP="000B12B4">
      <w:pPr>
        <w:pStyle w:val="StandaardSV"/>
      </w:pPr>
    </w:p>
    <w:p w:rsidR="00494FAA" w:rsidRDefault="00494FAA" w:rsidP="000B12B4">
      <w:pPr>
        <w:pStyle w:val="StandaardSV"/>
        <w:ind w:left="360"/>
      </w:pPr>
      <w:r>
        <w:t>Om een beeld te geven van de intensiteit waarmee rusthuizen worden bezocht, werd onderstaande tabel opgemaakt. Het gaat om dezelfde cijfers (2.810 inspectiebezoeken) maar gepresenteerd in een frequentietabel.</w:t>
      </w:r>
    </w:p>
    <w:p w:rsidR="00494FAA" w:rsidRDefault="00494FAA" w:rsidP="00F02680">
      <w:pPr>
        <w:pStyle w:val="StandaardSV"/>
        <w:ind w:left="360"/>
        <w:jc w:val="left"/>
      </w:pPr>
      <w:r w:rsidRPr="007A78B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53.75pt;height:108pt;visibility:visible">
            <v:imagedata r:id="rId5" o:title=""/>
          </v:shape>
        </w:pict>
      </w:r>
    </w:p>
    <w:p w:rsidR="00494FAA" w:rsidRDefault="00494FAA" w:rsidP="00D56B74">
      <w:pPr>
        <w:pStyle w:val="StandaardSV"/>
        <w:ind w:left="360"/>
        <w:jc w:val="left"/>
      </w:pPr>
    </w:p>
    <w:p w:rsidR="00494FAA" w:rsidRDefault="00494FAA" w:rsidP="00D56B74">
      <w:pPr>
        <w:pStyle w:val="StandaardSV"/>
        <w:ind w:left="360"/>
        <w:jc w:val="left"/>
      </w:pPr>
      <w:r>
        <w:t xml:space="preserve">Verduidelijking van de tabel: </w:t>
      </w:r>
    </w:p>
    <w:p w:rsidR="00494FAA" w:rsidRDefault="00494FAA" w:rsidP="00D56B74">
      <w:pPr>
        <w:pStyle w:val="StandaardSV"/>
        <w:ind w:left="360"/>
        <w:jc w:val="left"/>
      </w:pPr>
    </w:p>
    <w:p w:rsidR="00494FAA" w:rsidRDefault="00494FAA" w:rsidP="00B33706">
      <w:pPr>
        <w:pStyle w:val="StandaardSV"/>
        <w:numPr>
          <w:ilvl w:val="0"/>
          <w:numId w:val="28"/>
        </w:numPr>
      </w:pPr>
      <w:r>
        <w:t>de eerste rij cijfers geeft weer hoeveel inspecties er zijn geweest in de referentieperiode: dit gaat van 1 inspectie tot 24 (waarbij dit maximum</w:t>
      </w:r>
      <w:r w:rsidRPr="00D308C7">
        <w:t xml:space="preserve"> </w:t>
      </w:r>
      <w:r>
        <w:t>zich eenmaal voordoet en dit in de provincie Brabant);</w:t>
      </w:r>
    </w:p>
    <w:p w:rsidR="00494FAA" w:rsidRDefault="00494FAA" w:rsidP="00B33706">
      <w:pPr>
        <w:pStyle w:val="StandaardSV"/>
        <w:numPr>
          <w:ilvl w:val="0"/>
          <w:numId w:val="28"/>
        </w:numPr>
      </w:pPr>
      <w:r>
        <w:t>de voorlaatste rij geeft het aantal rusthuizen weer dat een dergelijke frequentie van inspectiebezoeken heeft gekregen (in de tussenliggende rijen wordt dit uitgesplitst per provincie);</w:t>
      </w:r>
    </w:p>
    <w:p w:rsidR="00494FAA" w:rsidRDefault="00494FAA" w:rsidP="00B33706">
      <w:pPr>
        <w:pStyle w:val="StandaardSV"/>
        <w:numPr>
          <w:ilvl w:val="0"/>
          <w:numId w:val="28"/>
        </w:numPr>
      </w:pPr>
      <w:r>
        <w:t>de onderste rij geeft het totaal aantal inspecties weer over de referentieperiode (in totaal dus 2.810).</w:t>
      </w:r>
    </w:p>
    <w:p w:rsidR="00494FAA" w:rsidRDefault="00494FAA" w:rsidP="00B33706">
      <w:pPr>
        <w:pStyle w:val="StandaardSV"/>
        <w:ind w:left="1068"/>
      </w:pPr>
    </w:p>
    <w:p w:rsidR="00494FAA" w:rsidRDefault="00494FAA" w:rsidP="00B33706">
      <w:pPr>
        <w:pStyle w:val="StandaardSV"/>
        <w:ind w:left="360"/>
      </w:pPr>
      <w:r>
        <w:t xml:space="preserve">Gezien de veelheid van redenen waarom een bepaald rusthuis een inspectiebezoek krijgt, is steeds een individuele duiding per dossier nodig om de frequentie van de bezoeken aan dat rusthuis te verklaren. Het is niet haalbaar om binnen het bestek van deze schriftelijke vraag deze duiding te geven voor de om en nabij 750 Vlaamse rusthuizen. </w:t>
      </w:r>
    </w:p>
    <w:p w:rsidR="00494FAA" w:rsidRPr="00F90025" w:rsidRDefault="00494FAA" w:rsidP="002E7B5F">
      <w:pPr>
        <w:pStyle w:val="StandaardSV"/>
        <w:ind w:left="360"/>
        <w:jc w:val="left"/>
        <w:rPr>
          <w:color w:val="000000"/>
        </w:rPr>
      </w:pPr>
    </w:p>
    <w:p w:rsidR="00494FAA" w:rsidRPr="009F44B6" w:rsidRDefault="00494FAA" w:rsidP="00B33706">
      <w:pPr>
        <w:numPr>
          <w:ilvl w:val="0"/>
          <w:numId w:val="25"/>
        </w:numPr>
        <w:jc w:val="both"/>
        <w:rPr>
          <w:color w:val="000000"/>
          <w:sz w:val="22"/>
          <w:szCs w:val="22"/>
        </w:rPr>
      </w:pPr>
      <w:r w:rsidRPr="009F44B6">
        <w:rPr>
          <w:color w:val="000000"/>
          <w:sz w:val="22"/>
          <w:szCs w:val="22"/>
        </w:rPr>
        <w:t>In sommige gevallen vragen de uitbaters van een rusthuis wanneer er tekorten op de erkennings</w:t>
      </w:r>
      <w:r>
        <w:rPr>
          <w:color w:val="000000"/>
          <w:sz w:val="22"/>
          <w:szCs w:val="22"/>
        </w:rPr>
        <w:t>-</w:t>
      </w:r>
      <w:r w:rsidRPr="009F44B6">
        <w:rPr>
          <w:color w:val="000000"/>
          <w:sz w:val="22"/>
          <w:szCs w:val="22"/>
        </w:rPr>
        <w:t>normen voor rusthuizen werden vastgesteld een afwijking hiervoor aan.</w:t>
      </w:r>
      <w:r>
        <w:rPr>
          <w:color w:val="000000"/>
          <w:sz w:val="22"/>
          <w:szCs w:val="22"/>
        </w:rPr>
        <w:t xml:space="preserve"> </w:t>
      </w:r>
      <w:r w:rsidRPr="009F44B6">
        <w:rPr>
          <w:color w:val="000000"/>
          <w:sz w:val="22"/>
          <w:szCs w:val="22"/>
        </w:rPr>
        <w:t>Het betreft hier doorgaans normen waaraan de voorziening al dan niet tijdelijk om een of andere reden niet kan voldoen, of waarvoor de aanpassingskost niet evenredig in verhouding staat tot de h</w:t>
      </w:r>
      <w:r>
        <w:rPr>
          <w:color w:val="000000"/>
          <w:sz w:val="22"/>
          <w:szCs w:val="22"/>
        </w:rPr>
        <w:t xml:space="preserve">ierdoor gecreëerde meerwaarde. </w:t>
      </w:r>
      <w:r w:rsidRPr="009F44B6">
        <w:rPr>
          <w:color w:val="000000"/>
          <w:sz w:val="22"/>
          <w:szCs w:val="22"/>
        </w:rPr>
        <w:t xml:space="preserve">Elke aanvraag tot het bekomen van een afwijking moet degelijk gemotiveerd zijn. Er moet tevens aangetoond worden dat het niet naleven van de erkenningsnorm voor de bewoners en het </w:t>
      </w:r>
      <w:r>
        <w:rPr>
          <w:color w:val="000000"/>
          <w:sz w:val="22"/>
          <w:szCs w:val="22"/>
        </w:rPr>
        <w:t xml:space="preserve">personeel geen nadeel creëert. </w:t>
      </w:r>
      <w:r w:rsidRPr="009F44B6">
        <w:rPr>
          <w:color w:val="000000"/>
          <w:sz w:val="22"/>
          <w:szCs w:val="22"/>
        </w:rPr>
        <w:t xml:space="preserve">De verleende afwijkingen worden in de regel beperkt tot de duur van de verleende erkenning en vaak gekoppeld aan voorwaarden. Bij de inspectie van een dergelijke voorziening wordt nagegaan of het noodzakelijk of opportuun is de afwijking te </w:t>
      </w:r>
      <w:r>
        <w:rPr>
          <w:color w:val="000000"/>
          <w:sz w:val="22"/>
          <w:szCs w:val="22"/>
        </w:rPr>
        <w:t xml:space="preserve">verlenen of te </w:t>
      </w:r>
      <w:r w:rsidRPr="009F44B6">
        <w:rPr>
          <w:color w:val="000000"/>
          <w:sz w:val="22"/>
          <w:szCs w:val="22"/>
        </w:rPr>
        <w:t xml:space="preserve">behouden. </w:t>
      </w:r>
    </w:p>
    <w:p w:rsidR="00494FAA" w:rsidRPr="009F44B6" w:rsidRDefault="00494FAA" w:rsidP="00B33706">
      <w:pPr>
        <w:jc w:val="both"/>
        <w:rPr>
          <w:color w:val="000000"/>
          <w:sz w:val="22"/>
          <w:szCs w:val="22"/>
        </w:rPr>
      </w:pPr>
    </w:p>
    <w:p w:rsidR="00494FAA" w:rsidRPr="009F44B6" w:rsidRDefault="00494FAA" w:rsidP="00B33706">
      <w:pPr>
        <w:tabs>
          <w:tab w:val="left" w:pos="360"/>
        </w:tabs>
        <w:ind w:left="360" w:hanging="360"/>
        <w:jc w:val="both"/>
        <w:rPr>
          <w:color w:val="000000"/>
          <w:sz w:val="22"/>
          <w:szCs w:val="22"/>
        </w:rPr>
      </w:pPr>
      <w:r w:rsidRPr="009F44B6">
        <w:rPr>
          <w:color w:val="000000"/>
          <w:sz w:val="22"/>
          <w:szCs w:val="22"/>
        </w:rPr>
        <w:t xml:space="preserve">4. </w:t>
      </w:r>
      <w:r w:rsidRPr="009F44B6">
        <w:rPr>
          <w:color w:val="000000"/>
          <w:sz w:val="22"/>
          <w:szCs w:val="22"/>
        </w:rPr>
        <w:tab/>
        <w:t>De Vlaamse volksvertegenwoordiger stelt mij specifiek de vraag naar de rusthuizen die in Vlaanderen</w:t>
      </w:r>
      <w:r>
        <w:rPr>
          <w:color w:val="000000"/>
          <w:sz w:val="22"/>
          <w:szCs w:val="22"/>
        </w:rPr>
        <w:t xml:space="preserve"> </w:t>
      </w:r>
      <w:r w:rsidRPr="009F44B6">
        <w:rPr>
          <w:color w:val="000000"/>
          <w:sz w:val="22"/>
          <w:szCs w:val="22"/>
        </w:rPr>
        <w:t xml:space="preserve">en in Limburg een tijdelijke afwijking op </w:t>
      </w:r>
      <w:r>
        <w:rPr>
          <w:color w:val="000000"/>
          <w:sz w:val="22"/>
          <w:szCs w:val="22"/>
        </w:rPr>
        <w:t xml:space="preserve">de erkenningsnormen verkregen. </w:t>
      </w:r>
      <w:r w:rsidRPr="009F44B6">
        <w:rPr>
          <w:color w:val="000000"/>
          <w:sz w:val="22"/>
          <w:szCs w:val="22"/>
        </w:rPr>
        <w:t>Daarnaast wenst zij te vernemen om welke reden en voor welke termijn deze tijdelijke afwijkingen werden verleend.</w:t>
      </w:r>
    </w:p>
    <w:p w:rsidR="00494FAA" w:rsidRDefault="00494FAA" w:rsidP="00B33706">
      <w:pPr>
        <w:ind w:left="360"/>
        <w:jc w:val="both"/>
        <w:rPr>
          <w:color w:val="000000"/>
          <w:sz w:val="22"/>
          <w:szCs w:val="22"/>
        </w:rPr>
      </w:pPr>
      <w:r w:rsidRPr="009F44B6">
        <w:rPr>
          <w:color w:val="000000"/>
          <w:sz w:val="22"/>
          <w:szCs w:val="22"/>
        </w:rPr>
        <w:t>Deze data kunnen momen</w:t>
      </w:r>
      <w:r>
        <w:rPr>
          <w:color w:val="000000"/>
          <w:sz w:val="22"/>
          <w:szCs w:val="22"/>
        </w:rPr>
        <w:t>teel door mijn administratie</w:t>
      </w:r>
      <w:r w:rsidRPr="009F44B6">
        <w:rPr>
          <w:color w:val="000000"/>
          <w:sz w:val="22"/>
          <w:szCs w:val="22"/>
        </w:rPr>
        <w:t xml:space="preserve"> niet binnen een redelijke taakbelasting en termijn verstrekt worden aan de Vlaamse volksvertegenwoo</w:t>
      </w:r>
      <w:r>
        <w:rPr>
          <w:color w:val="000000"/>
          <w:sz w:val="22"/>
          <w:szCs w:val="22"/>
        </w:rPr>
        <w:t>rdiger, gezien deze gegevens</w:t>
      </w:r>
      <w:r w:rsidRPr="009F44B6">
        <w:rPr>
          <w:color w:val="000000"/>
          <w:sz w:val="22"/>
          <w:szCs w:val="22"/>
        </w:rPr>
        <w:t xml:space="preserve"> niet elektronisch beschikbaar zijn en momenteel een manuele opzoeking vergen in alle betrokken dossiers. </w:t>
      </w:r>
    </w:p>
    <w:p w:rsidR="00494FAA" w:rsidRPr="009F44B6" w:rsidRDefault="00494FAA" w:rsidP="00B33706">
      <w:pPr>
        <w:ind w:left="360"/>
        <w:jc w:val="both"/>
        <w:rPr>
          <w:color w:val="000000"/>
          <w:sz w:val="22"/>
          <w:szCs w:val="22"/>
        </w:rPr>
      </w:pPr>
      <w:r>
        <w:rPr>
          <w:color w:val="000000"/>
          <w:sz w:val="22"/>
          <w:szCs w:val="22"/>
        </w:rPr>
        <w:t>B</w:t>
      </w:r>
      <w:r w:rsidRPr="009F44B6">
        <w:rPr>
          <w:color w:val="000000"/>
          <w:sz w:val="22"/>
          <w:szCs w:val="22"/>
        </w:rPr>
        <w:t xml:space="preserve">innen mijn administratie </w:t>
      </w:r>
      <w:r>
        <w:rPr>
          <w:color w:val="000000"/>
          <w:sz w:val="22"/>
          <w:szCs w:val="22"/>
        </w:rPr>
        <w:t xml:space="preserve">werd </w:t>
      </w:r>
      <w:r w:rsidRPr="009F44B6">
        <w:rPr>
          <w:color w:val="000000"/>
          <w:sz w:val="22"/>
          <w:szCs w:val="22"/>
        </w:rPr>
        <w:t xml:space="preserve">een e-project opgezet dat </w:t>
      </w:r>
      <w:r>
        <w:rPr>
          <w:color w:val="000000"/>
          <w:sz w:val="22"/>
          <w:szCs w:val="22"/>
        </w:rPr>
        <w:t xml:space="preserve">op termijn </w:t>
      </w:r>
      <w:r w:rsidRPr="009F44B6">
        <w:rPr>
          <w:color w:val="000000"/>
          <w:sz w:val="22"/>
          <w:szCs w:val="22"/>
        </w:rPr>
        <w:t>het beschikbaar maken van de</w:t>
      </w:r>
      <w:r>
        <w:rPr>
          <w:color w:val="000000"/>
          <w:sz w:val="22"/>
          <w:szCs w:val="22"/>
        </w:rPr>
        <w:t xml:space="preserve"> </w:t>
      </w:r>
      <w:r w:rsidRPr="009F44B6">
        <w:rPr>
          <w:color w:val="000000"/>
          <w:sz w:val="22"/>
          <w:szCs w:val="22"/>
        </w:rPr>
        <w:t>door de Vlaamse volksvertegenwoordiger gevraagde gegevens mogelijk zal maken.</w:t>
      </w:r>
      <w:r>
        <w:rPr>
          <w:color w:val="000000"/>
          <w:sz w:val="22"/>
          <w:szCs w:val="22"/>
        </w:rPr>
        <w:t xml:space="preserve"> Recentelijk werd de eerste fase ervan met betrekking tot het dossierbeheer van de voorafgaande vergunningen in productie genomen.</w:t>
      </w:r>
    </w:p>
    <w:p w:rsidR="00494FAA" w:rsidRPr="00F5310B" w:rsidRDefault="00494FAA" w:rsidP="00B33706">
      <w:pPr>
        <w:ind w:left="360"/>
        <w:jc w:val="both"/>
        <w:rPr>
          <w:color w:val="FF0000"/>
          <w:sz w:val="22"/>
          <w:szCs w:val="22"/>
        </w:rPr>
      </w:pPr>
    </w:p>
    <w:p w:rsidR="00494FAA" w:rsidRPr="00F90025" w:rsidRDefault="00494FAA" w:rsidP="00AE1FB0">
      <w:pPr>
        <w:ind w:left="360" w:hanging="360"/>
        <w:jc w:val="both"/>
        <w:rPr>
          <w:color w:val="000000"/>
          <w:sz w:val="22"/>
          <w:szCs w:val="22"/>
        </w:rPr>
      </w:pPr>
      <w:r w:rsidRPr="00F90025">
        <w:rPr>
          <w:color w:val="000000"/>
          <w:sz w:val="22"/>
          <w:szCs w:val="22"/>
        </w:rPr>
        <w:t>5.</w:t>
      </w:r>
      <w:r w:rsidRPr="00F90025">
        <w:rPr>
          <w:color w:val="000000"/>
          <w:sz w:val="22"/>
          <w:szCs w:val="22"/>
        </w:rPr>
        <w:tab/>
      </w:r>
      <w:r>
        <w:rPr>
          <w:color w:val="000000"/>
          <w:sz w:val="22"/>
          <w:szCs w:val="22"/>
        </w:rPr>
        <w:t>Onder punt 6 is de informatie vermeld m.b.t. de negatieve beslissingen. De mogelijkheid bestaat ook dat er, in de loop van het proces (inspectie-beoordeling-aanmaningen-overleg-bezwaarschrift-adviescommissie enz. ...) de voorziening zelf uiteindelijk voldoende garanties voor verbetering biedt, of dat er een andere uitbater wordt gevonden die dan de uitbating van de voorziening overneemt. Deze dossiers leiden dus niet tot sluiting, maar de inspectie heeft dan evengoed haar nut bewezen.</w:t>
      </w:r>
    </w:p>
    <w:p w:rsidR="00494FAA" w:rsidRDefault="00494FAA" w:rsidP="00B51069">
      <w:pPr>
        <w:ind w:left="360" w:hanging="360"/>
        <w:jc w:val="both"/>
        <w:rPr>
          <w:sz w:val="22"/>
          <w:szCs w:val="22"/>
        </w:rPr>
      </w:pPr>
    </w:p>
    <w:p w:rsidR="00494FAA" w:rsidRPr="00F90025" w:rsidRDefault="00494FAA" w:rsidP="00B33706">
      <w:pPr>
        <w:ind w:left="360" w:hanging="360"/>
        <w:jc w:val="both"/>
        <w:rPr>
          <w:sz w:val="22"/>
          <w:szCs w:val="22"/>
        </w:rPr>
      </w:pPr>
      <w:r w:rsidRPr="00DC721A">
        <w:rPr>
          <w:sz w:val="22"/>
          <w:szCs w:val="22"/>
        </w:rPr>
        <w:t>6.</w:t>
      </w:r>
      <w:r w:rsidRPr="00DC721A">
        <w:rPr>
          <w:sz w:val="22"/>
          <w:szCs w:val="22"/>
        </w:rPr>
        <w:tab/>
      </w:r>
      <w:r w:rsidRPr="00F90025">
        <w:rPr>
          <w:sz w:val="22"/>
          <w:szCs w:val="22"/>
        </w:rPr>
        <w:t>Sinds 1 januari 2006 werd op basis van de vaststellingen van de inspectie een negatieve beslissing genomen in de dossiers van volgende rusthuizen:</w:t>
      </w:r>
    </w:p>
    <w:p w:rsidR="00494FAA" w:rsidRPr="00F90025" w:rsidRDefault="00494FAA" w:rsidP="00B33706">
      <w:pPr>
        <w:tabs>
          <w:tab w:val="left" w:pos="720"/>
        </w:tabs>
        <w:ind w:left="360" w:hanging="360"/>
        <w:jc w:val="both"/>
        <w:rPr>
          <w:sz w:val="22"/>
          <w:szCs w:val="22"/>
        </w:rPr>
      </w:pPr>
      <w:r w:rsidRPr="00F90025">
        <w:rPr>
          <w:sz w:val="22"/>
          <w:szCs w:val="22"/>
        </w:rPr>
        <w:tab/>
        <w:t xml:space="preserve">a) </w:t>
      </w:r>
      <w:r w:rsidRPr="00F90025">
        <w:rPr>
          <w:sz w:val="22"/>
          <w:szCs w:val="22"/>
        </w:rPr>
        <w:tab/>
      </w:r>
      <w:r w:rsidRPr="00F90025">
        <w:rPr>
          <w:sz w:val="22"/>
          <w:szCs w:val="22"/>
          <w:u w:val="single"/>
        </w:rPr>
        <w:t>provincie Antwerpen</w:t>
      </w:r>
      <w:r w:rsidRPr="00F90025">
        <w:rPr>
          <w:sz w:val="22"/>
          <w:szCs w:val="22"/>
        </w:rPr>
        <w:t>:</w:t>
      </w:r>
    </w:p>
    <w:p w:rsidR="00494FAA" w:rsidRPr="00F90025" w:rsidRDefault="00494FAA" w:rsidP="00B33706">
      <w:pPr>
        <w:tabs>
          <w:tab w:val="left" w:pos="900"/>
        </w:tabs>
        <w:ind w:left="900" w:hanging="180"/>
        <w:jc w:val="both"/>
        <w:rPr>
          <w:color w:val="000000"/>
          <w:sz w:val="22"/>
          <w:szCs w:val="22"/>
        </w:rPr>
      </w:pPr>
      <w:r w:rsidRPr="00F90025">
        <w:rPr>
          <w:color w:val="000000"/>
          <w:sz w:val="22"/>
          <w:szCs w:val="22"/>
        </w:rPr>
        <w:t>-</w:t>
      </w:r>
      <w:r w:rsidRPr="00F90025">
        <w:rPr>
          <w:color w:val="000000"/>
          <w:sz w:val="22"/>
          <w:szCs w:val="22"/>
        </w:rPr>
        <w:tab/>
        <w:t>rusthuis “Residentie Herfstgloed”, Plantin en Moretuslei 90 te 2018 Antwerpen: intrekking van de erkenning en sluiting</w:t>
      </w:r>
      <w:r>
        <w:rPr>
          <w:color w:val="000000"/>
          <w:sz w:val="22"/>
          <w:szCs w:val="22"/>
        </w:rPr>
        <w:t xml:space="preserve"> van het rusthuis</w:t>
      </w:r>
      <w:r w:rsidRPr="00F90025">
        <w:rPr>
          <w:color w:val="000000"/>
          <w:sz w:val="22"/>
          <w:szCs w:val="22"/>
        </w:rPr>
        <w:t xml:space="preserve"> (besluit van de administrateur-generaal van 21 januari 2009); </w:t>
      </w:r>
    </w:p>
    <w:p w:rsidR="00494FAA" w:rsidRPr="00F90025" w:rsidRDefault="00494FAA" w:rsidP="00B33706">
      <w:pPr>
        <w:tabs>
          <w:tab w:val="left" w:pos="900"/>
        </w:tabs>
        <w:ind w:left="900" w:hanging="180"/>
        <w:jc w:val="both"/>
        <w:rPr>
          <w:color w:val="000000"/>
          <w:sz w:val="22"/>
          <w:szCs w:val="22"/>
        </w:rPr>
      </w:pPr>
      <w:r w:rsidRPr="00F90025">
        <w:rPr>
          <w:color w:val="000000"/>
          <w:sz w:val="22"/>
          <w:szCs w:val="22"/>
        </w:rPr>
        <w:t xml:space="preserve">- </w:t>
      </w:r>
      <w:r w:rsidRPr="00F90025">
        <w:rPr>
          <w:color w:val="000000"/>
          <w:sz w:val="22"/>
          <w:szCs w:val="22"/>
        </w:rPr>
        <w:tab/>
        <w:t>rusthuis “De Gouden Regen”, Goudregenlaan 9 te 2960 Brecht: intrekking van de erkenning en sluiting</w:t>
      </w:r>
      <w:r>
        <w:rPr>
          <w:color w:val="000000"/>
          <w:sz w:val="22"/>
          <w:szCs w:val="22"/>
        </w:rPr>
        <w:t xml:space="preserve"> van het rusthuis</w:t>
      </w:r>
      <w:r w:rsidRPr="00F90025">
        <w:rPr>
          <w:color w:val="000000"/>
          <w:sz w:val="22"/>
          <w:szCs w:val="22"/>
        </w:rPr>
        <w:t xml:space="preserve"> (besluit van de admin</w:t>
      </w:r>
      <w:r>
        <w:rPr>
          <w:color w:val="000000"/>
          <w:sz w:val="22"/>
          <w:szCs w:val="22"/>
        </w:rPr>
        <w:t>i</w:t>
      </w:r>
      <w:r w:rsidRPr="00F90025">
        <w:rPr>
          <w:color w:val="000000"/>
          <w:sz w:val="22"/>
          <w:szCs w:val="22"/>
        </w:rPr>
        <w:t>strateur-generaal van 11 januari 2008).</w:t>
      </w:r>
    </w:p>
    <w:p w:rsidR="00494FAA" w:rsidRPr="00F90025" w:rsidRDefault="00494FAA" w:rsidP="00B33706">
      <w:pPr>
        <w:tabs>
          <w:tab w:val="left" w:pos="720"/>
        </w:tabs>
        <w:ind w:left="360" w:hanging="360"/>
        <w:jc w:val="both"/>
        <w:rPr>
          <w:color w:val="000000"/>
          <w:sz w:val="22"/>
          <w:szCs w:val="22"/>
        </w:rPr>
      </w:pPr>
      <w:r w:rsidRPr="00F90025">
        <w:rPr>
          <w:color w:val="000000"/>
          <w:sz w:val="22"/>
          <w:szCs w:val="22"/>
        </w:rPr>
        <w:tab/>
        <w:t xml:space="preserve">b) </w:t>
      </w:r>
      <w:r w:rsidRPr="00F90025">
        <w:rPr>
          <w:color w:val="000000"/>
          <w:sz w:val="22"/>
          <w:szCs w:val="22"/>
        </w:rPr>
        <w:tab/>
      </w:r>
      <w:r w:rsidRPr="00F90025">
        <w:rPr>
          <w:color w:val="000000"/>
          <w:sz w:val="22"/>
          <w:szCs w:val="22"/>
          <w:u w:val="single"/>
        </w:rPr>
        <w:t>provincie Vlaams-Brabant</w:t>
      </w:r>
      <w:r w:rsidRPr="00F90025">
        <w:rPr>
          <w:color w:val="000000"/>
          <w:sz w:val="22"/>
          <w:szCs w:val="22"/>
        </w:rPr>
        <w:t>:</w:t>
      </w:r>
    </w:p>
    <w:p w:rsidR="00494FAA" w:rsidRDefault="00494FAA" w:rsidP="00B33706">
      <w:pPr>
        <w:tabs>
          <w:tab w:val="left" w:pos="900"/>
        </w:tabs>
        <w:ind w:left="900" w:hanging="180"/>
        <w:jc w:val="both"/>
        <w:rPr>
          <w:sz w:val="22"/>
          <w:szCs w:val="22"/>
        </w:rPr>
      </w:pPr>
      <w:r w:rsidRPr="00F90025">
        <w:rPr>
          <w:color w:val="000000"/>
          <w:sz w:val="22"/>
          <w:szCs w:val="22"/>
        </w:rPr>
        <w:t>-</w:t>
      </w:r>
      <w:r w:rsidRPr="00F90025">
        <w:rPr>
          <w:color w:val="000000"/>
          <w:sz w:val="22"/>
          <w:szCs w:val="22"/>
        </w:rPr>
        <w:tab/>
        <w:t>rusthuis “</w:t>
      </w:r>
      <w:r w:rsidRPr="00F90025">
        <w:rPr>
          <w:spacing w:val="-3"/>
          <w:sz w:val="22"/>
          <w:szCs w:val="22"/>
        </w:rPr>
        <w:t>Rustoord Zennehart”, Pastoor Bolsstraat 90 te 1652 Beersel: weigering van de erkenning en sluiting voor 14 woongelegenheden</w:t>
      </w:r>
      <w:r>
        <w:rPr>
          <w:spacing w:val="-3"/>
          <w:sz w:val="22"/>
          <w:szCs w:val="22"/>
        </w:rPr>
        <w:t xml:space="preserve"> van het rusthuis</w:t>
      </w:r>
      <w:r w:rsidRPr="00F90025">
        <w:rPr>
          <w:spacing w:val="-3"/>
          <w:sz w:val="22"/>
          <w:szCs w:val="22"/>
        </w:rPr>
        <w:t xml:space="preserve"> (</w:t>
      </w:r>
      <w:r w:rsidRPr="00F90025">
        <w:rPr>
          <w:sz w:val="22"/>
          <w:szCs w:val="22"/>
        </w:rPr>
        <w:t>12 woongelegenheden in de linkervleugel gelijkvloers en de 2 kamers in de rechtervleugel verdieping) (besluit van de administrateur van 27 november 2006);</w:t>
      </w:r>
    </w:p>
    <w:p w:rsidR="00494FAA" w:rsidRDefault="00494FAA" w:rsidP="00B33706">
      <w:pPr>
        <w:tabs>
          <w:tab w:val="left" w:pos="900"/>
        </w:tabs>
        <w:ind w:left="900" w:hanging="180"/>
        <w:jc w:val="both"/>
        <w:rPr>
          <w:sz w:val="22"/>
          <w:szCs w:val="22"/>
        </w:rPr>
      </w:pPr>
      <w:r>
        <w:rPr>
          <w:color w:val="000000"/>
          <w:sz w:val="22"/>
          <w:szCs w:val="22"/>
        </w:rPr>
        <w:t>-</w:t>
      </w:r>
      <w:r>
        <w:rPr>
          <w:color w:val="000000"/>
          <w:sz w:val="22"/>
          <w:szCs w:val="22"/>
        </w:rPr>
        <w:tab/>
      </w:r>
      <w:r w:rsidRPr="00F90025">
        <w:rPr>
          <w:color w:val="000000"/>
          <w:sz w:val="22"/>
          <w:szCs w:val="22"/>
        </w:rPr>
        <w:t>rusthuis “Bergamote”, Holleweggaarde 6A te 1030 Schaarbeek: intrekking van de erkenning met de sluiting als Vlaams rusthuis tot gevolg (besluit van de administrateur-generaal van 24 november 2007);</w:t>
      </w:r>
    </w:p>
    <w:p w:rsidR="00494FAA" w:rsidRPr="00F90025" w:rsidRDefault="00494FAA" w:rsidP="00B33706">
      <w:pPr>
        <w:tabs>
          <w:tab w:val="left" w:pos="900"/>
        </w:tabs>
        <w:ind w:left="900" w:hanging="180"/>
        <w:jc w:val="both"/>
        <w:rPr>
          <w:color w:val="000000"/>
          <w:sz w:val="22"/>
          <w:szCs w:val="22"/>
        </w:rPr>
      </w:pPr>
      <w:r>
        <w:rPr>
          <w:sz w:val="22"/>
          <w:szCs w:val="22"/>
        </w:rPr>
        <w:t>-</w:t>
      </w:r>
      <w:r>
        <w:rPr>
          <w:sz w:val="22"/>
          <w:szCs w:val="22"/>
        </w:rPr>
        <w:tab/>
      </w:r>
      <w:r w:rsidRPr="00F90025">
        <w:rPr>
          <w:spacing w:val="-3"/>
          <w:sz w:val="22"/>
          <w:szCs w:val="22"/>
        </w:rPr>
        <w:t>rusthuis “Atlantis”, Sint Stevensstraat 1 te 1600 Sint</w:t>
      </w:r>
      <w:r>
        <w:rPr>
          <w:spacing w:val="-3"/>
          <w:sz w:val="22"/>
          <w:szCs w:val="22"/>
        </w:rPr>
        <w:t>-</w:t>
      </w:r>
      <w:r w:rsidRPr="00F90025">
        <w:rPr>
          <w:spacing w:val="-3"/>
          <w:sz w:val="22"/>
          <w:szCs w:val="22"/>
        </w:rPr>
        <w:t>Pieters</w:t>
      </w:r>
      <w:r>
        <w:rPr>
          <w:spacing w:val="-3"/>
          <w:sz w:val="22"/>
          <w:szCs w:val="22"/>
        </w:rPr>
        <w:t>-</w:t>
      </w:r>
      <w:r w:rsidRPr="00F90025">
        <w:rPr>
          <w:spacing w:val="-3"/>
          <w:sz w:val="22"/>
          <w:szCs w:val="22"/>
        </w:rPr>
        <w:t xml:space="preserve">Leeuw: weigering van de verlenging van de erkenning met de sluiting als gevolg en </w:t>
      </w:r>
      <w:r w:rsidRPr="00F90025">
        <w:rPr>
          <w:color w:val="000000"/>
          <w:sz w:val="22"/>
          <w:szCs w:val="22"/>
        </w:rPr>
        <w:t>weigering van de verlenging van de RVT-erkenning (besluit van de administrateur-generaal van 12 juli 2009);</w:t>
      </w:r>
    </w:p>
    <w:p w:rsidR="00494FAA" w:rsidRPr="00F90025" w:rsidRDefault="00494FAA" w:rsidP="00B33706">
      <w:pPr>
        <w:tabs>
          <w:tab w:val="left" w:pos="900"/>
        </w:tabs>
        <w:ind w:left="900" w:hanging="180"/>
        <w:jc w:val="both"/>
        <w:rPr>
          <w:color w:val="000000"/>
          <w:sz w:val="22"/>
          <w:szCs w:val="22"/>
        </w:rPr>
      </w:pPr>
      <w:r w:rsidRPr="00F90025">
        <w:rPr>
          <w:color w:val="000000"/>
          <w:sz w:val="22"/>
          <w:szCs w:val="22"/>
        </w:rPr>
        <w:t>-</w:t>
      </w:r>
      <w:r w:rsidRPr="00F90025">
        <w:rPr>
          <w:color w:val="000000"/>
          <w:sz w:val="22"/>
          <w:szCs w:val="22"/>
        </w:rPr>
        <w:tab/>
      </w:r>
      <w:r>
        <w:rPr>
          <w:spacing w:val="-3"/>
          <w:sz w:val="22"/>
          <w:szCs w:val="22"/>
        </w:rPr>
        <w:t>rusthuis “Onze Rust”, Eburonenlaan 10-12 te 1780 Wemmel: weigering van de verlenging van de erkenning en de sluiting van het rusthuis (besluit van de administrateur-generaal van 17 januari 2008).</w:t>
      </w:r>
    </w:p>
    <w:p w:rsidR="00494FAA" w:rsidRPr="00F90025" w:rsidRDefault="00494FAA" w:rsidP="00B33706">
      <w:pPr>
        <w:tabs>
          <w:tab w:val="left" w:pos="720"/>
        </w:tabs>
        <w:ind w:left="360" w:hanging="360"/>
        <w:jc w:val="both"/>
        <w:rPr>
          <w:sz w:val="22"/>
          <w:szCs w:val="22"/>
        </w:rPr>
      </w:pPr>
      <w:r w:rsidRPr="00F90025">
        <w:rPr>
          <w:sz w:val="22"/>
          <w:szCs w:val="22"/>
        </w:rPr>
        <w:tab/>
        <w:t xml:space="preserve">c) </w:t>
      </w:r>
      <w:r w:rsidRPr="00F90025">
        <w:rPr>
          <w:sz w:val="22"/>
          <w:szCs w:val="22"/>
        </w:rPr>
        <w:tab/>
      </w:r>
      <w:r w:rsidRPr="00F90025">
        <w:rPr>
          <w:sz w:val="22"/>
          <w:szCs w:val="22"/>
          <w:u w:val="single"/>
        </w:rPr>
        <w:t>provincie Limburg</w:t>
      </w:r>
      <w:r w:rsidRPr="00F90025">
        <w:rPr>
          <w:sz w:val="22"/>
          <w:szCs w:val="22"/>
        </w:rPr>
        <w:t>: geen</w:t>
      </w:r>
    </w:p>
    <w:p w:rsidR="00494FAA" w:rsidRPr="00F90025" w:rsidRDefault="00494FAA" w:rsidP="00B33706">
      <w:pPr>
        <w:tabs>
          <w:tab w:val="left" w:pos="720"/>
        </w:tabs>
        <w:ind w:left="360" w:hanging="360"/>
        <w:jc w:val="both"/>
        <w:rPr>
          <w:color w:val="000000"/>
          <w:sz w:val="22"/>
          <w:szCs w:val="22"/>
        </w:rPr>
      </w:pPr>
      <w:r w:rsidRPr="00F90025">
        <w:rPr>
          <w:sz w:val="22"/>
          <w:szCs w:val="22"/>
        </w:rPr>
        <w:tab/>
      </w:r>
      <w:r w:rsidRPr="00F90025">
        <w:rPr>
          <w:color w:val="000000"/>
          <w:sz w:val="22"/>
          <w:szCs w:val="22"/>
        </w:rPr>
        <w:t xml:space="preserve">d) </w:t>
      </w:r>
      <w:r w:rsidRPr="00F90025">
        <w:rPr>
          <w:color w:val="000000"/>
          <w:sz w:val="22"/>
          <w:szCs w:val="22"/>
        </w:rPr>
        <w:tab/>
      </w:r>
      <w:r w:rsidRPr="00F90025">
        <w:rPr>
          <w:color w:val="000000"/>
          <w:sz w:val="22"/>
          <w:szCs w:val="22"/>
          <w:u w:val="single"/>
        </w:rPr>
        <w:t>provincie Oost-Vlaanderen</w:t>
      </w:r>
      <w:r w:rsidRPr="00F90025">
        <w:rPr>
          <w:color w:val="000000"/>
          <w:sz w:val="22"/>
          <w:szCs w:val="22"/>
        </w:rPr>
        <w:t>:</w:t>
      </w:r>
    </w:p>
    <w:p w:rsidR="00494FAA" w:rsidRPr="00F90025" w:rsidRDefault="00494FAA" w:rsidP="00B33706">
      <w:pPr>
        <w:tabs>
          <w:tab w:val="left" w:pos="900"/>
        </w:tabs>
        <w:ind w:left="900" w:hanging="180"/>
        <w:jc w:val="both"/>
        <w:rPr>
          <w:color w:val="000000"/>
          <w:sz w:val="22"/>
          <w:szCs w:val="22"/>
        </w:rPr>
      </w:pPr>
      <w:r w:rsidRPr="00F90025">
        <w:rPr>
          <w:color w:val="000000"/>
          <w:sz w:val="22"/>
          <w:szCs w:val="22"/>
        </w:rPr>
        <w:t>-</w:t>
      </w:r>
      <w:r w:rsidRPr="00F90025">
        <w:rPr>
          <w:color w:val="000000"/>
          <w:sz w:val="22"/>
          <w:szCs w:val="22"/>
        </w:rPr>
        <w:tab/>
        <w:t xml:space="preserve">rusthuis Bruggenpark, Bruggenhoek 36 te 9620 Zottegem: schorsing van de erkenning </w:t>
      </w:r>
      <w:r>
        <w:rPr>
          <w:color w:val="000000"/>
          <w:sz w:val="22"/>
          <w:szCs w:val="22"/>
        </w:rPr>
        <w:t xml:space="preserve">van het rusthuis </w:t>
      </w:r>
      <w:r w:rsidRPr="00F90025">
        <w:rPr>
          <w:color w:val="000000"/>
          <w:sz w:val="22"/>
          <w:szCs w:val="22"/>
        </w:rPr>
        <w:t>met 6 maanden met ingang van 18 maart 2007 (besluit van de administrateur-generaal van 16 februari 2007).</w:t>
      </w:r>
    </w:p>
    <w:p w:rsidR="00494FAA" w:rsidRPr="00F90025" w:rsidRDefault="00494FAA" w:rsidP="00B33706">
      <w:pPr>
        <w:tabs>
          <w:tab w:val="left" w:pos="720"/>
        </w:tabs>
        <w:ind w:left="900" w:hanging="540"/>
        <w:jc w:val="both"/>
        <w:rPr>
          <w:color w:val="000000"/>
          <w:sz w:val="22"/>
          <w:szCs w:val="22"/>
        </w:rPr>
      </w:pPr>
      <w:r w:rsidRPr="00F90025">
        <w:rPr>
          <w:color w:val="000000"/>
          <w:sz w:val="22"/>
          <w:szCs w:val="22"/>
        </w:rPr>
        <w:t xml:space="preserve">e) </w:t>
      </w:r>
      <w:r w:rsidRPr="00F90025">
        <w:rPr>
          <w:color w:val="000000"/>
          <w:sz w:val="22"/>
          <w:szCs w:val="22"/>
        </w:rPr>
        <w:tab/>
      </w:r>
      <w:r w:rsidRPr="00F90025">
        <w:rPr>
          <w:color w:val="000000"/>
          <w:sz w:val="22"/>
          <w:szCs w:val="22"/>
          <w:u w:val="single"/>
        </w:rPr>
        <w:t>provincie West-Vlaanderen</w:t>
      </w:r>
      <w:r w:rsidRPr="00F90025">
        <w:rPr>
          <w:color w:val="000000"/>
          <w:sz w:val="22"/>
          <w:szCs w:val="22"/>
        </w:rPr>
        <w:t>:</w:t>
      </w:r>
    </w:p>
    <w:p w:rsidR="00494FAA" w:rsidRPr="00F90025" w:rsidRDefault="00494FAA" w:rsidP="00B33706">
      <w:pPr>
        <w:tabs>
          <w:tab w:val="left" w:pos="900"/>
        </w:tabs>
        <w:ind w:left="900" w:hanging="180"/>
        <w:jc w:val="both"/>
        <w:rPr>
          <w:color w:val="000000"/>
          <w:sz w:val="22"/>
          <w:szCs w:val="22"/>
        </w:rPr>
      </w:pPr>
      <w:r w:rsidRPr="00F90025">
        <w:rPr>
          <w:color w:val="000000"/>
          <w:sz w:val="22"/>
          <w:szCs w:val="22"/>
        </w:rPr>
        <w:t>-</w:t>
      </w:r>
      <w:r w:rsidRPr="00F90025">
        <w:rPr>
          <w:color w:val="000000"/>
          <w:sz w:val="22"/>
          <w:szCs w:val="22"/>
        </w:rPr>
        <w:tab/>
        <w:t>rusthuis Residentie Ensor, Klemskerkestraat 4 te Bredene: sluiting van een illegale uitbating als rusthuis (besluit van de administrateur-generaal van 9 juni 2008);</w:t>
      </w:r>
    </w:p>
    <w:p w:rsidR="00494FAA" w:rsidRPr="00F90025" w:rsidRDefault="00494FAA" w:rsidP="00B33706">
      <w:pPr>
        <w:tabs>
          <w:tab w:val="left" w:pos="900"/>
        </w:tabs>
        <w:ind w:left="900" w:hanging="180"/>
        <w:jc w:val="both"/>
        <w:rPr>
          <w:color w:val="0000FF"/>
          <w:sz w:val="22"/>
          <w:szCs w:val="22"/>
        </w:rPr>
      </w:pPr>
      <w:r w:rsidRPr="00F90025">
        <w:rPr>
          <w:color w:val="0000FF"/>
          <w:sz w:val="22"/>
          <w:szCs w:val="22"/>
        </w:rPr>
        <w:t xml:space="preserve">- </w:t>
      </w:r>
      <w:r w:rsidRPr="00F90025">
        <w:rPr>
          <w:color w:val="000000"/>
          <w:sz w:val="22"/>
          <w:szCs w:val="22"/>
        </w:rPr>
        <w:tab/>
        <w:t>rusthuis Residentie R</w:t>
      </w:r>
      <w:r>
        <w:rPr>
          <w:color w:val="000000"/>
          <w:sz w:val="22"/>
          <w:szCs w:val="22"/>
        </w:rPr>
        <w:t xml:space="preserve">ozenhof, Zandstraat 10 te 8200 </w:t>
      </w:r>
      <w:r w:rsidRPr="00F90025">
        <w:rPr>
          <w:color w:val="000000"/>
          <w:sz w:val="22"/>
          <w:szCs w:val="22"/>
        </w:rPr>
        <w:t>Brugge</w:t>
      </w:r>
      <w:r>
        <w:rPr>
          <w:color w:val="000000"/>
          <w:sz w:val="22"/>
          <w:szCs w:val="22"/>
        </w:rPr>
        <w:t xml:space="preserve"> (Sint-Andries): weigering van </w:t>
      </w:r>
      <w:r w:rsidRPr="00F90025">
        <w:rPr>
          <w:color w:val="000000"/>
          <w:sz w:val="22"/>
          <w:szCs w:val="22"/>
        </w:rPr>
        <w:t>de RVT-erkenning (besluit van de administrateur-generaal van 9 maart 2007);</w:t>
      </w:r>
    </w:p>
    <w:p w:rsidR="00494FAA" w:rsidRPr="009B72AE" w:rsidRDefault="00494FAA" w:rsidP="009B72AE">
      <w:pPr>
        <w:tabs>
          <w:tab w:val="left" w:pos="900"/>
        </w:tabs>
        <w:ind w:left="900" w:hanging="180"/>
        <w:jc w:val="both"/>
        <w:rPr>
          <w:color w:val="000000"/>
          <w:sz w:val="22"/>
          <w:szCs w:val="22"/>
        </w:rPr>
      </w:pPr>
      <w:r w:rsidRPr="00F90025">
        <w:rPr>
          <w:color w:val="000000"/>
          <w:sz w:val="22"/>
          <w:szCs w:val="22"/>
        </w:rPr>
        <w:t>-</w:t>
      </w:r>
      <w:r w:rsidRPr="00F90025">
        <w:rPr>
          <w:color w:val="000000"/>
          <w:sz w:val="22"/>
          <w:szCs w:val="22"/>
        </w:rPr>
        <w:tab/>
        <w:t>rusthuis Residentie Hortensia, Dronckaertstraat 600 te Men</w:t>
      </w:r>
      <w:r>
        <w:rPr>
          <w:color w:val="000000"/>
          <w:sz w:val="22"/>
          <w:szCs w:val="22"/>
        </w:rPr>
        <w:t xml:space="preserve">en: schorsing van de erkenning van het rusthuis </w:t>
      </w:r>
      <w:r w:rsidRPr="00F90025">
        <w:rPr>
          <w:color w:val="000000"/>
          <w:sz w:val="22"/>
          <w:szCs w:val="22"/>
        </w:rPr>
        <w:t>met 3 maanden met ingang van 1 augustus 2006 (besluit van de administrateur-generaal van 7 juli 2006).</w:t>
      </w:r>
    </w:p>
    <w:sectPr w:rsidR="00494FAA" w:rsidRPr="009B72AE" w:rsidSect="00977C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264"/>
    <w:multiLevelType w:val="hybridMultilevel"/>
    <w:tmpl w:val="08667580"/>
    <w:lvl w:ilvl="0" w:tplc="0338E5CA">
      <w:start w:val="2"/>
      <w:numFmt w:val="none"/>
      <w:lvlText w:val="c)"/>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nsid w:val="07753633"/>
    <w:multiLevelType w:val="singleLevel"/>
    <w:tmpl w:val="CB8E902A"/>
    <w:lvl w:ilvl="0">
      <w:start w:val="5"/>
      <w:numFmt w:val="bullet"/>
      <w:lvlText w:val="-"/>
      <w:lvlJc w:val="left"/>
      <w:pPr>
        <w:tabs>
          <w:tab w:val="num" w:pos="360"/>
        </w:tabs>
        <w:ind w:left="360" w:hanging="360"/>
      </w:pPr>
      <w:rPr>
        <w:rFonts w:ascii="Times New Roman" w:hAnsi="Times New Roman" w:hint="default"/>
      </w:rPr>
    </w:lvl>
  </w:abstractNum>
  <w:abstractNum w:abstractNumId="2">
    <w:nsid w:val="0A1B5BF4"/>
    <w:multiLevelType w:val="hybridMultilevel"/>
    <w:tmpl w:val="504C0566"/>
    <w:lvl w:ilvl="0" w:tplc="FB882D5A">
      <w:start w:val="2"/>
      <w:numFmt w:val="lowerLetter"/>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3">
    <w:nsid w:val="17D615DE"/>
    <w:multiLevelType w:val="hybridMultilevel"/>
    <w:tmpl w:val="C644DB1E"/>
    <w:lvl w:ilvl="0" w:tplc="FE02233C">
      <w:start w:val="1"/>
      <w:numFmt w:val="none"/>
      <w:lvlText w:val="a)"/>
      <w:lvlJc w:val="left"/>
      <w:pPr>
        <w:tabs>
          <w:tab w:val="num" w:pos="570"/>
        </w:tabs>
        <w:ind w:left="570" w:hanging="570"/>
      </w:pPr>
      <w:rPr>
        <w:rFonts w:cs="Times New Roman" w:hint="default"/>
      </w:rPr>
    </w:lvl>
    <w:lvl w:ilvl="1" w:tplc="4D5A0872">
      <w:start w:val="1"/>
      <w:numFmt w:val="none"/>
      <w:lvlText w:val="2°"/>
      <w:lvlJc w:val="left"/>
      <w:pPr>
        <w:tabs>
          <w:tab w:val="num" w:pos="1080"/>
        </w:tabs>
        <w:ind w:left="1080" w:hanging="360"/>
      </w:pPr>
      <w:rPr>
        <w:rFonts w:cs="Times New Roman" w:hint="default"/>
      </w:rPr>
    </w:lvl>
    <w:lvl w:ilvl="2" w:tplc="770EEA22">
      <w:start w:val="2"/>
      <w:numFmt w:val="decimal"/>
      <w:lvlText w:val="%3."/>
      <w:lvlJc w:val="left"/>
      <w:pPr>
        <w:tabs>
          <w:tab w:val="num" w:pos="2325"/>
        </w:tabs>
        <w:ind w:left="2325" w:hanging="705"/>
      </w:pPr>
      <w:rPr>
        <w:rFonts w:cs="Times New Roman" w:hint="default"/>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4">
    <w:nsid w:val="19132F05"/>
    <w:multiLevelType w:val="hybridMultilevel"/>
    <w:tmpl w:val="2F0C6EC8"/>
    <w:lvl w:ilvl="0" w:tplc="E0D84ADC">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nsid w:val="1C424C49"/>
    <w:multiLevelType w:val="hybridMultilevel"/>
    <w:tmpl w:val="1430E376"/>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6">
    <w:nsid w:val="243240A7"/>
    <w:multiLevelType w:val="hybridMultilevel"/>
    <w:tmpl w:val="17B86A12"/>
    <w:lvl w:ilvl="0" w:tplc="FB882D5A">
      <w:start w:val="2"/>
      <w:numFmt w:val="lowerLetter"/>
      <w:lvlText w:val="%1)"/>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nsid w:val="28F916AA"/>
    <w:multiLevelType w:val="hybridMultilevel"/>
    <w:tmpl w:val="4E220128"/>
    <w:lvl w:ilvl="0" w:tplc="FB882D5A">
      <w:start w:val="2"/>
      <w:numFmt w:val="lowerLetter"/>
      <w:lvlText w:val="%1)"/>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nsid w:val="2E3D119F"/>
    <w:multiLevelType w:val="hybridMultilevel"/>
    <w:tmpl w:val="472AA0B0"/>
    <w:lvl w:ilvl="0" w:tplc="B4BABB70">
      <w:start w:val="1"/>
      <w:numFmt w:val="none"/>
      <w:lvlText w:val="b)"/>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nsid w:val="2FC542D5"/>
    <w:multiLevelType w:val="hybridMultilevel"/>
    <w:tmpl w:val="A1E08EC6"/>
    <w:lvl w:ilvl="0" w:tplc="E0D84ADC">
      <w:start w:val="3"/>
      <w:numFmt w:val="decimal"/>
      <w:lvlText w:val="%1."/>
      <w:lvlJc w:val="left"/>
      <w:pPr>
        <w:tabs>
          <w:tab w:val="num" w:pos="360"/>
        </w:tabs>
        <w:ind w:left="360" w:hanging="360"/>
      </w:pPr>
      <w:rPr>
        <w:rFonts w:cs="Times New Roman" w:hint="default"/>
      </w:rPr>
    </w:lvl>
    <w:lvl w:ilvl="1" w:tplc="C0A87A7A">
      <w:start w:val="1"/>
      <w:numFmt w:val="lowerLetter"/>
      <w:lvlText w:val="%2)"/>
      <w:lvlJc w:val="left"/>
      <w:pPr>
        <w:tabs>
          <w:tab w:val="num" w:pos="1080"/>
        </w:tabs>
        <w:ind w:left="1080" w:hanging="360"/>
      </w:pPr>
      <w:rPr>
        <w:rFonts w:cs="Times New Roman" w:hint="default"/>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0">
    <w:nsid w:val="393D2237"/>
    <w:multiLevelType w:val="multilevel"/>
    <w:tmpl w:val="FB22D81E"/>
    <w:lvl w:ilvl="0">
      <w:start w:val="1"/>
      <w:numFmt w:val="none"/>
      <w:lvlText w:val="a)"/>
      <w:lvlJc w:val="left"/>
      <w:pPr>
        <w:tabs>
          <w:tab w:val="num" w:pos="570"/>
        </w:tabs>
        <w:ind w:left="570" w:hanging="57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39484530"/>
    <w:multiLevelType w:val="hybridMultilevel"/>
    <w:tmpl w:val="24DEA99C"/>
    <w:lvl w:ilvl="0" w:tplc="4AE24EFE">
      <w:start w:val="1"/>
      <w:numFmt w:val="none"/>
      <w:lvlText w:val="2. "/>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nsid w:val="47DE43D3"/>
    <w:multiLevelType w:val="multilevel"/>
    <w:tmpl w:val="F190D4F0"/>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493A7173"/>
    <w:multiLevelType w:val="hybridMultilevel"/>
    <w:tmpl w:val="30769D02"/>
    <w:lvl w:ilvl="0" w:tplc="3E84BD3E">
      <w:start w:val="2"/>
      <w:numFmt w:val="none"/>
      <w:lvlText w:val="a)"/>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nsid w:val="4B5C4F5B"/>
    <w:multiLevelType w:val="multilevel"/>
    <w:tmpl w:val="2EB2DE54"/>
    <w:lvl w:ilvl="0">
      <w:start w:val="1"/>
      <w:numFmt w:val="lowerLetter"/>
      <w:lvlText w:val="%1)"/>
      <w:lvlJc w:val="left"/>
      <w:pPr>
        <w:tabs>
          <w:tab w:val="num" w:pos="360"/>
        </w:tabs>
        <w:ind w:left="360" w:hanging="360"/>
      </w:pPr>
      <w:rPr>
        <w:rFonts w:cs="Times New Roman" w:hint="default"/>
      </w:rPr>
    </w:lvl>
    <w:lvl w:ilvl="1">
      <w:start w:val="1"/>
      <w:numFmt w:val="none"/>
      <w:lvlText w:val="2°"/>
      <w:lvlJc w:val="left"/>
      <w:pPr>
        <w:tabs>
          <w:tab w:val="num" w:pos="1080"/>
        </w:tabs>
        <w:ind w:left="1080" w:hanging="360"/>
      </w:pPr>
      <w:rPr>
        <w:rFonts w:cs="Times New Roman" w:hint="default"/>
      </w:rPr>
    </w:lvl>
    <w:lvl w:ilvl="2">
      <w:start w:val="2"/>
      <w:numFmt w:val="decimal"/>
      <w:lvlText w:val="%3."/>
      <w:lvlJc w:val="left"/>
      <w:pPr>
        <w:tabs>
          <w:tab w:val="num" w:pos="2325"/>
        </w:tabs>
        <w:ind w:left="2325" w:hanging="705"/>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4BFB3344"/>
    <w:multiLevelType w:val="hybridMultilevel"/>
    <w:tmpl w:val="0C987BAC"/>
    <w:lvl w:ilvl="0" w:tplc="69F2CB08">
      <w:start w:val="1"/>
      <w:numFmt w:val="bullet"/>
      <w:lvlText w:val=""/>
      <w:lvlJc w:val="left"/>
      <w:pPr>
        <w:tabs>
          <w:tab w:val="num" w:pos="360"/>
        </w:tabs>
        <w:ind w:left="360" w:hanging="360"/>
      </w:pPr>
      <w:rPr>
        <w:rFonts w:ascii="Symbol" w:hAnsi="Symbol"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nsid w:val="4F9012DA"/>
    <w:multiLevelType w:val="hybridMultilevel"/>
    <w:tmpl w:val="E93C61C2"/>
    <w:lvl w:ilvl="0" w:tplc="0413000F">
      <w:start w:val="1"/>
      <w:numFmt w:val="decimal"/>
      <w:lvlText w:val="%1."/>
      <w:lvlJc w:val="left"/>
      <w:pPr>
        <w:tabs>
          <w:tab w:val="num" w:pos="720"/>
        </w:tabs>
        <w:ind w:left="720" w:hanging="360"/>
      </w:pPr>
      <w:rPr>
        <w:rFonts w:cs="Times New Roman" w:hint="default"/>
      </w:rPr>
    </w:lvl>
    <w:lvl w:ilvl="1" w:tplc="04130017">
      <w:start w:val="1"/>
      <w:numFmt w:val="lowerLetter"/>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nsid w:val="5BC84164"/>
    <w:multiLevelType w:val="hybridMultilevel"/>
    <w:tmpl w:val="98568A9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8">
    <w:nsid w:val="5D0E2F8C"/>
    <w:multiLevelType w:val="hybridMultilevel"/>
    <w:tmpl w:val="428C4510"/>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nsid w:val="5D4D2358"/>
    <w:multiLevelType w:val="hybridMultilevel"/>
    <w:tmpl w:val="0CF0AE28"/>
    <w:lvl w:ilvl="0" w:tplc="9626D7D2">
      <w:numFmt w:val="bullet"/>
      <w:lvlText w:val="-"/>
      <w:lvlJc w:val="left"/>
      <w:pPr>
        <w:ind w:left="720" w:hanging="360"/>
      </w:pPr>
      <w:rPr>
        <w:rFonts w:ascii="Garamond" w:eastAsia="Times New Roman" w:hAnsi="Garamond"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5E5A62ED"/>
    <w:multiLevelType w:val="hybridMultilevel"/>
    <w:tmpl w:val="E084D98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hint="default"/>
      </w:rPr>
    </w:lvl>
    <w:lvl w:ilvl="8" w:tplc="08130005">
      <w:start w:val="1"/>
      <w:numFmt w:val="bullet"/>
      <w:lvlText w:val=""/>
      <w:lvlJc w:val="left"/>
      <w:pPr>
        <w:ind w:left="6840" w:hanging="360"/>
      </w:pPr>
      <w:rPr>
        <w:rFonts w:ascii="Wingdings" w:hAnsi="Wingdings" w:hint="default"/>
      </w:rPr>
    </w:lvl>
  </w:abstractNum>
  <w:abstractNum w:abstractNumId="21">
    <w:nsid w:val="5EFE11DA"/>
    <w:multiLevelType w:val="hybridMultilevel"/>
    <w:tmpl w:val="A8507A80"/>
    <w:lvl w:ilvl="0" w:tplc="B4BABB70">
      <w:start w:val="1"/>
      <w:numFmt w:val="none"/>
      <w:lvlText w:val="b)"/>
      <w:lvlJc w:val="left"/>
      <w:pPr>
        <w:tabs>
          <w:tab w:val="num" w:pos="360"/>
        </w:tabs>
        <w:ind w:left="360" w:hanging="360"/>
      </w:pPr>
      <w:rPr>
        <w:rFonts w:cs="Times New Roman" w:hint="default"/>
      </w:rPr>
    </w:lvl>
    <w:lvl w:ilvl="1" w:tplc="04130019">
      <w:start w:val="1"/>
      <w:numFmt w:val="lowerLetter"/>
      <w:lvlText w:val="%2."/>
      <w:lvlJc w:val="left"/>
      <w:pPr>
        <w:tabs>
          <w:tab w:val="num" w:pos="720"/>
        </w:tabs>
        <w:ind w:left="720" w:hanging="360"/>
      </w:pPr>
      <w:rPr>
        <w:rFonts w:cs="Times New Roman"/>
      </w:rPr>
    </w:lvl>
    <w:lvl w:ilvl="2" w:tplc="0413001B">
      <w:start w:val="1"/>
      <w:numFmt w:val="lowerRoman"/>
      <w:lvlText w:val="%3."/>
      <w:lvlJc w:val="right"/>
      <w:pPr>
        <w:tabs>
          <w:tab w:val="num" w:pos="1440"/>
        </w:tabs>
        <w:ind w:left="1440" w:hanging="180"/>
      </w:pPr>
      <w:rPr>
        <w:rFonts w:cs="Times New Roman"/>
      </w:rPr>
    </w:lvl>
    <w:lvl w:ilvl="3" w:tplc="0413000F">
      <w:start w:val="1"/>
      <w:numFmt w:val="decimal"/>
      <w:lvlText w:val="%4."/>
      <w:lvlJc w:val="left"/>
      <w:pPr>
        <w:tabs>
          <w:tab w:val="num" w:pos="2160"/>
        </w:tabs>
        <w:ind w:left="2160" w:hanging="360"/>
      </w:pPr>
      <w:rPr>
        <w:rFonts w:cs="Times New Roman"/>
      </w:rPr>
    </w:lvl>
    <w:lvl w:ilvl="4" w:tplc="04130019">
      <w:start w:val="1"/>
      <w:numFmt w:val="lowerLetter"/>
      <w:lvlText w:val="%5."/>
      <w:lvlJc w:val="left"/>
      <w:pPr>
        <w:tabs>
          <w:tab w:val="num" w:pos="2880"/>
        </w:tabs>
        <w:ind w:left="2880" w:hanging="360"/>
      </w:pPr>
      <w:rPr>
        <w:rFonts w:cs="Times New Roman"/>
      </w:rPr>
    </w:lvl>
    <w:lvl w:ilvl="5" w:tplc="0413001B">
      <w:start w:val="1"/>
      <w:numFmt w:val="lowerRoman"/>
      <w:lvlText w:val="%6."/>
      <w:lvlJc w:val="right"/>
      <w:pPr>
        <w:tabs>
          <w:tab w:val="num" w:pos="3600"/>
        </w:tabs>
        <w:ind w:left="3600" w:hanging="180"/>
      </w:pPr>
      <w:rPr>
        <w:rFonts w:cs="Times New Roman"/>
      </w:rPr>
    </w:lvl>
    <w:lvl w:ilvl="6" w:tplc="0413000F">
      <w:start w:val="1"/>
      <w:numFmt w:val="decimal"/>
      <w:lvlText w:val="%7."/>
      <w:lvlJc w:val="left"/>
      <w:pPr>
        <w:tabs>
          <w:tab w:val="num" w:pos="4320"/>
        </w:tabs>
        <w:ind w:left="4320" w:hanging="360"/>
      </w:pPr>
      <w:rPr>
        <w:rFonts w:cs="Times New Roman"/>
      </w:rPr>
    </w:lvl>
    <w:lvl w:ilvl="7" w:tplc="04130019">
      <w:start w:val="1"/>
      <w:numFmt w:val="lowerLetter"/>
      <w:lvlText w:val="%8."/>
      <w:lvlJc w:val="left"/>
      <w:pPr>
        <w:tabs>
          <w:tab w:val="num" w:pos="5040"/>
        </w:tabs>
        <w:ind w:left="5040" w:hanging="360"/>
      </w:pPr>
      <w:rPr>
        <w:rFonts w:cs="Times New Roman"/>
      </w:rPr>
    </w:lvl>
    <w:lvl w:ilvl="8" w:tplc="0413001B">
      <w:start w:val="1"/>
      <w:numFmt w:val="lowerRoman"/>
      <w:lvlText w:val="%9."/>
      <w:lvlJc w:val="right"/>
      <w:pPr>
        <w:tabs>
          <w:tab w:val="num" w:pos="5760"/>
        </w:tabs>
        <w:ind w:left="5760" w:hanging="180"/>
      </w:pPr>
      <w:rPr>
        <w:rFonts w:cs="Times New Roman"/>
      </w:rPr>
    </w:lvl>
  </w:abstractNum>
  <w:abstractNum w:abstractNumId="22">
    <w:nsid w:val="5FC72771"/>
    <w:multiLevelType w:val="hybridMultilevel"/>
    <w:tmpl w:val="A7D6312C"/>
    <w:lvl w:ilvl="0" w:tplc="3A7AC83E">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nsid w:val="61647E72"/>
    <w:multiLevelType w:val="hybridMultilevel"/>
    <w:tmpl w:val="A3C693F8"/>
    <w:lvl w:ilvl="0" w:tplc="A2320A5A">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nsid w:val="69FA6546"/>
    <w:multiLevelType w:val="hybridMultilevel"/>
    <w:tmpl w:val="F190D4F0"/>
    <w:lvl w:ilvl="0" w:tplc="FB882D5A">
      <w:start w:val="2"/>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25">
    <w:nsid w:val="7159285A"/>
    <w:multiLevelType w:val="multilevel"/>
    <w:tmpl w:val="56AC849A"/>
    <w:lvl w:ilvl="0">
      <w:start w:val="1"/>
      <w:numFmt w:val="lowerLetter"/>
      <w:lvlText w:val="%1)"/>
      <w:lvlJc w:val="left"/>
      <w:pPr>
        <w:tabs>
          <w:tab w:val="num" w:pos="360"/>
        </w:tabs>
        <w:ind w:left="360" w:hanging="360"/>
      </w:pPr>
      <w:rPr>
        <w:rFonts w:cs="Times New Roman" w:hint="default"/>
      </w:rPr>
    </w:lvl>
    <w:lvl w:ilvl="1">
      <w:start w:val="1"/>
      <w:numFmt w:val="none"/>
      <w:lvlText w:val="2°"/>
      <w:lvlJc w:val="left"/>
      <w:pPr>
        <w:tabs>
          <w:tab w:val="num" w:pos="1080"/>
        </w:tabs>
        <w:ind w:left="1080" w:hanging="360"/>
      </w:pPr>
      <w:rPr>
        <w:rFonts w:cs="Times New Roman" w:hint="default"/>
      </w:rPr>
    </w:lvl>
    <w:lvl w:ilvl="2">
      <w:start w:val="2"/>
      <w:numFmt w:val="decimal"/>
      <w:lvlText w:val="%3."/>
      <w:lvlJc w:val="left"/>
      <w:pPr>
        <w:tabs>
          <w:tab w:val="num" w:pos="2325"/>
        </w:tabs>
        <w:ind w:left="2325" w:hanging="705"/>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5DE1BAA"/>
    <w:multiLevelType w:val="hybridMultilevel"/>
    <w:tmpl w:val="16A062E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7">
    <w:nsid w:val="78E37F21"/>
    <w:multiLevelType w:val="multilevel"/>
    <w:tmpl w:val="2320CB5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26"/>
  </w:num>
  <w:num w:numId="2">
    <w:abstractNumId w:val="3"/>
  </w:num>
  <w:num w:numId="3">
    <w:abstractNumId w:val="22"/>
  </w:num>
  <w:num w:numId="4">
    <w:abstractNumId w:val="25"/>
  </w:num>
  <w:num w:numId="5">
    <w:abstractNumId w:val="11"/>
  </w:num>
  <w:num w:numId="6">
    <w:abstractNumId w:val="9"/>
  </w:num>
  <w:num w:numId="7">
    <w:abstractNumId w:val="14"/>
  </w:num>
  <w:num w:numId="8">
    <w:abstractNumId w:val="21"/>
  </w:num>
  <w:num w:numId="9">
    <w:abstractNumId w:val="10"/>
  </w:num>
  <w:num w:numId="10">
    <w:abstractNumId w:val="2"/>
  </w:num>
  <w:num w:numId="11">
    <w:abstractNumId w:val="7"/>
  </w:num>
  <w:num w:numId="12">
    <w:abstractNumId w:val="23"/>
  </w:num>
  <w:num w:numId="13">
    <w:abstractNumId w:val="4"/>
  </w:num>
  <w:num w:numId="14">
    <w:abstractNumId w:val="6"/>
  </w:num>
  <w:num w:numId="15">
    <w:abstractNumId w:val="24"/>
  </w:num>
  <w:num w:numId="16">
    <w:abstractNumId w:val="12"/>
  </w:num>
  <w:num w:numId="17">
    <w:abstractNumId w:val="13"/>
  </w:num>
  <w:num w:numId="18">
    <w:abstractNumId w:val="8"/>
  </w:num>
  <w:num w:numId="19">
    <w:abstractNumId w:val="0"/>
  </w:num>
  <w:num w:numId="20">
    <w:abstractNumId w:val="15"/>
  </w:num>
  <w:num w:numId="21">
    <w:abstractNumId w:val="27"/>
  </w:num>
  <w:num w:numId="22">
    <w:abstractNumId w:val="16"/>
  </w:num>
  <w:num w:numId="23">
    <w:abstractNumId w:val="1"/>
  </w:num>
  <w:num w:numId="24">
    <w:abstractNumId w:val="18"/>
  </w:num>
  <w:num w:numId="25">
    <w:abstractNumId w:val="17"/>
  </w:num>
  <w:num w:numId="26">
    <w:abstractNumId w:val="5"/>
  </w:num>
  <w:num w:numId="27">
    <w:abstractNumId w:val="1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AC7"/>
    <w:rsid w:val="00037183"/>
    <w:rsid w:val="0006646C"/>
    <w:rsid w:val="000715DA"/>
    <w:rsid w:val="000878A6"/>
    <w:rsid w:val="0009175B"/>
    <w:rsid w:val="000B12B4"/>
    <w:rsid w:val="000B57EE"/>
    <w:rsid w:val="000D66F2"/>
    <w:rsid w:val="00104792"/>
    <w:rsid w:val="00105379"/>
    <w:rsid w:val="0010552A"/>
    <w:rsid w:val="00115B00"/>
    <w:rsid w:val="00152560"/>
    <w:rsid w:val="001667A6"/>
    <w:rsid w:val="0019264D"/>
    <w:rsid w:val="001A17C3"/>
    <w:rsid w:val="001B7E0D"/>
    <w:rsid w:val="001C05DF"/>
    <w:rsid w:val="001C0A3E"/>
    <w:rsid w:val="001C572C"/>
    <w:rsid w:val="001D01A6"/>
    <w:rsid w:val="001D5DD5"/>
    <w:rsid w:val="001F53F7"/>
    <w:rsid w:val="002120DF"/>
    <w:rsid w:val="002142A1"/>
    <w:rsid w:val="0021445E"/>
    <w:rsid w:val="00230059"/>
    <w:rsid w:val="00230DBF"/>
    <w:rsid w:val="0024797F"/>
    <w:rsid w:val="00253413"/>
    <w:rsid w:val="00270CEB"/>
    <w:rsid w:val="00275742"/>
    <w:rsid w:val="00282EC0"/>
    <w:rsid w:val="0028564E"/>
    <w:rsid w:val="002A39DB"/>
    <w:rsid w:val="002C0D82"/>
    <w:rsid w:val="002D194F"/>
    <w:rsid w:val="002E0E86"/>
    <w:rsid w:val="002E3337"/>
    <w:rsid w:val="002E482B"/>
    <w:rsid w:val="002E7B5F"/>
    <w:rsid w:val="002E7C71"/>
    <w:rsid w:val="00361F6A"/>
    <w:rsid w:val="0039251E"/>
    <w:rsid w:val="003B5132"/>
    <w:rsid w:val="003C0A29"/>
    <w:rsid w:val="003C0C23"/>
    <w:rsid w:val="003E26F4"/>
    <w:rsid w:val="003F2F5C"/>
    <w:rsid w:val="003F4A7A"/>
    <w:rsid w:val="003F5F0E"/>
    <w:rsid w:val="003F74C7"/>
    <w:rsid w:val="00421E98"/>
    <w:rsid w:val="00425539"/>
    <w:rsid w:val="00440347"/>
    <w:rsid w:val="0045460E"/>
    <w:rsid w:val="0046501B"/>
    <w:rsid w:val="004702BF"/>
    <w:rsid w:val="0049357E"/>
    <w:rsid w:val="00494FAA"/>
    <w:rsid w:val="004A2843"/>
    <w:rsid w:val="004A2E95"/>
    <w:rsid w:val="004E1497"/>
    <w:rsid w:val="004E5514"/>
    <w:rsid w:val="004E5A7D"/>
    <w:rsid w:val="0050087D"/>
    <w:rsid w:val="00540928"/>
    <w:rsid w:val="00574F9F"/>
    <w:rsid w:val="00582641"/>
    <w:rsid w:val="005A12AA"/>
    <w:rsid w:val="005A24B2"/>
    <w:rsid w:val="005B11D0"/>
    <w:rsid w:val="005B4F3B"/>
    <w:rsid w:val="005B79F3"/>
    <w:rsid w:val="005C002F"/>
    <w:rsid w:val="005C643A"/>
    <w:rsid w:val="005D7DD3"/>
    <w:rsid w:val="005E7A4C"/>
    <w:rsid w:val="006130A3"/>
    <w:rsid w:val="00615F8D"/>
    <w:rsid w:val="0063309C"/>
    <w:rsid w:val="00637657"/>
    <w:rsid w:val="00673751"/>
    <w:rsid w:val="00701649"/>
    <w:rsid w:val="00705899"/>
    <w:rsid w:val="0071108C"/>
    <w:rsid w:val="00714DF0"/>
    <w:rsid w:val="0071539F"/>
    <w:rsid w:val="00725244"/>
    <w:rsid w:val="00754B01"/>
    <w:rsid w:val="0075710F"/>
    <w:rsid w:val="007616E8"/>
    <w:rsid w:val="00776B29"/>
    <w:rsid w:val="0079355C"/>
    <w:rsid w:val="00793C52"/>
    <w:rsid w:val="007A2566"/>
    <w:rsid w:val="007A6F2C"/>
    <w:rsid w:val="007A78B3"/>
    <w:rsid w:val="007B2979"/>
    <w:rsid w:val="007B7467"/>
    <w:rsid w:val="007B7FEE"/>
    <w:rsid w:val="007C6B92"/>
    <w:rsid w:val="007C7A47"/>
    <w:rsid w:val="007F75F2"/>
    <w:rsid w:val="007F7642"/>
    <w:rsid w:val="008159C5"/>
    <w:rsid w:val="008636CF"/>
    <w:rsid w:val="00877170"/>
    <w:rsid w:val="0088348D"/>
    <w:rsid w:val="008B7F76"/>
    <w:rsid w:val="008C6BBC"/>
    <w:rsid w:val="008D099C"/>
    <w:rsid w:val="008E131B"/>
    <w:rsid w:val="008F7DB3"/>
    <w:rsid w:val="00907817"/>
    <w:rsid w:val="00927F77"/>
    <w:rsid w:val="0093147A"/>
    <w:rsid w:val="009469BC"/>
    <w:rsid w:val="00977127"/>
    <w:rsid w:val="00977C61"/>
    <w:rsid w:val="00980FAF"/>
    <w:rsid w:val="009B72AE"/>
    <w:rsid w:val="009D57D4"/>
    <w:rsid w:val="009E0016"/>
    <w:rsid w:val="009F44B6"/>
    <w:rsid w:val="009F7119"/>
    <w:rsid w:val="00A04ACB"/>
    <w:rsid w:val="00A05C70"/>
    <w:rsid w:val="00A36D14"/>
    <w:rsid w:val="00A539CF"/>
    <w:rsid w:val="00A576FB"/>
    <w:rsid w:val="00A623D8"/>
    <w:rsid w:val="00A865E3"/>
    <w:rsid w:val="00AA0829"/>
    <w:rsid w:val="00AA6BEF"/>
    <w:rsid w:val="00AD3003"/>
    <w:rsid w:val="00AE0534"/>
    <w:rsid w:val="00AE1FB0"/>
    <w:rsid w:val="00AE3A24"/>
    <w:rsid w:val="00B00EE9"/>
    <w:rsid w:val="00B04D6E"/>
    <w:rsid w:val="00B16B60"/>
    <w:rsid w:val="00B33706"/>
    <w:rsid w:val="00B37893"/>
    <w:rsid w:val="00B505D8"/>
    <w:rsid w:val="00B51069"/>
    <w:rsid w:val="00B94B6D"/>
    <w:rsid w:val="00B9781A"/>
    <w:rsid w:val="00BB0010"/>
    <w:rsid w:val="00BC1E25"/>
    <w:rsid w:val="00BC2AC7"/>
    <w:rsid w:val="00BF1409"/>
    <w:rsid w:val="00C032A6"/>
    <w:rsid w:val="00C06F00"/>
    <w:rsid w:val="00C07257"/>
    <w:rsid w:val="00C13DB1"/>
    <w:rsid w:val="00C14765"/>
    <w:rsid w:val="00C26363"/>
    <w:rsid w:val="00CA02E5"/>
    <w:rsid w:val="00CE3978"/>
    <w:rsid w:val="00D212F2"/>
    <w:rsid w:val="00D25D87"/>
    <w:rsid w:val="00D308C7"/>
    <w:rsid w:val="00D47100"/>
    <w:rsid w:val="00D56B74"/>
    <w:rsid w:val="00D64FFB"/>
    <w:rsid w:val="00D74DFA"/>
    <w:rsid w:val="00DB77D7"/>
    <w:rsid w:val="00DC721A"/>
    <w:rsid w:val="00DF5388"/>
    <w:rsid w:val="00E11F8A"/>
    <w:rsid w:val="00E17C06"/>
    <w:rsid w:val="00E20860"/>
    <w:rsid w:val="00E330A3"/>
    <w:rsid w:val="00E4496B"/>
    <w:rsid w:val="00E4520D"/>
    <w:rsid w:val="00E5359D"/>
    <w:rsid w:val="00E76F83"/>
    <w:rsid w:val="00E865AC"/>
    <w:rsid w:val="00E91E7B"/>
    <w:rsid w:val="00EA45C1"/>
    <w:rsid w:val="00EB3E4B"/>
    <w:rsid w:val="00EC45AB"/>
    <w:rsid w:val="00ED5532"/>
    <w:rsid w:val="00EE0962"/>
    <w:rsid w:val="00EF03B1"/>
    <w:rsid w:val="00EF50E4"/>
    <w:rsid w:val="00F02680"/>
    <w:rsid w:val="00F058D8"/>
    <w:rsid w:val="00F21C2A"/>
    <w:rsid w:val="00F21CB3"/>
    <w:rsid w:val="00F36B18"/>
    <w:rsid w:val="00F5310B"/>
    <w:rsid w:val="00F55CFC"/>
    <w:rsid w:val="00F73463"/>
    <w:rsid w:val="00F90025"/>
    <w:rsid w:val="00F97551"/>
    <w:rsid w:val="00FA2704"/>
    <w:rsid w:val="00FA6FBF"/>
    <w:rsid w:val="00FB0A49"/>
    <w:rsid w:val="00FB39C9"/>
    <w:rsid w:val="00FC4B84"/>
    <w:rsid w:val="00FE05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7"/>
    <w:rPr>
      <w:sz w:val="24"/>
      <w:szCs w:val="24"/>
      <w:lang w:val="nl-NL" w:eastAsia="nl-NL"/>
    </w:rPr>
  </w:style>
  <w:style w:type="paragraph" w:styleId="Heading3">
    <w:name w:val="heading 3"/>
    <w:basedOn w:val="Normal"/>
    <w:next w:val="Normal"/>
    <w:link w:val="Heading3Char"/>
    <w:uiPriority w:val="99"/>
    <w:qFormat/>
    <w:rsid w:val="0063309C"/>
    <w:pPr>
      <w:keepNext/>
      <w:spacing w:before="240" w:after="60"/>
      <w:outlineLvl w:val="2"/>
    </w:pPr>
    <w:rPr>
      <w:rFonts w:ascii="Courier New" w:hAnsi="Courier New" w:cs="Courier New"/>
      <w:b/>
      <w:bCs/>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B0010"/>
    <w:rPr>
      <w:rFonts w:ascii="Cambria" w:hAnsi="Cambria" w:cs="Cambria"/>
      <w:b/>
      <w:bCs/>
      <w:sz w:val="26"/>
      <w:szCs w:val="26"/>
      <w:lang w:val="nl-NL" w:eastAsia="nl-NL"/>
    </w:rPr>
  </w:style>
  <w:style w:type="paragraph" w:styleId="Title">
    <w:name w:val="Title"/>
    <w:basedOn w:val="Normal"/>
    <w:link w:val="TitleChar"/>
    <w:uiPriority w:val="99"/>
    <w:qFormat/>
    <w:rsid w:val="00BC2AC7"/>
    <w:pPr>
      <w:jc w:val="center"/>
    </w:pPr>
    <w:rPr>
      <w:rFonts w:ascii="Garamond" w:hAnsi="Garamond" w:cs="Garamond"/>
      <w:b/>
      <w:bCs/>
      <w:sz w:val="22"/>
      <w:szCs w:val="22"/>
    </w:rPr>
  </w:style>
  <w:style w:type="character" w:customStyle="1" w:styleId="TitleChar">
    <w:name w:val="Title Char"/>
    <w:basedOn w:val="DefaultParagraphFont"/>
    <w:link w:val="Title"/>
    <w:uiPriority w:val="99"/>
    <w:locked/>
    <w:rsid w:val="00BB0010"/>
    <w:rPr>
      <w:rFonts w:ascii="Cambria" w:hAnsi="Cambria" w:cs="Cambria"/>
      <w:b/>
      <w:bCs/>
      <w:kern w:val="28"/>
      <w:sz w:val="32"/>
      <w:szCs w:val="32"/>
      <w:lang w:val="nl-NL" w:eastAsia="nl-NL"/>
    </w:rPr>
  </w:style>
  <w:style w:type="paragraph" w:customStyle="1" w:styleId="StandaardSV">
    <w:name w:val="Standaard SV"/>
    <w:basedOn w:val="Normal"/>
    <w:uiPriority w:val="99"/>
    <w:rsid w:val="00BC2AC7"/>
    <w:pPr>
      <w:jc w:val="both"/>
    </w:pPr>
    <w:rPr>
      <w:sz w:val="22"/>
      <w:szCs w:val="22"/>
    </w:rPr>
  </w:style>
  <w:style w:type="paragraph" w:styleId="BalloonText">
    <w:name w:val="Balloon Text"/>
    <w:basedOn w:val="Normal"/>
    <w:link w:val="BalloonTextChar"/>
    <w:uiPriority w:val="99"/>
    <w:semiHidden/>
    <w:rsid w:val="00B37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010"/>
    <w:rPr>
      <w:rFonts w:cs="Times New Roman"/>
      <w:sz w:val="2"/>
      <w:szCs w:val="2"/>
      <w:lang w:val="nl-NL" w:eastAsia="nl-NL"/>
    </w:rPr>
  </w:style>
  <w:style w:type="table" w:styleId="TableGrid">
    <w:name w:val="Table Grid"/>
    <w:basedOn w:val="TableNormal"/>
    <w:uiPriority w:val="99"/>
    <w:rsid w:val="005E7A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9264D"/>
    <w:pPr>
      <w:tabs>
        <w:tab w:val="center" w:pos="4536"/>
        <w:tab w:val="right" w:pos="9072"/>
      </w:tabs>
    </w:pPr>
    <w:rPr>
      <w:rFonts w:ascii="Courier New" w:hAnsi="Courier New" w:cs="Courier New"/>
      <w:sz w:val="20"/>
      <w:szCs w:val="20"/>
    </w:rPr>
  </w:style>
  <w:style w:type="character" w:customStyle="1" w:styleId="HeaderChar">
    <w:name w:val="Header Char"/>
    <w:basedOn w:val="DefaultParagraphFont"/>
    <w:link w:val="Header"/>
    <w:uiPriority w:val="99"/>
    <w:semiHidden/>
    <w:locked/>
    <w:rsid w:val="00BB0010"/>
    <w:rPr>
      <w:rFonts w:cs="Times New Roman"/>
      <w:sz w:val="24"/>
      <w:szCs w:val="24"/>
      <w:lang w:val="nl-NL" w:eastAsia="nl-NL"/>
    </w:rPr>
  </w:style>
  <w:style w:type="paragraph" w:styleId="BodyText2">
    <w:name w:val="Body Text 2"/>
    <w:basedOn w:val="Normal"/>
    <w:link w:val="BodyText2Char"/>
    <w:uiPriority w:val="99"/>
    <w:rsid w:val="0063309C"/>
    <w:pPr>
      <w:jc w:val="both"/>
    </w:pPr>
    <w:rPr>
      <w:rFonts w:ascii="Arial" w:hAnsi="Arial" w:cs="Arial"/>
      <w:b/>
      <w:bCs/>
      <w:sz w:val="28"/>
      <w:szCs w:val="28"/>
      <w:lang w:val="nl-BE"/>
    </w:rPr>
  </w:style>
  <w:style w:type="character" w:customStyle="1" w:styleId="BodyText2Char">
    <w:name w:val="Body Text 2 Char"/>
    <w:basedOn w:val="DefaultParagraphFont"/>
    <w:link w:val="BodyText2"/>
    <w:uiPriority w:val="99"/>
    <w:semiHidden/>
    <w:locked/>
    <w:rsid w:val="00BB0010"/>
    <w:rPr>
      <w:rFonts w:cs="Times New Roman"/>
      <w:sz w:val="24"/>
      <w:szCs w:val="24"/>
      <w:lang w:val="nl-NL" w:eastAsia="nl-NL"/>
    </w:rPr>
  </w:style>
  <w:style w:type="paragraph" w:styleId="BodyText3">
    <w:name w:val="Body Text 3"/>
    <w:basedOn w:val="Normal"/>
    <w:link w:val="BodyText3Char"/>
    <w:uiPriority w:val="99"/>
    <w:rsid w:val="008E131B"/>
    <w:pPr>
      <w:spacing w:after="120"/>
    </w:pPr>
    <w:rPr>
      <w:sz w:val="16"/>
      <w:szCs w:val="16"/>
    </w:rPr>
  </w:style>
  <w:style w:type="character" w:customStyle="1" w:styleId="BodyText3Char">
    <w:name w:val="Body Text 3 Char"/>
    <w:basedOn w:val="DefaultParagraphFont"/>
    <w:link w:val="BodyText3"/>
    <w:uiPriority w:val="99"/>
    <w:semiHidden/>
    <w:locked/>
    <w:rsid w:val="00BB0010"/>
    <w:rPr>
      <w:rFonts w:cs="Times New Roman"/>
      <w:sz w:val="16"/>
      <w:szCs w:val="16"/>
      <w:lang w:val="nl-NL" w:eastAsia="nl-NL"/>
    </w:rPr>
  </w:style>
  <w:style w:type="paragraph" w:styleId="DocumentMap">
    <w:name w:val="Document Map"/>
    <w:basedOn w:val="Normal"/>
    <w:link w:val="DocumentMapChar"/>
    <w:uiPriority w:val="99"/>
    <w:semiHidden/>
    <w:rsid w:val="0058264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B0010"/>
    <w:rPr>
      <w:rFonts w:cs="Times New Roman"/>
      <w:sz w:val="2"/>
      <w:szCs w:val="2"/>
      <w:lang w:val="nl-NL" w:eastAsia="nl-NL"/>
    </w:rPr>
  </w:style>
</w:styles>
</file>

<file path=word/webSettings.xml><?xml version="1.0" encoding="utf-8"?>
<w:webSettings xmlns:r="http://schemas.openxmlformats.org/officeDocument/2006/relationships" xmlns:w="http://schemas.openxmlformats.org/wordprocessingml/2006/main">
  <w:divs>
    <w:div w:id="812403309">
      <w:marLeft w:val="0"/>
      <w:marRight w:val="0"/>
      <w:marTop w:val="0"/>
      <w:marBottom w:val="0"/>
      <w:divBdr>
        <w:top w:val="none" w:sz="0" w:space="0" w:color="auto"/>
        <w:left w:val="none" w:sz="0" w:space="0" w:color="auto"/>
        <w:bottom w:val="none" w:sz="0" w:space="0" w:color="auto"/>
        <w:right w:val="none" w:sz="0" w:space="0" w:color="auto"/>
      </w:divBdr>
    </w:div>
    <w:div w:id="812403310">
      <w:marLeft w:val="0"/>
      <w:marRight w:val="0"/>
      <w:marTop w:val="0"/>
      <w:marBottom w:val="0"/>
      <w:divBdr>
        <w:top w:val="none" w:sz="0" w:space="0" w:color="auto"/>
        <w:left w:val="none" w:sz="0" w:space="0" w:color="auto"/>
        <w:bottom w:val="none" w:sz="0" w:space="0" w:color="auto"/>
        <w:right w:val="none" w:sz="0" w:space="0" w:color="auto"/>
      </w:divBdr>
    </w:div>
    <w:div w:id="812403311">
      <w:marLeft w:val="0"/>
      <w:marRight w:val="0"/>
      <w:marTop w:val="0"/>
      <w:marBottom w:val="0"/>
      <w:divBdr>
        <w:top w:val="none" w:sz="0" w:space="0" w:color="auto"/>
        <w:left w:val="none" w:sz="0" w:space="0" w:color="auto"/>
        <w:bottom w:val="none" w:sz="0" w:space="0" w:color="auto"/>
        <w:right w:val="none" w:sz="0" w:space="0" w:color="auto"/>
      </w:divBdr>
    </w:div>
    <w:div w:id="812403312">
      <w:marLeft w:val="0"/>
      <w:marRight w:val="0"/>
      <w:marTop w:val="0"/>
      <w:marBottom w:val="0"/>
      <w:divBdr>
        <w:top w:val="none" w:sz="0" w:space="0" w:color="auto"/>
        <w:left w:val="none" w:sz="0" w:space="0" w:color="auto"/>
        <w:bottom w:val="none" w:sz="0" w:space="0" w:color="auto"/>
        <w:right w:val="none" w:sz="0" w:space="0" w:color="auto"/>
      </w:divBdr>
    </w:div>
    <w:div w:id="812403313">
      <w:marLeft w:val="0"/>
      <w:marRight w:val="0"/>
      <w:marTop w:val="0"/>
      <w:marBottom w:val="0"/>
      <w:divBdr>
        <w:top w:val="none" w:sz="0" w:space="0" w:color="auto"/>
        <w:left w:val="none" w:sz="0" w:space="0" w:color="auto"/>
        <w:bottom w:val="none" w:sz="0" w:space="0" w:color="auto"/>
        <w:right w:val="none" w:sz="0" w:space="0" w:color="auto"/>
      </w:divBdr>
    </w:div>
    <w:div w:id="812403314">
      <w:marLeft w:val="0"/>
      <w:marRight w:val="0"/>
      <w:marTop w:val="0"/>
      <w:marBottom w:val="0"/>
      <w:divBdr>
        <w:top w:val="none" w:sz="0" w:space="0" w:color="auto"/>
        <w:left w:val="none" w:sz="0" w:space="0" w:color="auto"/>
        <w:bottom w:val="none" w:sz="0" w:space="0" w:color="auto"/>
        <w:right w:val="none" w:sz="0" w:space="0" w:color="auto"/>
      </w:divBdr>
    </w:div>
    <w:div w:id="812403315">
      <w:marLeft w:val="0"/>
      <w:marRight w:val="0"/>
      <w:marTop w:val="0"/>
      <w:marBottom w:val="0"/>
      <w:divBdr>
        <w:top w:val="none" w:sz="0" w:space="0" w:color="auto"/>
        <w:left w:val="none" w:sz="0" w:space="0" w:color="auto"/>
        <w:bottom w:val="none" w:sz="0" w:space="0" w:color="auto"/>
        <w:right w:val="none" w:sz="0" w:space="0" w:color="auto"/>
      </w:divBdr>
    </w:div>
    <w:div w:id="812403316">
      <w:marLeft w:val="0"/>
      <w:marRight w:val="0"/>
      <w:marTop w:val="0"/>
      <w:marBottom w:val="0"/>
      <w:divBdr>
        <w:top w:val="none" w:sz="0" w:space="0" w:color="auto"/>
        <w:left w:val="none" w:sz="0" w:space="0" w:color="auto"/>
        <w:bottom w:val="none" w:sz="0" w:space="0" w:color="auto"/>
        <w:right w:val="none" w:sz="0" w:space="0" w:color="auto"/>
      </w:divBdr>
    </w:div>
    <w:div w:id="812403317">
      <w:marLeft w:val="0"/>
      <w:marRight w:val="0"/>
      <w:marTop w:val="0"/>
      <w:marBottom w:val="0"/>
      <w:divBdr>
        <w:top w:val="none" w:sz="0" w:space="0" w:color="auto"/>
        <w:left w:val="none" w:sz="0" w:space="0" w:color="auto"/>
        <w:bottom w:val="none" w:sz="0" w:space="0" w:color="auto"/>
        <w:right w:val="none" w:sz="0" w:space="0" w:color="auto"/>
      </w:divBdr>
    </w:div>
    <w:div w:id="812403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1150</Words>
  <Characters>6330</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JANSSENS</dc:title>
  <dc:subject/>
  <dc:creator>Marc Beckers</dc:creator>
  <cp:keywords/>
  <dc:description/>
  <cp:lastModifiedBy>Robert Willems</cp:lastModifiedBy>
  <cp:revision>9</cp:revision>
  <cp:lastPrinted>2009-09-08T12:35:00Z</cp:lastPrinted>
  <dcterms:created xsi:type="dcterms:W3CDTF">2009-09-08T12:32:00Z</dcterms:created>
  <dcterms:modified xsi:type="dcterms:W3CDTF">2009-09-11T13:59:00Z</dcterms:modified>
</cp:coreProperties>
</file>