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D326" w14:textId="77777777" w:rsidR="00214C83" w:rsidRPr="009E1210" w:rsidRDefault="00214C83" w:rsidP="006B29A6">
      <w:pPr>
        <w:jc w:val="both"/>
        <w:outlineLvl w:val="0"/>
        <w:rPr>
          <w:rFonts w:ascii="Verdana" w:hAnsi="Verdana"/>
          <w:b/>
          <w:smallCaps/>
          <w:sz w:val="20"/>
          <w:lang w:val="nl-BE"/>
        </w:rPr>
      </w:pPr>
      <w:r w:rsidRPr="009E1210">
        <w:rPr>
          <w:rFonts w:ascii="Verdana" w:hAnsi="Verdana"/>
          <w:b/>
          <w:smallCaps/>
          <w:sz w:val="20"/>
          <w:lang w:val="nl-BE"/>
        </w:rPr>
        <w:t xml:space="preserve">jan jambon </w:t>
      </w:r>
    </w:p>
    <w:p w14:paraId="4C6B084F" w14:textId="77777777" w:rsidR="00214C83" w:rsidRPr="00CC7F21" w:rsidRDefault="00214C83" w:rsidP="006B29A6">
      <w:pPr>
        <w:jc w:val="both"/>
        <w:rPr>
          <w:rFonts w:ascii="Verdana" w:hAnsi="Verdana"/>
          <w:smallCaps/>
          <w:sz w:val="20"/>
          <w:lang w:val="nl-BE"/>
        </w:rPr>
      </w:pPr>
      <w:r w:rsidRPr="009E1210">
        <w:rPr>
          <w:rFonts w:ascii="Verdana" w:hAnsi="Verdana"/>
          <w:smallCaps/>
          <w:sz w:val="20"/>
          <w:lang w:val="nl-BE"/>
        </w:rPr>
        <w:t>minister-president van de vlaamse regering, vlaams minister van buitenlandse zaken, cultuur, digitalisering en facilitair management</w:t>
      </w:r>
    </w:p>
    <w:p w14:paraId="412A9EAF" w14:textId="77777777" w:rsidR="00214C83" w:rsidRPr="00CC7F21" w:rsidRDefault="00214C83" w:rsidP="006B29A6">
      <w:pPr>
        <w:pStyle w:val="StandaardSV"/>
        <w:pBdr>
          <w:bottom w:val="single" w:sz="4" w:space="1" w:color="auto"/>
        </w:pBdr>
        <w:rPr>
          <w:rFonts w:ascii="Verdana" w:hAnsi="Verdana"/>
          <w:sz w:val="20"/>
          <w:lang w:val="nl-BE"/>
        </w:rPr>
      </w:pPr>
    </w:p>
    <w:p w14:paraId="1B166D34" w14:textId="77777777" w:rsidR="00214C83" w:rsidRPr="00CC7F21" w:rsidRDefault="00214C83" w:rsidP="006B29A6">
      <w:pPr>
        <w:jc w:val="both"/>
        <w:rPr>
          <w:rFonts w:ascii="Verdana" w:hAnsi="Verdana"/>
          <w:sz w:val="20"/>
        </w:rPr>
      </w:pPr>
    </w:p>
    <w:p w14:paraId="46681E42" w14:textId="77777777" w:rsidR="00214C83" w:rsidRPr="009E1210" w:rsidRDefault="00214C83" w:rsidP="006B29A6">
      <w:pPr>
        <w:jc w:val="both"/>
        <w:outlineLvl w:val="0"/>
        <w:rPr>
          <w:rFonts w:ascii="Verdana" w:hAnsi="Verdana"/>
          <w:sz w:val="20"/>
          <w:lang w:val="nl-BE"/>
        </w:rPr>
      </w:pPr>
      <w:r>
        <w:rPr>
          <w:rFonts w:ascii="Verdana" w:hAnsi="Verdana"/>
          <w:b/>
          <w:smallCaps/>
          <w:sz w:val="20"/>
          <w:lang w:val="nl-BE"/>
        </w:rPr>
        <w:t>antwoord</w:t>
      </w:r>
    </w:p>
    <w:p w14:paraId="235DB6ED" w14:textId="77777777" w:rsidR="00214C83" w:rsidRPr="009E1210" w:rsidRDefault="00214C83" w:rsidP="006B29A6">
      <w:pPr>
        <w:jc w:val="both"/>
        <w:outlineLvl w:val="0"/>
        <w:rPr>
          <w:rFonts w:ascii="Verdana" w:hAnsi="Verdana"/>
          <w:sz w:val="20"/>
        </w:rPr>
      </w:pPr>
      <w:r w:rsidRPr="009E1210">
        <w:rPr>
          <w:rFonts w:ascii="Verdana" w:hAnsi="Verdana"/>
          <w:sz w:val="20"/>
        </w:rPr>
        <w:t xml:space="preserve">op vraag nr. </w:t>
      </w:r>
      <w:r>
        <w:rPr>
          <w:rFonts w:ascii="Verdana" w:hAnsi="Verdana"/>
          <w:sz w:val="20"/>
        </w:rPr>
        <w:t>443</w:t>
      </w:r>
      <w:r w:rsidRPr="009E1210">
        <w:rPr>
          <w:rFonts w:ascii="Verdana" w:hAnsi="Verdana"/>
          <w:sz w:val="20"/>
        </w:rPr>
        <w:t xml:space="preserve"> van </w:t>
      </w:r>
      <w:r>
        <w:rPr>
          <w:rFonts w:ascii="Verdana" w:hAnsi="Verdana"/>
          <w:sz w:val="20"/>
        </w:rPr>
        <w:t>1 september 2021</w:t>
      </w:r>
    </w:p>
    <w:p w14:paraId="5D3F599E" w14:textId="77777777" w:rsidR="00214C83" w:rsidRPr="00CC7F21" w:rsidRDefault="00214C83" w:rsidP="006B29A6">
      <w:pPr>
        <w:jc w:val="both"/>
        <w:rPr>
          <w:rFonts w:ascii="Verdana" w:hAnsi="Verdana"/>
          <w:b/>
          <w:sz w:val="20"/>
        </w:rPr>
      </w:pPr>
      <w:r w:rsidRPr="009E1210">
        <w:rPr>
          <w:rFonts w:ascii="Verdana" w:hAnsi="Verdana"/>
          <w:sz w:val="20"/>
        </w:rPr>
        <w:t xml:space="preserve">van </w:t>
      </w:r>
      <w:r>
        <w:rPr>
          <w:rFonts w:ascii="Verdana" w:hAnsi="Verdana"/>
          <w:b/>
          <w:smallCaps/>
          <w:sz w:val="20"/>
        </w:rPr>
        <w:t>cathy coudyser</w:t>
      </w:r>
    </w:p>
    <w:p w14:paraId="625DF317" w14:textId="77777777" w:rsidR="00214C83" w:rsidRPr="00CC7F21" w:rsidRDefault="00214C83" w:rsidP="006B29A6">
      <w:pPr>
        <w:pBdr>
          <w:bottom w:val="single" w:sz="4" w:space="1" w:color="auto"/>
        </w:pBdr>
        <w:jc w:val="both"/>
        <w:rPr>
          <w:rFonts w:ascii="Verdana" w:hAnsi="Verdana"/>
          <w:sz w:val="20"/>
        </w:rPr>
      </w:pPr>
    </w:p>
    <w:p w14:paraId="49439A63" w14:textId="77777777" w:rsidR="00214C83" w:rsidRPr="00CC7F21" w:rsidRDefault="00214C83" w:rsidP="006B29A6">
      <w:pPr>
        <w:pStyle w:val="StandaardSV"/>
        <w:rPr>
          <w:rFonts w:ascii="Verdana" w:hAnsi="Verdana"/>
          <w:sz w:val="20"/>
        </w:rPr>
      </w:pPr>
    </w:p>
    <w:p w14:paraId="4186AA6C" w14:textId="77777777" w:rsidR="00214C83" w:rsidRPr="00CC7F21" w:rsidRDefault="00214C83" w:rsidP="006B29A6">
      <w:pPr>
        <w:pStyle w:val="StandaardSV"/>
        <w:rPr>
          <w:rFonts w:ascii="Verdana" w:hAnsi="Verdana"/>
          <w:sz w:val="20"/>
        </w:rPr>
      </w:pPr>
    </w:p>
    <w:p w14:paraId="3F4C56F3" w14:textId="77777777" w:rsidR="00522D5A" w:rsidRPr="00522D5A" w:rsidRDefault="00522D5A" w:rsidP="006B29A6">
      <w:pPr>
        <w:numPr>
          <w:ilvl w:val="0"/>
          <w:numId w:val="46"/>
        </w:numPr>
        <w:contextualSpacing/>
        <w:jc w:val="both"/>
        <w:rPr>
          <w:rFonts w:ascii="Verdana" w:eastAsia="Calibri" w:hAnsi="Verdana"/>
          <w:b/>
          <w:bCs/>
          <w:color w:val="FF0000"/>
          <w:sz w:val="20"/>
          <w:lang w:val="nl-BE" w:eastAsia="en-US"/>
        </w:rPr>
      </w:pPr>
      <w:r w:rsidRPr="00522D5A">
        <w:rPr>
          <w:rFonts w:ascii="Verdana" w:eastAsia="Calibri" w:hAnsi="Verdana"/>
          <w:sz w:val="20"/>
          <w:lang w:val="nl-BE" w:eastAsia="en-US"/>
        </w:rPr>
        <w:t xml:space="preserve">Het overzicht van de testevenementen die plaatsvonden zit in bijlage. De ene tabel geeft alle testevenementen weer vanuit het voorjaar. De andere de testevenementen die specifiek deze zomer plaatsvonden. In totaal zijn er 18 evenementen ingediend in de brede vrijetijdssectoren cultuur, sport en toerisme. </w:t>
      </w:r>
    </w:p>
    <w:p w14:paraId="6EB07D9E" w14:textId="77777777" w:rsidR="00522D5A" w:rsidRPr="00522D5A" w:rsidRDefault="00522D5A" w:rsidP="006B29A6">
      <w:pPr>
        <w:ind w:left="720"/>
        <w:contextualSpacing/>
        <w:jc w:val="both"/>
        <w:rPr>
          <w:rFonts w:ascii="Verdana" w:eastAsia="Calibri" w:hAnsi="Verdana"/>
          <w:sz w:val="20"/>
          <w:lang w:val="nl-BE" w:eastAsia="en-US"/>
        </w:rPr>
      </w:pPr>
    </w:p>
    <w:p w14:paraId="03D01255" w14:textId="77777777" w:rsidR="00522D5A" w:rsidRPr="00522D5A" w:rsidRDefault="00522D5A" w:rsidP="006B29A6">
      <w:pPr>
        <w:numPr>
          <w:ilvl w:val="0"/>
          <w:numId w:val="46"/>
        </w:numPr>
        <w:contextualSpacing/>
        <w:jc w:val="both"/>
        <w:rPr>
          <w:rFonts w:ascii="Verdana" w:eastAsia="Calibri" w:hAnsi="Verdana"/>
          <w:sz w:val="20"/>
          <w:lang w:val="nl-BE" w:eastAsia="en-US"/>
        </w:rPr>
      </w:pPr>
      <w:r w:rsidRPr="00522D5A">
        <w:rPr>
          <w:rFonts w:ascii="Verdana" w:eastAsia="Calibri" w:hAnsi="Verdana"/>
          <w:sz w:val="20"/>
          <w:lang w:val="nl-BE" w:eastAsia="en-US"/>
        </w:rPr>
        <w:t xml:space="preserve">De Vlaamse insteek was de voorbije maanden om wel zoveel als mogelijk toe te laten maar tegelijk ook te vermijden dat testevenementen de echte opening van de sector zouden blokkeren of vertragen. Omdat de voorwaarden die vanuit het coronacommissariaat gesteld worden om een testevenement te organiseren veeleisend waren voor organisatoren (o.a. pré- en </w:t>
      </w:r>
      <w:proofErr w:type="spellStart"/>
      <w:r w:rsidRPr="00522D5A">
        <w:rPr>
          <w:rFonts w:ascii="Verdana" w:eastAsia="Calibri" w:hAnsi="Verdana"/>
          <w:sz w:val="20"/>
          <w:lang w:val="nl-BE" w:eastAsia="en-US"/>
        </w:rPr>
        <w:t>posttesting</w:t>
      </w:r>
      <w:proofErr w:type="spellEnd"/>
      <w:r w:rsidRPr="00522D5A">
        <w:rPr>
          <w:rFonts w:ascii="Verdana" w:eastAsia="Calibri" w:hAnsi="Verdana"/>
          <w:sz w:val="20"/>
          <w:lang w:val="nl-BE" w:eastAsia="en-US"/>
        </w:rPr>
        <w:t xml:space="preserve"> als belangrijke voorwaarde) en doordat er vanuit de overheid geen subsidiëring werd voorzien, heeft dit vele organisatoren afgeschrikt om effectief een testevenement te gaan organiseren. </w:t>
      </w:r>
    </w:p>
    <w:p w14:paraId="605C0B23" w14:textId="77777777" w:rsidR="00522D5A" w:rsidRPr="00522D5A" w:rsidRDefault="00522D5A" w:rsidP="006B29A6">
      <w:pPr>
        <w:ind w:left="720"/>
        <w:contextualSpacing/>
        <w:jc w:val="both"/>
        <w:rPr>
          <w:rFonts w:ascii="Verdana" w:eastAsia="Calibri" w:hAnsi="Verdana"/>
          <w:sz w:val="20"/>
          <w:lang w:val="nl-BE" w:eastAsia="en-US"/>
        </w:rPr>
      </w:pPr>
    </w:p>
    <w:p w14:paraId="462429C3" w14:textId="77777777" w:rsidR="00522D5A" w:rsidRPr="00522D5A" w:rsidRDefault="00522D5A" w:rsidP="006B29A6">
      <w:pPr>
        <w:ind w:left="360"/>
        <w:contextualSpacing/>
        <w:jc w:val="both"/>
        <w:rPr>
          <w:rFonts w:ascii="Verdana" w:eastAsia="Calibri" w:hAnsi="Verdana"/>
          <w:sz w:val="20"/>
          <w:lang w:val="nl-BE" w:eastAsia="en-US"/>
        </w:rPr>
      </w:pPr>
      <w:r w:rsidRPr="00522D5A">
        <w:rPr>
          <w:rFonts w:ascii="Verdana" w:eastAsia="Calibri" w:hAnsi="Verdana"/>
          <w:sz w:val="20"/>
          <w:lang w:val="nl-BE" w:eastAsia="en-US"/>
        </w:rPr>
        <w:t xml:space="preserve">Aanvragen die bij Vlaanderen binnenkwamen werden vooral gescreend op de relevantie van hun onderzoeksvraag waarbij de nodige info verzameld en doorgegeven werd aan het commissariaat die een uiteindelijk advies afleverde, waarna de federale minister van Volksgezondheid en de federale minister van Binnenlandse zaken akkoord dienden te gaan. </w:t>
      </w:r>
    </w:p>
    <w:p w14:paraId="7462F4D4" w14:textId="77777777" w:rsidR="00522D5A" w:rsidRPr="00522D5A" w:rsidRDefault="00522D5A" w:rsidP="006B29A6">
      <w:pPr>
        <w:ind w:left="720"/>
        <w:contextualSpacing/>
        <w:jc w:val="both"/>
        <w:rPr>
          <w:rFonts w:ascii="Verdana" w:eastAsia="Calibri" w:hAnsi="Verdana"/>
          <w:sz w:val="20"/>
          <w:lang w:val="nl-BE" w:eastAsia="en-US"/>
        </w:rPr>
      </w:pPr>
    </w:p>
    <w:p w14:paraId="135764CD" w14:textId="77777777" w:rsidR="00522D5A" w:rsidRPr="00522D5A" w:rsidRDefault="00522D5A" w:rsidP="006B29A6">
      <w:pPr>
        <w:numPr>
          <w:ilvl w:val="0"/>
          <w:numId w:val="46"/>
        </w:numPr>
        <w:contextualSpacing/>
        <w:jc w:val="both"/>
        <w:rPr>
          <w:rFonts w:ascii="Verdana" w:eastAsia="Calibri" w:hAnsi="Verdana"/>
          <w:sz w:val="20"/>
          <w:lang w:val="nl-BE" w:eastAsia="en-US"/>
        </w:rPr>
      </w:pPr>
      <w:r w:rsidRPr="00522D5A">
        <w:rPr>
          <w:rFonts w:ascii="Verdana" w:eastAsia="Calibri" w:hAnsi="Verdana"/>
          <w:sz w:val="20"/>
          <w:lang w:val="nl-BE" w:eastAsia="en-US"/>
        </w:rPr>
        <w:t>Zie bijlage. De ingediende aanvragen, die positief geadviseerd werden vanuit Vlaanderen en dus ingestuurd werden bij het coronacommissariaat kregen uiteindelijk ook steeds groen licht om plaats te vinden. De voorwaarde om te kunnen plaatsvinden is dat er een finaal akkoord is dus de bevoegde gemeenschapsminister en de federale ministers van Volksgezondheid en Binnenlandse Zaken.</w:t>
      </w:r>
    </w:p>
    <w:p w14:paraId="1AC2C2A6" w14:textId="77777777" w:rsidR="00522D5A" w:rsidRPr="00522D5A" w:rsidRDefault="00522D5A" w:rsidP="006B29A6">
      <w:pPr>
        <w:ind w:left="708"/>
        <w:contextualSpacing/>
        <w:jc w:val="both"/>
        <w:rPr>
          <w:rFonts w:ascii="Verdana" w:eastAsia="Calibri" w:hAnsi="Verdana"/>
          <w:sz w:val="20"/>
          <w:lang w:val="nl-BE" w:eastAsia="en-US"/>
        </w:rPr>
      </w:pPr>
    </w:p>
    <w:p w14:paraId="3CB21A4B" w14:textId="77777777" w:rsidR="00522D5A" w:rsidRPr="00522D5A" w:rsidRDefault="00522D5A" w:rsidP="006B29A6">
      <w:pPr>
        <w:numPr>
          <w:ilvl w:val="0"/>
          <w:numId w:val="46"/>
        </w:numPr>
        <w:contextualSpacing/>
        <w:jc w:val="both"/>
        <w:rPr>
          <w:rFonts w:ascii="Verdana" w:eastAsia="Calibri" w:hAnsi="Verdana"/>
          <w:sz w:val="20"/>
          <w:lang w:val="nl-BE" w:eastAsia="en-US"/>
        </w:rPr>
      </w:pPr>
      <w:r w:rsidRPr="00522D5A">
        <w:rPr>
          <w:rFonts w:ascii="Verdana" w:eastAsia="Calibri" w:hAnsi="Verdana"/>
          <w:sz w:val="20"/>
          <w:lang w:val="nl-BE" w:eastAsia="en-US"/>
        </w:rPr>
        <w:t xml:space="preserve">De concrete onderzoeksvragen kan u ook vinden in de bijlagen. Deze gingen van telmethodes, meten van de luchtkwaliteit, logistieke vraagstukken, ventilatie, uittesten van het covid-19-certificaat, </w:t>
      </w:r>
      <w:proofErr w:type="spellStart"/>
      <w:r w:rsidRPr="00522D5A">
        <w:rPr>
          <w:rFonts w:ascii="Verdana" w:eastAsia="Calibri" w:hAnsi="Verdana"/>
          <w:sz w:val="20"/>
          <w:lang w:val="nl-BE" w:eastAsia="en-US"/>
        </w:rPr>
        <w:t>crowd</w:t>
      </w:r>
      <w:proofErr w:type="spellEnd"/>
      <w:r w:rsidRPr="00522D5A">
        <w:rPr>
          <w:rFonts w:ascii="Verdana" w:eastAsia="Calibri" w:hAnsi="Verdana"/>
          <w:sz w:val="20"/>
          <w:lang w:val="nl-BE" w:eastAsia="en-US"/>
        </w:rPr>
        <w:t>-management, tot het vlot doorstromen van publiek toegangscontroles.</w:t>
      </w:r>
    </w:p>
    <w:p w14:paraId="0573C19F" w14:textId="77777777" w:rsidR="006B29A6" w:rsidRDefault="006B29A6" w:rsidP="006B29A6">
      <w:pPr>
        <w:ind w:left="708"/>
        <w:jc w:val="both"/>
        <w:rPr>
          <w:rFonts w:ascii="Verdana" w:eastAsia="Calibri" w:hAnsi="Verdana"/>
          <w:sz w:val="20"/>
          <w:lang w:val="nl-BE" w:eastAsia="en-US"/>
        </w:rPr>
      </w:pPr>
    </w:p>
    <w:p w14:paraId="17A78DBC" w14:textId="44D7940E" w:rsidR="00522D5A" w:rsidRDefault="00522D5A" w:rsidP="006B29A6">
      <w:pPr>
        <w:ind w:left="360"/>
        <w:jc w:val="both"/>
        <w:rPr>
          <w:rFonts w:ascii="Verdana" w:eastAsia="Calibri" w:hAnsi="Verdana"/>
          <w:sz w:val="20"/>
          <w:lang w:val="nl-BE" w:eastAsia="en-US"/>
        </w:rPr>
      </w:pPr>
      <w:r w:rsidRPr="00522D5A">
        <w:rPr>
          <w:rFonts w:ascii="Verdana" w:eastAsia="Calibri" w:hAnsi="Verdana"/>
          <w:sz w:val="20"/>
          <w:lang w:val="nl-BE" w:eastAsia="en-US"/>
        </w:rPr>
        <w:t>Binnen het overlegcomité werd het federale coronacommissariaat gelast met de uitgebreider analyse van de resultaten, omdat er zo ook vergelijkingen kunnen gemaakt worden met de testevenementen die ook in Brussel en Wallonië plaatsvonden. De onderzoeksresultaten werden dus steeds aan hen bezorgd. Van de testevenementen in het voorjaar (mei-juni) werd door en coronacommissariaat een analyse/advies bezorgd aan het overlegcomité (zie bijlage). Het overlegcomité heeft hier in haar vergadering van 19 juli kennis van genomen.</w:t>
      </w:r>
    </w:p>
    <w:p w14:paraId="1D57A5C5" w14:textId="77777777" w:rsidR="006B29A6" w:rsidRPr="00522D5A" w:rsidRDefault="006B29A6" w:rsidP="006B29A6">
      <w:pPr>
        <w:ind w:left="360"/>
        <w:jc w:val="both"/>
        <w:rPr>
          <w:rFonts w:ascii="Verdana" w:eastAsia="Calibri" w:hAnsi="Verdana"/>
          <w:sz w:val="20"/>
          <w:lang w:val="nl-BE" w:eastAsia="en-US"/>
        </w:rPr>
      </w:pPr>
    </w:p>
    <w:p w14:paraId="030C125F" w14:textId="77777777" w:rsidR="00522D5A" w:rsidRPr="00522D5A" w:rsidRDefault="00522D5A" w:rsidP="006B29A6">
      <w:pPr>
        <w:numPr>
          <w:ilvl w:val="0"/>
          <w:numId w:val="46"/>
        </w:numPr>
        <w:contextualSpacing/>
        <w:jc w:val="both"/>
        <w:rPr>
          <w:rFonts w:ascii="Verdana" w:eastAsia="Calibri" w:hAnsi="Verdana"/>
          <w:b/>
          <w:bCs/>
          <w:i/>
          <w:iCs/>
          <w:sz w:val="20"/>
          <w:lang w:val="nl-BE" w:eastAsia="en-US"/>
        </w:rPr>
      </w:pPr>
      <w:r w:rsidRPr="00522D5A">
        <w:rPr>
          <w:rFonts w:ascii="Verdana" w:eastAsia="Calibri" w:hAnsi="Verdana"/>
          <w:sz w:val="20"/>
          <w:lang w:val="nl-BE" w:eastAsia="en-US"/>
        </w:rPr>
        <w:t xml:space="preserve">Dit testevenement heeft inderdaad nooit plaatsgevonden. De bedoeling was dat we hier in samenwerking met Live </w:t>
      </w:r>
      <w:proofErr w:type="spellStart"/>
      <w:r w:rsidRPr="00522D5A">
        <w:rPr>
          <w:rFonts w:ascii="Verdana" w:eastAsia="Calibri" w:hAnsi="Verdana"/>
          <w:sz w:val="20"/>
          <w:lang w:val="nl-BE" w:eastAsia="en-US"/>
        </w:rPr>
        <w:t>Nation</w:t>
      </w:r>
      <w:proofErr w:type="spellEnd"/>
      <w:r w:rsidRPr="00522D5A">
        <w:rPr>
          <w:rFonts w:ascii="Verdana" w:eastAsia="Calibri" w:hAnsi="Verdana"/>
          <w:sz w:val="20"/>
          <w:lang w:val="nl-BE" w:eastAsia="en-US"/>
        </w:rPr>
        <w:t xml:space="preserve"> een vergelijkend onderzoek zouden doen en het besmettingsrisico in kaart brengen op een evenement zonder modaliteiten met een niet-gevaccineerd publiek (studenten) en een gevaccineerd publiek (zorgpersoneel). Door de toenemende besmettingscijfers en de druk op de zorg werd het plan een paar keer uitgesteld, waardoor het uiteindelijk al te achterhaald was, omdat we op dat moment ook een beter zicht kregen op de resultaten in andere </w:t>
      </w:r>
      <w:r w:rsidRPr="00522D5A">
        <w:rPr>
          <w:rFonts w:ascii="Verdana" w:eastAsia="Calibri" w:hAnsi="Verdana"/>
          <w:sz w:val="20"/>
          <w:lang w:val="nl-BE" w:eastAsia="en-US"/>
        </w:rPr>
        <w:lastRenderedPageBreak/>
        <w:t xml:space="preserve">landen. Het feit dat het overlegcomité ook nog eens strenge voorwaarden oplegde rond de modaliteiten heeft Live </w:t>
      </w:r>
      <w:proofErr w:type="spellStart"/>
      <w:r w:rsidRPr="00522D5A">
        <w:rPr>
          <w:rFonts w:ascii="Verdana" w:eastAsia="Calibri" w:hAnsi="Verdana"/>
          <w:sz w:val="20"/>
          <w:lang w:val="nl-BE" w:eastAsia="en-US"/>
        </w:rPr>
        <w:t>Nation</w:t>
      </w:r>
      <w:proofErr w:type="spellEnd"/>
      <w:r w:rsidRPr="00522D5A">
        <w:rPr>
          <w:rFonts w:ascii="Verdana" w:eastAsia="Calibri" w:hAnsi="Verdana"/>
          <w:sz w:val="20"/>
          <w:lang w:val="nl-BE" w:eastAsia="en-US"/>
        </w:rPr>
        <w:t xml:space="preserve"> doen beslissen om hier niet mee verder te gaan.</w:t>
      </w:r>
    </w:p>
    <w:p w14:paraId="0129859B" w14:textId="77777777" w:rsidR="00522D5A" w:rsidRPr="00522D5A" w:rsidRDefault="00522D5A" w:rsidP="006B29A6">
      <w:pPr>
        <w:ind w:left="720"/>
        <w:contextualSpacing/>
        <w:jc w:val="both"/>
        <w:rPr>
          <w:rFonts w:ascii="Verdana" w:eastAsia="Calibri" w:hAnsi="Verdana"/>
          <w:b/>
          <w:bCs/>
          <w:i/>
          <w:iCs/>
          <w:sz w:val="20"/>
          <w:lang w:val="nl-BE" w:eastAsia="en-US"/>
        </w:rPr>
      </w:pPr>
    </w:p>
    <w:p w14:paraId="30F73C8A" w14:textId="592CC5BB" w:rsidR="00522D5A" w:rsidRPr="00522D5A" w:rsidRDefault="00522D5A" w:rsidP="006B29A6">
      <w:pPr>
        <w:numPr>
          <w:ilvl w:val="0"/>
          <w:numId w:val="46"/>
        </w:numPr>
        <w:contextualSpacing/>
        <w:jc w:val="both"/>
        <w:rPr>
          <w:rFonts w:ascii="Verdana" w:eastAsia="Calibri" w:hAnsi="Verdana"/>
          <w:b/>
          <w:bCs/>
          <w:color w:val="FF0000"/>
          <w:sz w:val="20"/>
          <w:lang w:val="nl-BE" w:eastAsia="en-US"/>
        </w:rPr>
      </w:pPr>
      <w:r w:rsidRPr="00522D5A">
        <w:rPr>
          <w:rFonts w:ascii="Verdana" w:eastAsia="Calibri" w:hAnsi="Verdana"/>
          <w:sz w:val="20"/>
          <w:lang w:val="nl-BE" w:eastAsia="en-US"/>
        </w:rPr>
        <w:t xml:space="preserve">Er heeft nog een testevenement plaatsgevonden in september, dat niet in het overzicht werd opgenomen, namelijk op 17 september in </w:t>
      </w:r>
      <w:proofErr w:type="spellStart"/>
      <w:r w:rsidRPr="00522D5A">
        <w:rPr>
          <w:rFonts w:ascii="Verdana" w:eastAsia="Calibri" w:hAnsi="Verdana"/>
          <w:sz w:val="20"/>
          <w:lang w:val="nl-BE" w:eastAsia="en-US"/>
        </w:rPr>
        <w:t>Versuz</w:t>
      </w:r>
      <w:proofErr w:type="spellEnd"/>
      <w:r w:rsidRPr="00522D5A">
        <w:rPr>
          <w:rFonts w:ascii="Verdana" w:eastAsia="Calibri" w:hAnsi="Verdana"/>
          <w:sz w:val="20"/>
          <w:lang w:val="nl-BE" w:eastAsia="en-US"/>
        </w:rPr>
        <w:t xml:space="preserve"> in Hasselt. Dit was een testevenement in een discotheek met de focus op het meten van de luchtkwaliteit. We verwachten hier eerstdaags de resultaten van.</w:t>
      </w:r>
      <w:r w:rsidR="006B29A6">
        <w:rPr>
          <w:rFonts w:ascii="Verdana" w:eastAsia="Calibri" w:hAnsi="Verdana"/>
          <w:sz w:val="20"/>
          <w:lang w:val="nl-BE" w:eastAsia="en-US"/>
        </w:rPr>
        <w:tab/>
      </w:r>
      <w:r w:rsidRPr="00522D5A">
        <w:rPr>
          <w:rFonts w:ascii="Verdana" w:eastAsia="Calibri" w:hAnsi="Verdana"/>
          <w:sz w:val="20"/>
          <w:lang w:val="nl-BE" w:eastAsia="en-US"/>
        </w:rPr>
        <w:br/>
      </w:r>
    </w:p>
    <w:p w14:paraId="17DA5192" w14:textId="77777777" w:rsidR="00522D5A" w:rsidRPr="00522D5A" w:rsidRDefault="00522D5A" w:rsidP="006B29A6">
      <w:pPr>
        <w:numPr>
          <w:ilvl w:val="0"/>
          <w:numId w:val="46"/>
        </w:numPr>
        <w:contextualSpacing/>
        <w:jc w:val="both"/>
        <w:rPr>
          <w:rFonts w:ascii="Verdana" w:hAnsi="Verdana"/>
          <w:sz w:val="20"/>
        </w:rPr>
      </w:pPr>
      <w:r w:rsidRPr="00522D5A">
        <w:rPr>
          <w:rFonts w:ascii="Verdana" w:eastAsia="Calibri" w:hAnsi="Verdana"/>
          <w:sz w:val="20"/>
          <w:lang w:val="nl-BE" w:eastAsia="en-US"/>
        </w:rPr>
        <w:t>Volgens artikel 29bis van het Ministerieel Besluit houdende dringende maatregelen om de verspreiding om de verspreiding van het coronavirus COVID-19 te beperken, zijn tot nader order proef- en pilootprojecten nog steeds mogelijk, maar vermits we stilaan terugkeren naar een normale situatie, post-COVID, lijkt het me weinig opportuun om nog verder in te zetten op testevenementen.</w:t>
      </w:r>
    </w:p>
    <w:p w14:paraId="2D7813C3" w14:textId="25AA8202" w:rsidR="00522D5A" w:rsidRDefault="00522D5A" w:rsidP="006B29A6">
      <w:pPr>
        <w:jc w:val="both"/>
        <w:rPr>
          <w:rFonts w:ascii="Verdana" w:eastAsia="Calibri" w:hAnsi="Verdana"/>
          <w:sz w:val="20"/>
          <w:lang w:val="nl-BE" w:eastAsia="en-US"/>
        </w:rPr>
      </w:pPr>
    </w:p>
    <w:p w14:paraId="194A4FDC" w14:textId="77777777" w:rsidR="006B29A6" w:rsidRPr="00522D5A" w:rsidRDefault="006B29A6" w:rsidP="006B29A6">
      <w:pPr>
        <w:jc w:val="both"/>
        <w:rPr>
          <w:rFonts w:ascii="Verdana" w:eastAsia="Calibri" w:hAnsi="Verdana"/>
          <w:sz w:val="20"/>
          <w:lang w:val="nl-BE" w:eastAsia="en-US"/>
        </w:rPr>
      </w:pPr>
    </w:p>
    <w:p w14:paraId="729AE722" w14:textId="77777777" w:rsidR="00522D5A" w:rsidRPr="00522D5A" w:rsidRDefault="00522D5A" w:rsidP="006B29A6">
      <w:pPr>
        <w:jc w:val="both"/>
        <w:rPr>
          <w:rFonts w:ascii="Verdana" w:eastAsia="Calibri" w:hAnsi="Verdana"/>
          <w:b/>
          <w:smallCaps/>
          <w:color w:val="FF0000"/>
          <w:sz w:val="20"/>
          <w:u w:val="single"/>
          <w:lang w:val="nl-BE" w:eastAsia="en-US"/>
        </w:rPr>
      </w:pPr>
      <w:r w:rsidRPr="00522D5A">
        <w:rPr>
          <w:rFonts w:ascii="Verdana" w:eastAsia="Calibri" w:hAnsi="Verdana"/>
          <w:b/>
          <w:smallCaps/>
          <w:color w:val="FF0000"/>
          <w:sz w:val="20"/>
          <w:u w:val="single"/>
          <w:lang w:val="nl-BE" w:eastAsia="en-US"/>
        </w:rPr>
        <w:t>bijlagen</w:t>
      </w:r>
    </w:p>
    <w:p w14:paraId="6C5E2E1A" w14:textId="77777777" w:rsidR="006B29A6" w:rsidRDefault="006B29A6" w:rsidP="006B29A6">
      <w:pPr>
        <w:ind w:left="284"/>
        <w:jc w:val="both"/>
        <w:rPr>
          <w:rFonts w:ascii="Verdana" w:eastAsia="Calibri" w:hAnsi="Verdana"/>
          <w:sz w:val="20"/>
          <w:lang w:val="nl-BE" w:eastAsia="en-US"/>
        </w:rPr>
      </w:pPr>
    </w:p>
    <w:p w14:paraId="3BA1E9E4" w14:textId="52CC504F" w:rsidR="00522D5A" w:rsidRPr="00522D5A" w:rsidRDefault="00167CBE" w:rsidP="006B29A6">
      <w:pPr>
        <w:numPr>
          <w:ilvl w:val="0"/>
          <w:numId w:val="47"/>
        </w:numPr>
        <w:ind w:left="284" w:hanging="284"/>
        <w:jc w:val="both"/>
        <w:rPr>
          <w:rFonts w:ascii="Verdana" w:eastAsia="Calibri" w:hAnsi="Verdana"/>
          <w:sz w:val="20"/>
          <w:lang w:val="nl-BE" w:eastAsia="en-US"/>
        </w:rPr>
      </w:pPr>
      <w:hyperlink r:id="rId5" w:history="1">
        <w:r w:rsidR="00522D5A" w:rsidRPr="00167CBE">
          <w:rPr>
            <w:rStyle w:val="Hyperlink"/>
            <w:rFonts w:ascii="Verdana" w:eastAsia="Calibri" w:hAnsi="Verdana"/>
            <w:sz w:val="20"/>
            <w:lang w:val="nl-BE" w:eastAsia="en-US"/>
          </w:rPr>
          <w:t>Overzicht testevenementen mei-juni</w:t>
        </w:r>
      </w:hyperlink>
    </w:p>
    <w:p w14:paraId="4D96ACAA" w14:textId="34AB163F" w:rsidR="00522D5A" w:rsidRPr="00522D5A" w:rsidRDefault="00167CBE" w:rsidP="006B29A6">
      <w:pPr>
        <w:numPr>
          <w:ilvl w:val="0"/>
          <w:numId w:val="47"/>
        </w:numPr>
        <w:ind w:left="284" w:hanging="284"/>
        <w:jc w:val="both"/>
        <w:rPr>
          <w:rFonts w:ascii="Verdana" w:eastAsia="Calibri" w:hAnsi="Verdana"/>
          <w:sz w:val="20"/>
          <w:lang w:val="nl-BE" w:eastAsia="en-US"/>
        </w:rPr>
      </w:pPr>
      <w:hyperlink r:id="rId6" w:history="1">
        <w:r w:rsidR="00522D5A" w:rsidRPr="00167CBE">
          <w:rPr>
            <w:rStyle w:val="Hyperlink"/>
            <w:rFonts w:ascii="Verdana" w:eastAsia="Calibri" w:hAnsi="Verdana"/>
            <w:sz w:val="20"/>
            <w:lang w:val="nl-BE" w:eastAsia="en-US"/>
          </w:rPr>
          <w:t>Overzicht testevenementen zomer</w:t>
        </w:r>
      </w:hyperlink>
    </w:p>
    <w:p w14:paraId="286AD19F" w14:textId="7FD7816C" w:rsidR="00522D5A" w:rsidRPr="00522D5A" w:rsidRDefault="00167CBE" w:rsidP="006B29A6">
      <w:pPr>
        <w:numPr>
          <w:ilvl w:val="0"/>
          <w:numId w:val="47"/>
        </w:numPr>
        <w:ind w:left="284" w:hanging="284"/>
        <w:jc w:val="both"/>
        <w:rPr>
          <w:rFonts w:ascii="Verdana" w:eastAsia="Calibri" w:hAnsi="Verdana"/>
          <w:sz w:val="20"/>
          <w:lang w:val="nl-BE" w:eastAsia="en-US"/>
        </w:rPr>
      </w:pPr>
      <w:hyperlink r:id="rId7" w:history="1">
        <w:r w:rsidR="00522D5A" w:rsidRPr="00167CBE">
          <w:rPr>
            <w:rStyle w:val="Hyperlink"/>
            <w:rFonts w:ascii="Verdana" w:eastAsia="Calibri" w:hAnsi="Verdana"/>
            <w:sz w:val="20"/>
            <w:lang w:val="nl-BE" w:eastAsia="en-US"/>
          </w:rPr>
          <w:t xml:space="preserve">Rapport COVID-19 </w:t>
        </w:r>
        <w:proofErr w:type="spellStart"/>
        <w:r w:rsidR="00522D5A" w:rsidRPr="00167CBE">
          <w:rPr>
            <w:rStyle w:val="Hyperlink"/>
            <w:rFonts w:ascii="Verdana" w:eastAsia="Calibri" w:hAnsi="Verdana"/>
            <w:sz w:val="20"/>
            <w:lang w:val="nl-BE" w:eastAsia="en-US"/>
          </w:rPr>
          <w:t>Commisariaat</w:t>
        </w:r>
        <w:proofErr w:type="spellEnd"/>
        <w:r w:rsidR="00522D5A" w:rsidRPr="00167CBE">
          <w:rPr>
            <w:rStyle w:val="Hyperlink"/>
            <w:rFonts w:ascii="Verdana" w:eastAsia="Calibri" w:hAnsi="Verdana"/>
            <w:sz w:val="20"/>
            <w:lang w:val="nl-BE" w:eastAsia="en-US"/>
          </w:rPr>
          <w:t xml:space="preserve"> Test events- </w:t>
        </w:r>
        <w:proofErr w:type="spellStart"/>
        <w:r w:rsidR="00522D5A" w:rsidRPr="00167CBE">
          <w:rPr>
            <w:rStyle w:val="Hyperlink"/>
            <w:rFonts w:ascii="Verdana" w:eastAsia="Calibri" w:hAnsi="Verdana"/>
            <w:sz w:val="20"/>
            <w:lang w:val="nl-BE" w:eastAsia="en-US"/>
          </w:rPr>
          <w:t>Mid</w:t>
        </w:r>
        <w:proofErr w:type="spellEnd"/>
        <w:r w:rsidR="00522D5A" w:rsidRPr="00167CBE">
          <w:rPr>
            <w:rStyle w:val="Hyperlink"/>
            <w:rFonts w:ascii="Verdana" w:eastAsia="Calibri" w:hAnsi="Verdana"/>
            <w:sz w:val="20"/>
            <w:lang w:val="nl-BE" w:eastAsia="en-US"/>
          </w:rPr>
          <w:t xml:space="preserve"> term analyse van mei tot juni 2021</w:t>
        </w:r>
      </w:hyperlink>
    </w:p>
    <w:sectPr w:rsidR="00522D5A" w:rsidRPr="00522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E7C"/>
    <w:multiLevelType w:val="hybridMultilevel"/>
    <w:tmpl w:val="6104332A"/>
    <w:lvl w:ilvl="0" w:tplc="3424A63A">
      <w:start w:val="1"/>
      <w:numFmt w:val="decimal"/>
      <w:lvlText w:val="%1."/>
      <w:lvlJc w:val="left"/>
      <w:pPr>
        <w:ind w:left="360" w:hanging="360"/>
      </w:pPr>
      <w:rPr>
        <w:b w:val="0"/>
        <w:bCs w:val="0"/>
        <w:i w:val="0"/>
        <w:iCs w:val="0"/>
        <w:color w:val="auto"/>
      </w:rPr>
    </w:lvl>
    <w:lvl w:ilvl="1" w:tplc="44A26BCA">
      <w:start w:val="1"/>
      <w:numFmt w:val="lowerLetter"/>
      <w:lvlText w:val="%2."/>
      <w:lvlJc w:val="left"/>
      <w:pPr>
        <w:ind w:left="1080" w:hanging="360"/>
      </w:pPr>
    </w:lvl>
    <w:lvl w:ilvl="2" w:tplc="92008E36">
      <w:start w:val="1"/>
      <w:numFmt w:val="lowerRoman"/>
      <w:lvlText w:val="%3."/>
      <w:lvlJc w:val="right"/>
      <w:pPr>
        <w:ind w:left="1800" w:hanging="180"/>
      </w:pPr>
    </w:lvl>
    <w:lvl w:ilvl="3" w:tplc="3E780034">
      <w:start w:val="1"/>
      <w:numFmt w:val="decimal"/>
      <w:lvlText w:val="%4."/>
      <w:lvlJc w:val="left"/>
      <w:pPr>
        <w:ind w:left="2520" w:hanging="360"/>
      </w:pPr>
    </w:lvl>
    <w:lvl w:ilvl="4" w:tplc="3FE81F5C">
      <w:start w:val="1"/>
      <w:numFmt w:val="lowerLetter"/>
      <w:lvlText w:val="%5."/>
      <w:lvlJc w:val="left"/>
      <w:pPr>
        <w:ind w:left="3240" w:hanging="360"/>
      </w:pPr>
    </w:lvl>
    <w:lvl w:ilvl="5" w:tplc="64269C58">
      <w:start w:val="1"/>
      <w:numFmt w:val="lowerRoman"/>
      <w:lvlText w:val="%6."/>
      <w:lvlJc w:val="right"/>
      <w:pPr>
        <w:ind w:left="3960" w:hanging="180"/>
      </w:pPr>
    </w:lvl>
    <w:lvl w:ilvl="6" w:tplc="72B2901E">
      <w:start w:val="1"/>
      <w:numFmt w:val="decimal"/>
      <w:lvlText w:val="%7."/>
      <w:lvlJc w:val="left"/>
      <w:pPr>
        <w:ind w:left="4680" w:hanging="360"/>
      </w:pPr>
    </w:lvl>
    <w:lvl w:ilvl="7" w:tplc="63F29AEE">
      <w:start w:val="1"/>
      <w:numFmt w:val="lowerLetter"/>
      <w:lvlText w:val="%8."/>
      <w:lvlJc w:val="left"/>
      <w:pPr>
        <w:ind w:left="5400" w:hanging="360"/>
      </w:pPr>
    </w:lvl>
    <w:lvl w:ilvl="8" w:tplc="0458E5D0">
      <w:start w:val="1"/>
      <w:numFmt w:val="lowerRoman"/>
      <w:lvlText w:val="%9."/>
      <w:lvlJc w:val="right"/>
      <w:pPr>
        <w:ind w:left="6120" w:hanging="180"/>
      </w:pPr>
    </w:lvl>
  </w:abstractNum>
  <w:abstractNum w:abstractNumId="1" w15:restartNumberingAfterBreak="0">
    <w:nsid w:val="3E9A52B4"/>
    <w:multiLevelType w:val="hybridMultilevel"/>
    <w:tmpl w:val="260035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167CBE"/>
    <w:rsid w:val="00214C83"/>
    <w:rsid w:val="0044462C"/>
    <w:rsid w:val="00522D5A"/>
    <w:rsid w:val="006B29A6"/>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0963"/>
  <w15:docId w15:val="{D9BF27CB-3CC1-42F1-9505-0939429C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167CBE"/>
    <w:rPr>
      <w:color w:val="0000FF" w:themeColor="hyperlink"/>
      <w:u w:val="single"/>
    </w:rPr>
  </w:style>
  <w:style w:type="character" w:styleId="Onopgelostemelding">
    <w:name w:val="Unresolved Mention"/>
    <w:basedOn w:val="Standaardalinea-lettertype"/>
    <w:uiPriority w:val="99"/>
    <w:semiHidden/>
    <w:unhideWhenUsed/>
    <w:rsid w:val="00167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3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laamsparlement.be/link?id=13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amsparlement.be/link?id=13318" TargetMode="External"/><Relationship Id="rId5" Type="http://schemas.openxmlformats.org/officeDocument/2006/relationships/hyperlink" Target="http://www.vlaamsparlement.be/link?id=133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Geert Verbruggen</cp:lastModifiedBy>
  <cp:revision>2</cp:revision>
  <dcterms:created xsi:type="dcterms:W3CDTF">2021-10-18T07:49:00Z</dcterms:created>
  <dcterms:modified xsi:type="dcterms:W3CDTF">2021-10-18T07:49:00Z</dcterms:modified>
</cp:coreProperties>
</file>