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3E7B7" w14:textId="77777777" w:rsidR="00B94BA4" w:rsidRDefault="00B94BA4" w:rsidP="00B94BA4">
      <w:pPr>
        <w:pStyle w:val="Nummering"/>
        <w:numPr>
          <w:ilvl w:val="0"/>
          <w:numId w:val="0"/>
        </w:numPr>
        <w:tabs>
          <w:tab w:val="left" w:pos="708"/>
        </w:tabs>
        <w:ind w:left="425" w:hanging="425"/>
        <w:rPr>
          <w:rFonts w:eastAsia="Verdana"/>
          <w:szCs w:val="20"/>
          <w:lang w:val="en-GB"/>
        </w:rPr>
      </w:pPr>
      <w:r>
        <w:rPr>
          <w:rFonts w:eastAsia="Verdana"/>
          <w:szCs w:val="20"/>
          <w:lang w:val="en-GB"/>
        </w:rPr>
        <w:t>Tabel 1:</w:t>
      </w:r>
    </w:p>
    <w:p w14:paraId="107D1B98" w14:textId="77777777" w:rsidR="00B94BA4" w:rsidRPr="00506245" w:rsidRDefault="00B94BA4" w:rsidP="00B94BA4">
      <w:pPr>
        <w:pStyle w:val="Nummering"/>
        <w:numPr>
          <w:ilvl w:val="0"/>
          <w:numId w:val="0"/>
        </w:numPr>
        <w:tabs>
          <w:tab w:val="left" w:pos="708"/>
        </w:tabs>
        <w:ind w:left="219"/>
        <w:rPr>
          <w:rFonts w:eastAsia="Verdana"/>
          <w:szCs w:val="20"/>
          <w:lang w:val="en-GB"/>
        </w:rPr>
      </w:pPr>
      <w:r w:rsidRPr="00DC0209">
        <w:rPr>
          <w:rFonts w:eastAsia="Verdana"/>
          <w:noProof/>
        </w:rPr>
        <w:drawing>
          <wp:inline distT="0" distB="0" distL="0" distR="0" wp14:anchorId="24DAE358" wp14:editId="7C507018">
            <wp:extent cx="5760720" cy="831215"/>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831215"/>
                    </a:xfrm>
                    <a:prstGeom prst="rect">
                      <a:avLst/>
                    </a:prstGeom>
                    <a:noFill/>
                    <a:ln>
                      <a:noFill/>
                    </a:ln>
                  </pic:spPr>
                </pic:pic>
              </a:graphicData>
            </a:graphic>
          </wp:inline>
        </w:drawing>
      </w:r>
    </w:p>
    <w:p w14:paraId="2A984DF8" w14:textId="77777777" w:rsidR="00B94BA4" w:rsidRDefault="00B94BA4" w:rsidP="00B94BA4">
      <w:pPr>
        <w:pStyle w:val="Nummering"/>
        <w:numPr>
          <w:ilvl w:val="0"/>
          <w:numId w:val="0"/>
        </w:numPr>
        <w:tabs>
          <w:tab w:val="left" w:pos="708"/>
        </w:tabs>
        <w:ind w:left="284" w:hanging="425"/>
        <w:rPr>
          <w:rFonts w:eastAsia="Verdana"/>
          <w:szCs w:val="20"/>
          <w:lang w:val="nl-BE"/>
        </w:rPr>
      </w:pPr>
    </w:p>
    <w:p w14:paraId="2FF3DBF7" w14:textId="77777777" w:rsidR="00B94BA4" w:rsidRPr="00AD209A" w:rsidRDefault="00B94BA4" w:rsidP="00B94BA4">
      <w:pPr>
        <w:pStyle w:val="Nummering"/>
        <w:numPr>
          <w:ilvl w:val="0"/>
          <w:numId w:val="0"/>
        </w:numPr>
        <w:tabs>
          <w:tab w:val="left" w:pos="708"/>
        </w:tabs>
        <w:ind w:left="284" w:hanging="425"/>
        <w:rPr>
          <w:rFonts w:eastAsia="Verdana"/>
          <w:szCs w:val="20"/>
          <w:lang w:val="nl-BE"/>
        </w:rPr>
      </w:pPr>
      <w:r w:rsidRPr="00AD209A">
        <w:rPr>
          <w:rFonts w:eastAsia="Verdana"/>
          <w:szCs w:val="20"/>
          <w:lang w:val="nl-BE"/>
        </w:rPr>
        <w:t>Opmerking: de cijfers voor het verbruik van grondwater en hemelwater door de landbouw zijn op een andere manier bepaald dan vorig jaar. Zie vragen 3 en 4 voor meer uitleg.</w:t>
      </w:r>
    </w:p>
    <w:p w14:paraId="394A6766" w14:textId="77777777" w:rsidR="00B94BA4" w:rsidRPr="00AD209A" w:rsidRDefault="00B94BA4" w:rsidP="00B94BA4">
      <w:pPr>
        <w:pStyle w:val="Nummering"/>
        <w:numPr>
          <w:ilvl w:val="0"/>
          <w:numId w:val="0"/>
        </w:numPr>
        <w:tabs>
          <w:tab w:val="left" w:pos="708"/>
        </w:tabs>
        <w:ind w:left="425" w:hanging="425"/>
        <w:rPr>
          <w:rFonts w:eastAsia="Verdana"/>
          <w:szCs w:val="20"/>
          <w:lang w:val="nl-BE"/>
        </w:rPr>
      </w:pPr>
    </w:p>
    <w:p w14:paraId="766D97A2" w14:textId="77777777" w:rsidR="00B94BA4" w:rsidRDefault="00B94BA4" w:rsidP="00B94BA4">
      <w:pPr>
        <w:pStyle w:val="Nummering"/>
        <w:numPr>
          <w:ilvl w:val="0"/>
          <w:numId w:val="0"/>
        </w:numPr>
        <w:tabs>
          <w:tab w:val="left" w:pos="708"/>
        </w:tabs>
        <w:ind w:left="425" w:hanging="425"/>
        <w:rPr>
          <w:rFonts w:eastAsia="Verdana"/>
          <w:szCs w:val="20"/>
          <w:lang w:val="en-GB"/>
        </w:rPr>
      </w:pPr>
      <w:r>
        <w:rPr>
          <w:rFonts w:eastAsia="Verdana"/>
          <w:szCs w:val="20"/>
          <w:lang w:val="en-GB"/>
        </w:rPr>
        <w:t>Figuur 1: waterverbruikscijfers 2000-2019</w:t>
      </w:r>
    </w:p>
    <w:p w14:paraId="655F0B0D" w14:textId="77777777" w:rsidR="00B94BA4" w:rsidRDefault="00B94BA4" w:rsidP="00B94BA4">
      <w:pPr>
        <w:pStyle w:val="Nummering"/>
        <w:numPr>
          <w:ilvl w:val="0"/>
          <w:numId w:val="0"/>
        </w:numPr>
        <w:tabs>
          <w:tab w:val="left" w:pos="708"/>
        </w:tabs>
        <w:ind w:left="425" w:hanging="425"/>
        <w:rPr>
          <w:rFonts w:eastAsia="Verdana"/>
          <w:szCs w:val="20"/>
          <w:lang w:val="en-GB"/>
        </w:rPr>
      </w:pPr>
      <w:r>
        <w:rPr>
          <w:rFonts w:eastAsia="Verdana"/>
          <w:noProof/>
          <w:szCs w:val="20"/>
          <w:lang w:val="en-GB"/>
        </w:rPr>
        <w:drawing>
          <wp:inline distT="0" distB="0" distL="0" distR="0" wp14:anchorId="34E953B6" wp14:editId="763D44DB">
            <wp:extent cx="5332277" cy="3321586"/>
            <wp:effectExtent l="0" t="0" r="190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8030" cy="3331399"/>
                    </a:xfrm>
                    <a:prstGeom prst="rect">
                      <a:avLst/>
                    </a:prstGeom>
                    <a:noFill/>
                  </pic:spPr>
                </pic:pic>
              </a:graphicData>
            </a:graphic>
          </wp:inline>
        </w:drawing>
      </w:r>
    </w:p>
    <w:p w14:paraId="0A37CC77" w14:textId="77777777" w:rsidR="00B94BA4" w:rsidRDefault="00B94BA4" w:rsidP="00B94BA4">
      <w:pPr>
        <w:pStyle w:val="Nummering"/>
        <w:numPr>
          <w:ilvl w:val="0"/>
          <w:numId w:val="0"/>
        </w:numPr>
        <w:tabs>
          <w:tab w:val="left" w:pos="708"/>
        </w:tabs>
        <w:ind w:left="425" w:hanging="425"/>
        <w:rPr>
          <w:rFonts w:eastAsia="Verdana"/>
          <w:szCs w:val="20"/>
          <w:lang w:val="en-GB"/>
        </w:rPr>
      </w:pPr>
    </w:p>
    <w:p w14:paraId="19ABA36F" w14:textId="77777777" w:rsidR="00B94BA4" w:rsidRPr="00AD209A" w:rsidRDefault="00B94BA4" w:rsidP="00B94BA4">
      <w:pPr>
        <w:pStyle w:val="Nummering"/>
        <w:numPr>
          <w:ilvl w:val="0"/>
          <w:numId w:val="0"/>
        </w:numPr>
        <w:tabs>
          <w:tab w:val="left" w:pos="708"/>
        </w:tabs>
        <w:ind w:left="425" w:hanging="425"/>
        <w:rPr>
          <w:rFonts w:eastAsia="Verdana"/>
          <w:szCs w:val="20"/>
          <w:lang w:val="nl-BE"/>
        </w:rPr>
      </w:pPr>
      <w:r w:rsidRPr="00AD209A">
        <w:rPr>
          <w:rFonts w:eastAsia="Verdana"/>
          <w:szCs w:val="20"/>
          <w:lang w:val="nl-BE"/>
        </w:rPr>
        <w:t>Figuur 2: het gemiddelde</w:t>
      </w:r>
      <w:r>
        <w:rPr>
          <w:rFonts w:eastAsia="Verdana"/>
          <w:szCs w:val="20"/>
          <w:lang w:val="nl-BE"/>
        </w:rPr>
        <w:t xml:space="preserve"> grondwatergebruik landbouw</w:t>
      </w:r>
      <w:r w:rsidRPr="00AD209A">
        <w:rPr>
          <w:rFonts w:eastAsia="Verdana"/>
          <w:szCs w:val="20"/>
          <w:lang w:val="nl-BE"/>
        </w:rPr>
        <w:t xml:space="preserve"> berekend van de lage en de hoge inschatting. </w:t>
      </w:r>
    </w:p>
    <w:p w14:paraId="68A9A79F" w14:textId="77777777" w:rsidR="00B94BA4" w:rsidRDefault="00B94BA4" w:rsidP="00B94BA4">
      <w:pPr>
        <w:pStyle w:val="Nummering"/>
        <w:numPr>
          <w:ilvl w:val="0"/>
          <w:numId w:val="0"/>
        </w:numPr>
        <w:tabs>
          <w:tab w:val="left" w:pos="708"/>
        </w:tabs>
        <w:ind w:left="425" w:hanging="425"/>
        <w:rPr>
          <w:rFonts w:eastAsia="Verdana"/>
          <w:szCs w:val="20"/>
          <w:lang w:val="en-GB"/>
        </w:rPr>
      </w:pPr>
      <w:r>
        <w:rPr>
          <w:rFonts w:eastAsia="Verdana"/>
          <w:noProof/>
          <w:szCs w:val="20"/>
          <w:lang w:val="en-GB"/>
        </w:rPr>
        <w:lastRenderedPageBreak/>
        <w:drawing>
          <wp:inline distT="0" distB="0" distL="0" distR="0" wp14:anchorId="27877A4C" wp14:editId="136B8F74">
            <wp:extent cx="5787571" cy="2969255"/>
            <wp:effectExtent l="0" t="0" r="3810" b="317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1734" cy="2981652"/>
                    </a:xfrm>
                    <a:prstGeom prst="rect">
                      <a:avLst/>
                    </a:prstGeom>
                    <a:noFill/>
                  </pic:spPr>
                </pic:pic>
              </a:graphicData>
            </a:graphic>
          </wp:inline>
        </w:drawing>
      </w:r>
    </w:p>
    <w:p w14:paraId="4F9077D8" w14:textId="77777777" w:rsidR="00B94BA4" w:rsidRDefault="00B94BA4" w:rsidP="00B94BA4">
      <w:pPr>
        <w:pStyle w:val="Nummering"/>
        <w:numPr>
          <w:ilvl w:val="0"/>
          <w:numId w:val="0"/>
        </w:numPr>
        <w:tabs>
          <w:tab w:val="left" w:pos="708"/>
        </w:tabs>
        <w:ind w:left="425" w:hanging="425"/>
        <w:rPr>
          <w:rFonts w:eastAsia="Verdana"/>
          <w:szCs w:val="20"/>
          <w:lang w:val="en-GB"/>
        </w:rPr>
      </w:pPr>
    </w:p>
    <w:p w14:paraId="745287AF" w14:textId="77777777" w:rsidR="00B94BA4" w:rsidRPr="00AD209A" w:rsidRDefault="00B94BA4" w:rsidP="00B94BA4">
      <w:pPr>
        <w:pStyle w:val="Nummering"/>
        <w:numPr>
          <w:ilvl w:val="0"/>
          <w:numId w:val="0"/>
        </w:numPr>
        <w:tabs>
          <w:tab w:val="left" w:pos="708"/>
        </w:tabs>
        <w:ind w:left="425" w:hanging="425"/>
        <w:rPr>
          <w:rFonts w:eastAsia="Verdana"/>
          <w:szCs w:val="20"/>
          <w:lang w:val="nl-BE"/>
        </w:rPr>
      </w:pPr>
      <w:r w:rsidRPr="00AD209A">
        <w:rPr>
          <w:rFonts w:eastAsia="Verdana"/>
          <w:szCs w:val="20"/>
          <w:lang w:val="nl-BE"/>
        </w:rPr>
        <w:t>Figuur 3: het verbruik van alle types water door de landbouw. Voor grondwater worden hier de resultaten van de gemiddelde inschatting gebruikt. De warme en droge periodes in 2017, 2018 en 2019 hadden een zichtbaar effect op het waterverbruik van de landbouw. Het grondwaterverbruik in 2019 was vergelijkbaar met dat van 2017 maar bedroeg wel wat minder dan dat van 2018.</w:t>
      </w:r>
    </w:p>
    <w:p w14:paraId="1D2C4C32" w14:textId="77777777" w:rsidR="00B94BA4" w:rsidRDefault="00B94BA4" w:rsidP="00B94BA4">
      <w:pPr>
        <w:pStyle w:val="Nummering"/>
        <w:numPr>
          <w:ilvl w:val="0"/>
          <w:numId w:val="0"/>
        </w:numPr>
        <w:tabs>
          <w:tab w:val="left" w:pos="708"/>
        </w:tabs>
        <w:ind w:left="425" w:hanging="425"/>
        <w:rPr>
          <w:rFonts w:eastAsia="Verdana"/>
          <w:szCs w:val="20"/>
          <w:lang w:val="en-GB"/>
        </w:rPr>
      </w:pPr>
      <w:r>
        <w:rPr>
          <w:rFonts w:eastAsia="Verdana"/>
          <w:noProof/>
          <w:szCs w:val="20"/>
          <w:lang w:val="en-GB"/>
        </w:rPr>
        <w:drawing>
          <wp:inline distT="0" distB="0" distL="0" distR="0" wp14:anchorId="206B0074" wp14:editId="43FD152B">
            <wp:extent cx="5290458" cy="3113204"/>
            <wp:effectExtent l="0" t="0" r="571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4078" cy="3132988"/>
                    </a:xfrm>
                    <a:prstGeom prst="rect">
                      <a:avLst/>
                    </a:prstGeom>
                    <a:noFill/>
                  </pic:spPr>
                </pic:pic>
              </a:graphicData>
            </a:graphic>
          </wp:inline>
        </w:drawing>
      </w:r>
    </w:p>
    <w:p w14:paraId="4773EB50" w14:textId="77777777" w:rsidR="00B94BA4" w:rsidRDefault="00B94BA4" w:rsidP="00B94BA4">
      <w:pPr>
        <w:pStyle w:val="Nummering"/>
        <w:numPr>
          <w:ilvl w:val="0"/>
          <w:numId w:val="0"/>
        </w:numPr>
        <w:tabs>
          <w:tab w:val="left" w:pos="708"/>
        </w:tabs>
        <w:ind w:left="425" w:hanging="425"/>
        <w:rPr>
          <w:rFonts w:eastAsia="Verdana"/>
          <w:szCs w:val="20"/>
          <w:lang w:val="en-GB"/>
        </w:rPr>
      </w:pPr>
    </w:p>
    <w:p w14:paraId="45172B09" w14:textId="77777777" w:rsidR="00B94BA4" w:rsidRPr="00AD209A" w:rsidRDefault="00B94BA4" w:rsidP="00B94BA4">
      <w:pPr>
        <w:pStyle w:val="Nummering"/>
        <w:numPr>
          <w:ilvl w:val="0"/>
          <w:numId w:val="0"/>
        </w:numPr>
        <w:tabs>
          <w:tab w:val="left" w:pos="708"/>
        </w:tabs>
        <w:ind w:left="425" w:hanging="425"/>
        <w:rPr>
          <w:rFonts w:eastAsia="Verdana"/>
          <w:szCs w:val="20"/>
          <w:lang w:val="nl-BE"/>
        </w:rPr>
      </w:pPr>
      <w:r w:rsidRPr="00AD209A">
        <w:rPr>
          <w:rFonts w:eastAsia="Verdana"/>
          <w:szCs w:val="20"/>
          <w:lang w:val="nl-BE"/>
        </w:rPr>
        <w:t>Op</w:t>
      </w:r>
      <w:r>
        <w:rPr>
          <w:rFonts w:eastAsia="Verdana"/>
          <w:szCs w:val="20"/>
          <w:lang w:val="nl-BE"/>
        </w:rPr>
        <w:t>merking: v</w:t>
      </w:r>
      <w:r w:rsidRPr="00AD209A">
        <w:rPr>
          <w:rFonts w:eastAsia="Verdana"/>
          <w:szCs w:val="20"/>
          <w:lang w:val="nl-BE"/>
        </w:rPr>
        <w:t>oor grondwater worden hier de resultaten van de gemiddelde inschatting gebruikt. De warme en droge periodes in 2017, 2018 en 2019 hadden een zichtbaar effect op het waterverbruik van de landbouw. Het grondwaterverbruik in 2019 was vergelijkbaar met dat van 2017 maar bedroeg wel wat minder dan dat van 2018.</w:t>
      </w:r>
    </w:p>
    <w:p w14:paraId="1C56F74B" w14:textId="77777777" w:rsidR="00B94BA4" w:rsidRDefault="00B94BA4"/>
    <w:sectPr w:rsidR="00B94BA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3B62B" w14:textId="77777777" w:rsidR="00B94BA4" w:rsidRDefault="00B94BA4" w:rsidP="00B94BA4">
      <w:pPr>
        <w:spacing w:after="0" w:line="240" w:lineRule="auto"/>
      </w:pPr>
      <w:r>
        <w:separator/>
      </w:r>
    </w:p>
  </w:endnote>
  <w:endnote w:type="continuationSeparator" w:id="0">
    <w:p w14:paraId="67C6F79F" w14:textId="77777777" w:rsidR="00B94BA4" w:rsidRDefault="00B94BA4" w:rsidP="00B94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C663A" w14:textId="77777777" w:rsidR="00B94BA4" w:rsidRDefault="00B94BA4" w:rsidP="00B94BA4">
      <w:pPr>
        <w:spacing w:after="0" w:line="240" w:lineRule="auto"/>
      </w:pPr>
      <w:r>
        <w:separator/>
      </w:r>
    </w:p>
  </w:footnote>
  <w:footnote w:type="continuationSeparator" w:id="0">
    <w:p w14:paraId="4579CAC0" w14:textId="77777777" w:rsidR="00B94BA4" w:rsidRDefault="00B94BA4" w:rsidP="00B94B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323682"/>
    <w:multiLevelType w:val="multilevel"/>
    <w:tmpl w:val="20501F98"/>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BA4"/>
    <w:rsid w:val="00B94B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DB448"/>
  <w15:chartTrackingRefBased/>
  <w15:docId w15:val="{61DCFBBE-A842-43E9-B8ED-9652A5CC4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ummering">
    <w:name w:val="Nummering"/>
    <w:basedOn w:val="Lijstalinea"/>
    <w:link w:val="NummeringChar"/>
    <w:qFormat/>
    <w:rsid w:val="00B94BA4"/>
    <w:pPr>
      <w:numPr>
        <w:numId w:val="1"/>
      </w:numPr>
      <w:spacing w:after="120" w:line="240" w:lineRule="auto"/>
      <w:contextualSpacing w:val="0"/>
      <w:jc w:val="both"/>
    </w:pPr>
    <w:rPr>
      <w:rFonts w:ascii="Verdana" w:eastAsia="Times New Roman" w:hAnsi="Verdana" w:cs="Times New Roman"/>
      <w:sz w:val="20"/>
      <w:szCs w:val="24"/>
      <w:lang w:val="en-US" w:eastAsia="nl-NL"/>
    </w:rPr>
  </w:style>
  <w:style w:type="character" w:customStyle="1" w:styleId="NummeringChar">
    <w:name w:val="Nummering Char"/>
    <w:link w:val="Nummering"/>
    <w:rsid w:val="00B94BA4"/>
    <w:rPr>
      <w:rFonts w:ascii="Verdana" w:eastAsia="Times New Roman" w:hAnsi="Verdana" w:cs="Times New Roman"/>
      <w:sz w:val="20"/>
      <w:szCs w:val="24"/>
      <w:lang w:val="en-US" w:eastAsia="nl-NL"/>
    </w:rPr>
  </w:style>
  <w:style w:type="paragraph" w:styleId="Lijstalinea">
    <w:name w:val="List Paragraph"/>
    <w:basedOn w:val="Standaard"/>
    <w:uiPriority w:val="34"/>
    <w:qFormat/>
    <w:rsid w:val="00B94B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157</Words>
  <Characters>869</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Hilkens Gunther</dc:creator>
  <cp:keywords/>
  <dc:description/>
  <cp:lastModifiedBy>Hilkens Gunther</cp:lastModifiedBy>
  <cp:revision>1</cp:revision>
  <dcterms:created xsi:type="dcterms:W3CDTF">2021-07-02T08:07:00Z</dcterms:created>
  <dcterms:modified xsi:type="dcterms:W3CDTF">2021-07-02T08:08:00Z</dcterms:modified>
</cp:coreProperties>
</file>