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6D0F" w14:textId="6B562379" w:rsidR="001A7885" w:rsidRPr="006F1CB9" w:rsidRDefault="006F1CB9">
      <w:pPr>
        <w:rPr>
          <w:b/>
          <w:bCs/>
        </w:rPr>
      </w:pPr>
      <w:r w:rsidRPr="006F1CB9">
        <w:rPr>
          <w:b/>
          <w:bCs/>
        </w:rPr>
        <w:t>Overzicht van de proeftuinen die sinds 2005 zijn uitgevoerd</w:t>
      </w:r>
    </w:p>
    <w:tbl>
      <w:tblPr>
        <w:tblStyle w:val="Tabelraster"/>
        <w:tblW w:w="0" w:type="auto"/>
        <w:tblLook w:val="04A0" w:firstRow="1" w:lastRow="0" w:firstColumn="1" w:lastColumn="0" w:noHBand="0" w:noVBand="1"/>
      </w:tblPr>
      <w:tblGrid>
        <w:gridCol w:w="2263"/>
        <w:gridCol w:w="6799"/>
      </w:tblGrid>
      <w:tr w:rsidR="006F1CB9" w14:paraId="2FE86716" w14:textId="77777777" w:rsidTr="006F1CB9">
        <w:tc>
          <w:tcPr>
            <w:tcW w:w="2263" w:type="dxa"/>
          </w:tcPr>
          <w:p w14:paraId="2F15FF28" w14:textId="60F3E0E1" w:rsidR="006F1CB9" w:rsidRPr="006F1CB9" w:rsidRDefault="006F1CB9" w:rsidP="006F1CB9">
            <w:pPr>
              <w:rPr>
                <w:b/>
                <w:bCs/>
              </w:rPr>
            </w:pPr>
            <w:r w:rsidRPr="006F1CB9">
              <w:rPr>
                <w:rFonts w:eastAsia="Verdana"/>
                <w:b/>
                <w:bCs/>
              </w:rPr>
              <w:t>De naam van het project.</w:t>
            </w:r>
          </w:p>
        </w:tc>
        <w:tc>
          <w:tcPr>
            <w:tcW w:w="6799" w:type="dxa"/>
          </w:tcPr>
          <w:p w14:paraId="5D3CFBED" w14:textId="77777777" w:rsidR="006F1CB9" w:rsidRDefault="0098656D" w:rsidP="006F1CB9">
            <w:r>
              <w:t>Tijdelijk project “Duaal lesgeven in het secundair onderwijs”</w:t>
            </w:r>
          </w:p>
          <w:p w14:paraId="2AEE4BC6" w14:textId="77777777" w:rsidR="0098656D" w:rsidRDefault="0098656D" w:rsidP="006F1CB9"/>
          <w:p w14:paraId="3CE419C7" w14:textId="3B2D0CCB" w:rsidR="0098656D" w:rsidRDefault="0098656D" w:rsidP="006F1CB9">
            <w:r w:rsidRPr="0098656D">
              <w:t xml:space="preserve">Besluit van de Vlaamse Regering </w:t>
            </w:r>
            <w:r>
              <w:t xml:space="preserve">van 2 oktober 2020 </w:t>
            </w:r>
            <w:r w:rsidRPr="0098656D">
              <w:t>over het tijdelijke project “Duaal lesgeven in het secundair onderwijs”</w:t>
            </w:r>
          </w:p>
          <w:p w14:paraId="4A50A81B" w14:textId="3A573318" w:rsidR="0098656D" w:rsidRDefault="003C5056" w:rsidP="006F1CB9">
            <w:hyperlink r:id="rId9" w:history="1">
              <w:r w:rsidR="0098656D" w:rsidRPr="00E512CB">
                <w:rPr>
                  <w:rStyle w:val="Hyperlink"/>
                </w:rPr>
                <w:t>https://data-onderwijs.vlaanderen.be/edulex/document.aspx?docid=15801</w:t>
              </w:r>
            </w:hyperlink>
            <w:r w:rsidR="0098656D">
              <w:t xml:space="preserve"> </w:t>
            </w:r>
          </w:p>
          <w:p w14:paraId="79EA6317" w14:textId="3F5BB964" w:rsidR="0098656D" w:rsidRDefault="0098656D" w:rsidP="006F1CB9"/>
        </w:tc>
      </w:tr>
      <w:tr w:rsidR="006F1CB9" w14:paraId="7CC2807B" w14:textId="77777777" w:rsidTr="006F1CB9">
        <w:tc>
          <w:tcPr>
            <w:tcW w:w="2263" w:type="dxa"/>
          </w:tcPr>
          <w:p w14:paraId="01C7890B" w14:textId="0706FF71" w:rsidR="006F1CB9" w:rsidRPr="006F1CB9" w:rsidRDefault="006F1CB9" w:rsidP="006F1CB9">
            <w:pPr>
              <w:rPr>
                <w:b/>
                <w:bCs/>
              </w:rPr>
            </w:pPr>
            <w:r w:rsidRPr="006F1CB9">
              <w:rPr>
                <w:rFonts w:eastAsia="Verdana"/>
                <w:b/>
                <w:bCs/>
              </w:rPr>
              <w:t>De te bereiken doelen van het project.</w:t>
            </w:r>
          </w:p>
        </w:tc>
        <w:tc>
          <w:tcPr>
            <w:tcW w:w="6799" w:type="dxa"/>
          </w:tcPr>
          <w:p w14:paraId="34D235CB" w14:textId="77777777" w:rsidR="00C35135" w:rsidRPr="00C35135" w:rsidRDefault="00C35135" w:rsidP="00C35135">
            <w:pPr>
              <w:rPr>
                <w:u w:val="single"/>
              </w:rPr>
            </w:pPr>
            <w:r w:rsidRPr="00C35135">
              <w:rPr>
                <w:u w:val="single"/>
              </w:rPr>
              <w:t>Concept van duaal lesgeven</w:t>
            </w:r>
          </w:p>
          <w:p w14:paraId="7F666DA1" w14:textId="77777777" w:rsidR="00C35135" w:rsidRDefault="00C35135" w:rsidP="00C35135"/>
          <w:p w14:paraId="1788C53B" w14:textId="77777777" w:rsidR="00C35135" w:rsidRDefault="00C35135" w:rsidP="00C35135">
            <w:r>
              <w:t xml:space="preserve">Duaal lesgeven is een concept waarbij een werknemer uit het bedrijfsleven tijdelijk een lesopdracht in het secundair onderwijs opneemt en daarbij tewerkgesteld is buiten het reguliere statutaire onderwijskader. Het onderscheidt zich dus expliciet van het proces van reguliere instroom in onderwijs, maar ook van zijinstroom waarbij mensen uit de privésector definitief de stap naar het onderwijs zetten en van het systeem van de voordrachtgever die een gastcollege verzorgt. </w:t>
            </w:r>
          </w:p>
          <w:p w14:paraId="75033921" w14:textId="77777777" w:rsidR="00C35135" w:rsidRDefault="00C35135" w:rsidP="00C35135">
            <w:r>
              <w:t>Dit concept heeft bijgevolg niet een duurzame loopbaan in het onderwijs als finaliteit. Het statuut van de duale werknemer blijft eenzijdig dat van werknemer van het bedrijf. Werknemer en werkgever bepalen in onderling overleg of en wanneer een duale lesopdracht vervuld kan worden.</w:t>
            </w:r>
          </w:p>
          <w:p w14:paraId="17B398E2" w14:textId="77777777" w:rsidR="00C35135" w:rsidRDefault="00C35135" w:rsidP="00C35135"/>
          <w:p w14:paraId="66E3D539" w14:textId="47E58FD0" w:rsidR="00C35135" w:rsidRDefault="00C35135" w:rsidP="00C35135">
            <w:r>
              <w:t>De samenwerking via duaal lesgeven gebeurt maximaal op maat van individuele scholen en bedrijven. Zij sluiten onderling een overeenkomst af, waarin de afspraken omtrent de lesopdracht, de arbeidsvoorwaarden en financiële voorwaarden voor de werknemer, de duur van de opdracht, … vastgelegd worden.</w:t>
            </w:r>
          </w:p>
          <w:p w14:paraId="4CCB04B0" w14:textId="77777777" w:rsidR="00C35135" w:rsidRDefault="00C35135" w:rsidP="00C35135"/>
          <w:p w14:paraId="4D77DCA0" w14:textId="77777777" w:rsidR="00C35135" w:rsidRPr="00C35135" w:rsidRDefault="00C35135" w:rsidP="00C35135">
            <w:pPr>
              <w:rPr>
                <w:u w:val="single"/>
              </w:rPr>
            </w:pPr>
            <w:r w:rsidRPr="00C35135">
              <w:rPr>
                <w:u w:val="single"/>
              </w:rPr>
              <w:t>Voordelen voor scholen, leerlingen, bedrijven en medewerkers</w:t>
            </w:r>
          </w:p>
          <w:p w14:paraId="0A57B5B4" w14:textId="77777777" w:rsidR="00C35135" w:rsidRDefault="00C35135" w:rsidP="00C35135"/>
          <w:p w14:paraId="61E26A1E" w14:textId="77777777" w:rsidR="00C35135" w:rsidRDefault="00C35135" w:rsidP="00C35135">
            <w:r>
              <w:t xml:space="preserve">Duaal lesgeven kan het groeiende lerarentekort milderen. Het concept laat toe dat een school tijdelijk een beroep doet op gemotiveerde vakleerkrachten die ze momenteel niet of moeilijk vindt. Dit vermijdt dat leerlingen geen les krijgen of dat de school andere ‘creatieve’ wegen moet zoeken om haar vacatures in te vullen. Leerlingen krijgen les van vakmensen met ervaring die de theoretische formules uit de handboeken kunnen illustreren met praktische toepassingen vanop de werkvloer. </w:t>
            </w:r>
          </w:p>
          <w:p w14:paraId="460DF5C9" w14:textId="77777777" w:rsidR="00C35135" w:rsidRDefault="00C35135" w:rsidP="00C35135"/>
          <w:p w14:paraId="209B07A6" w14:textId="77777777" w:rsidR="00C35135" w:rsidRDefault="00C35135" w:rsidP="00C35135">
            <w:r>
              <w:t xml:space="preserve">Het kan bijdragen aan de versterking van levenslang leren voor beide partijen. </w:t>
            </w:r>
          </w:p>
          <w:p w14:paraId="768126CB" w14:textId="77777777" w:rsidR="00C35135" w:rsidRDefault="00C35135" w:rsidP="00C35135">
            <w:r>
              <w:t>De inbreng van de expertise van de werknemer en in tweede instantie van het bedrijf in de school vormt ondersteuning voor haar professionaliseringsbeleid, zowel voor de STEM-studierichtingen als daarbuiten. Dit komt zeker de attractiviteit van STEM-richtingen ten goede en kan daarnaast ook een positieve impact hebben op de uitstroom naar STEM-opleidingen en STEM-beroepen. Bedrijven kunnen dan weer de wisselwerking met het onderwijs versterken, meer talent aanboren en hun medewerkers de kans bieden om hun loopbaan te verrijken. Duale medewerkers verbreden hun competenties en dragen ook bij aan een cultuur van levenslang leren binnen het bedrijf.</w:t>
            </w:r>
          </w:p>
          <w:p w14:paraId="53BA427D" w14:textId="77777777" w:rsidR="00C35135" w:rsidRDefault="00C35135" w:rsidP="00C35135"/>
          <w:p w14:paraId="03A1565B" w14:textId="77777777" w:rsidR="00C35135" w:rsidRDefault="00C35135" w:rsidP="00C35135">
            <w:r>
              <w:t>Duaal lesgeven vormt zo een brug tussen onderwijs en arbeidsmarkt en creëert netwerken waar ook op langere termijn verdere vruchtbare samenwerking uit kan voortkomen.</w:t>
            </w:r>
          </w:p>
          <w:p w14:paraId="5EE11A80" w14:textId="267F7B13" w:rsidR="00C35135" w:rsidRDefault="00C35135" w:rsidP="00C35135"/>
        </w:tc>
      </w:tr>
      <w:tr w:rsidR="006F1CB9" w14:paraId="6C28243A" w14:textId="77777777" w:rsidTr="006F1CB9">
        <w:tc>
          <w:tcPr>
            <w:tcW w:w="2263" w:type="dxa"/>
          </w:tcPr>
          <w:p w14:paraId="4CC7F9AD" w14:textId="32825483" w:rsidR="006F1CB9" w:rsidRPr="006F1CB9" w:rsidRDefault="006F1CB9" w:rsidP="006F1CB9">
            <w:pPr>
              <w:rPr>
                <w:b/>
                <w:bCs/>
              </w:rPr>
            </w:pPr>
            <w:r w:rsidRPr="006F1CB9">
              <w:rPr>
                <w:rFonts w:eastAsia="Verdana"/>
                <w:b/>
                <w:bCs/>
              </w:rPr>
              <w:lastRenderedPageBreak/>
              <w:t>Welke afwijkingen van wettelijke en decretale bepalingen onderdeel waren van het project.</w:t>
            </w:r>
          </w:p>
        </w:tc>
        <w:tc>
          <w:tcPr>
            <w:tcW w:w="6799" w:type="dxa"/>
          </w:tcPr>
          <w:p w14:paraId="3AD87527" w14:textId="77777777" w:rsidR="006F1CB9" w:rsidRDefault="0098656D" w:rsidP="006F1CB9">
            <w:r>
              <w:t>Decreten rechtspositie van 27 maart 1991 zijn niet van toepassing</w:t>
            </w:r>
          </w:p>
          <w:p w14:paraId="056A7BF6" w14:textId="30401EB2" w:rsidR="00BB7E14" w:rsidRDefault="000C7647" w:rsidP="006F1CB9">
            <w:r w:rsidRPr="000C7647">
              <w:t>Het decreet rechtspositie personeelsleden gemeenschapsonderwijs</w:t>
            </w:r>
            <w:r>
              <w:t xml:space="preserve"> van 27 maart 1991</w:t>
            </w:r>
            <w:r w:rsidRPr="000C7647">
              <w:t xml:space="preserve">, het decreet rechtspositie personeelsleden gesubsidieerd onderwijs </w:t>
            </w:r>
            <w:r>
              <w:t xml:space="preserve">van 27 maart 1991 </w:t>
            </w:r>
            <w:r w:rsidRPr="000C7647">
              <w:t>en hun uitvoeringsbesluiten zijn niet van toepassing op de personeelsleden</w:t>
            </w:r>
            <w:r>
              <w:t xml:space="preserve"> die als duale lesgever aan de slag gaan in een school.</w:t>
            </w:r>
          </w:p>
          <w:p w14:paraId="26E66F21" w14:textId="77777777" w:rsidR="000C7647" w:rsidRDefault="000C7647" w:rsidP="006F1CB9"/>
          <w:p w14:paraId="4066409B" w14:textId="3E4FF43D" w:rsidR="00BB7E14" w:rsidRDefault="00BB7E14" w:rsidP="006F1CB9">
            <w:r>
              <w:t xml:space="preserve">Zie </w:t>
            </w:r>
            <w:r w:rsidR="000C7647">
              <w:t xml:space="preserve">ook </w:t>
            </w:r>
            <w:hyperlink r:id="rId10" w:anchor="258860" w:history="1">
              <w:r w:rsidRPr="000C7647">
                <w:rPr>
                  <w:rStyle w:val="Hyperlink"/>
                </w:rPr>
                <w:t xml:space="preserve">artikel </w:t>
              </w:r>
              <w:r w:rsidR="000C7647" w:rsidRPr="000C7647">
                <w:rPr>
                  <w:rStyle w:val="Hyperlink"/>
                </w:rPr>
                <w:t>4/1</w:t>
              </w:r>
            </w:hyperlink>
            <w:r>
              <w:t xml:space="preserve"> van het decreet </w:t>
            </w:r>
            <w:r w:rsidR="000C7647">
              <w:t xml:space="preserve">van 9 december 2005 </w:t>
            </w:r>
            <w:r w:rsidR="000C7647" w:rsidRPr="000C7647">
              <w:t>betreffende de organisatie van tijdelijke projecten in het onderwijs</w:t>
            </w:r>
            <w:r w:rsidR="000C7647">
              <w:t>.</w:t>
            </w:r>
          </w:p>
          <w:p w14:paraId="2EC23997" w14:textId="62390449" w:rsidR="000C7647" w:rsidRDefault="000C7647" w:rsidP="006F1CB9"/>
        </w:tc>
      </w:tr>
      <w:tr w:rsidR="006F1CB9" w14:paraId="07562AEE" w14:textId="77777777" w:rsidTr="006F1CB9">
        <w:tc>
          <w:tcPr>
            <w:tcW w:w="2263" w:type="dxa"/>
          </w:tcPr>
          <w:p w14:paraId="5B02C51F" w14:textId="4CF103D9" w:rsidR="006F1CB9" w:rsidRPr="006F1CB9" w:rsidRDefault="006F1CB9" w:rsidP="006F1CB9">
            <w:pPr>
              <w:rPr>
                <w:b/>
                <w:bCs/>
              </w:rPr>
            </w:pPr>
            <w:r w:rsidRPr="006F1CB9">
              <w:rPr>
                <w:rFonts w:eastAsia="Verdana"/>
                <w:b/>
                <w:bCs/>
              </w:rPr>
              <w:t>Het schooljaar waarin het project is doorgegaan.</w:t>
            </w:r>
          </w:p>
        </w:tc>
        <w:tc>
          <w:tcPr>
            <w:tcW w:w="6799" w:type="dxa"/>
          </w:tcPr>
          <w:p w14:paraId="6CD3A035" w14:textId="73C2829C" w:rsidR="0098656D" w:rsidRDefault="00C35135" w:rsidP="006F1CB9">
            <w:r>
              <w:t xml:space="preserve">Het tijdelijke project </w:t>
            </w:r>
            <w:r w:rsidR="0098656D">
              <w:t>loopt gedurende twee schooljaren</w:t>
            </w:r>
            <w:r w:rsidR="00BB7E14">
              <w:t xml:space="preserve"> </w:t>
            </w:r>
            <w:r>
              <w:t xml:space="preserve">van 1 september 2020 </w:t>
            </w:r>
            <w:r w:rsidR="00BB7E14">
              <w:t>tot en met 31 augustus 2022</w:t>
            </w:r>
          </w:p>
          <w:p w14:paraId="14512070" w14:textId="4994CEF0" w:rsidR="00BB7E14" w:rsidRDefault="00BB7E14" w:rsidP="006F1CB9"/>
        </w:tc>
      </w:tr>
      <w:tr w:rsidR="006F1CB9" w14:paraId="7934505D" w14:textId="77777777" w:rsidTr="006F1CB9">
        <w:tc>
          <w:tcPr>
            <w:tcW w:w="2263" w:type="dxa"/>
          </w:tcPr>
          <w:p w14:paraId="0FB98F75" w14:textId="552D8900" w:rsidR="006F1CB9" w:rsidRPr="006F1CB9" w:rsidRDefault="006F1CB9" w:rsidP="006F1CB9">
            <w:pPr>
              <w:rPr>
                <w:b/>
                <w:bCs/>
              </w:rPr>
            </w:pPr>
            <w:r w:rsidRPr="006F1CB9">
              <w:rPr>
                <w:rFonts w:eastAsia="Verdana"/>
                <w:b/>
                <w:bCs/>
              </w:rPr>
              <w:t>De scholen die deelnamen, onderverdeeld per provincie.</w:t>
            </w:r>
          </w:p>
        </w:tc>
        <w:tc>
          <w:tcPr>
            <w:tcW w:w="6799" w:type="dxa"/>
          </w:tcPr>
          <w:p w14:paraId="18843866" w14:textId="5C56EDC7" w:rsidR="006F1CB9" w:rsidRDefault="00C35135" w:rsidP="006F1CB9">
            <w:r>
              <w:t>Er is momenteel n</w:t>
            </w:r>
            <w:r w:rsidR="0098656D">
              <w:t xml:space="preserve">og geen effectieve deelname van scholen </w:t>
            </w:r>
            <w:r>
              <w:t>omdat de</w:t>
            </w:r>
            <w:r w:rsidR="0098656D">
              <w:t xml:space="preserve"> start van het project samen viel met </w:t>
            </w:r>
            <w:r>
              <w:t xml:space="preserve">de </w:t>
            </w:r>
            <w:r w:rsidR="0098656D">
              <w:t>corona-epidemie</w:t>
            </w:r>
            <w:r>
              <w:t>.</w:t>
            </w:r>
          </w:p>
          <w:p w14:paraId="5CC1284F" w14:textId="2284CC6C" w:rsidR="00BB7E14" w:rsidRDefault="00BB7E14" w:rsidP="006F1CB9"/>
        </w:tc>
      </w:tr>
      <w:tr w:rsidR="006F1CB9" w14:paraId="2AE7C6C7" w14:textId="77777777" w:rsidTr="006F1CB9">
        <w:tc>
          <w:tcPr>
            <w:tcW w:w="2263" w:type="dxa"/>
          </w:tcPr>
          <w:p w14:paraId="66FBEEAD" w14:textId="4EEDB7CA" w:rsidR="006F1CB9" w:rsidRPr="006F1CB9" w:rsidRDefault="006F1CB9" w:rsidP="006F1CB9">
            <w:pPr>
              <w:rPr>
                <w:b/>
                <w:bCs/>
              </w:rPr>
            </w:pPr>
            <w:r w:rsidRPr="006F1CB9">
              <w:rPr>
                <w:rFonts w:eastAsia="Verdana"/>
                <w:b/>
                <w:bCs/>
              </w:rPr>
              <w:t>Welke financiële bijkomende ondersteuning het project heeft gekregen.</w:t>
            </w:r>
          </w:p>
        </w:tc>
        <w:tc>
          <w:tcPr>
            <w:tcW w:w="6799" w:type="dxa"/>
          </w:tcPr>
          <w:p w14:paraId="6AF31659" w14:textId="46722545" w:rsidR="0098656D" w:rsidRDefault="00C35135" w:rsidP="006F1CB9">
            <w:r>
              <w:t>Het BVR van 2 oktober 2020 voorziet g</w:t>
            </w:r>
            <w:r w:rsidR="0098656D">
              <w:t>een bijkomende financiële ondersteuning</w:t>
            </w:r>
          </w:p>
          <w:p w14:paraId="32F906E7" w14:textId="77777777" w:rsidR="0098656D" w:rsidRDefault="0098656D" w:rsidP="006F1CB9"/>
          <w:p w14:paraId="6A005C74" w14:textId="240CA0B5" w:rsidR="00C35135" w:rsidRDefault="00C35135" w:rsidP="00AD62FF"/>
        </w:tc>
      </w:tr>
      <w:tr w:rsidR="006F1CB9" w14:paraId="2B555ED7" w14:textId="77777777" w:rsidTr="006F1CB9">
        <w:tc>
          <w:tcPr>
            <w:tcW w:w="2263" w:type="dxa"/>
          </w:tcPr>
          <w:p w14:paraId="18C184B5" w14:textId="10B0A4B7" w:rsidR="006F1CB9" w:rsidRPr="006F1CB9" w:rsidRDefault="006F1CB9" w:rsidP="006F1CB9">
            <w:pPr>
              <w:rPr>
                <w:b/>
                <w:bCs/>
              </w:rPr>
            </w:pPr>
            <w:r w:rsidRPr="006F1CB9">
              <w:rPr>
                <w:rFonts w:eastAsia="Verdana"/>
                <w:b/>
                <w:bCs/>
              </w:rPr>
              <w:t>Wat geëvalueerd moest worden en welke actoren betrokken werden bij de evaluatie.</w:t>
            </w:r>
          </w:p>
        </w:tc>
        <w:tc>
          <w:tcPr>
            <w:tcW w:w="6799" w:type="dxa"/>
          </w:tcPr>
          <w:p w14:paraId="5282BA75" w14:textId="07DD519D" w:rsidR="00C35135" w:rsidRDefault="00C35135" w:rsidP="00C35135">
            <w:r>
              <w:t>De doelstelling van het tijdelijke project is om, met het oog op een al dan niet organieke implementatie, gegevens te verzamelen die moeten toelaten om beleidsconclusies te trekken met betrekking tot een vorm van flexibele tewerkstelling in onderwijs in het kader van een tekort aan leerkrachten. Dit zal gebeuren door na te gaan of er knelpunten en drempels opduiken tijdens het tijdelijke project en hoe deze knelpunten en drempels waar nodig en mogelijk kunnen worden aangepakt.</w:t>
            </w:r>
          </w:p>
          <w:p w14:paraId="5848F4B2" w14:textId="77777777" w:rsidR="00C35135" w:rsidRDefault="00C35135" w:rsidP="00C35135"/>
          <w:p w14:paraId="5837E11B" w14:textId="38DDEE4C" w:rsidR="00C35135" w:rsidRDefault="00C35135" w:rsidP="00C35135">
            <w:r>
              <w:t>Een expertenpanel staat in voor evaluatie (voor de samenstelling zie artikel 12 van het BVR)</w:t>
            </w:r>
          </w:p>
          <w:p w14:paraId="5090A5DD" w14:textId="77777777" w:rsidR="00C35135" w:rsidRDefault="00C35135" w:rsidP="00C35135"/>
          <w:p w14:paraId="42070757" w14:textId="77777777" w:rsidR="00F70A54" w:rsidRDefault="00C35135" w:rsidP="006F1CB9">
            <w:r>
              <w:t>De e</w:t>
            </w:r>
            <w:r w:rsidR="00F70A54">
              <w:t>valuatie gebeurt pas tijdens tweede schooljaar looptijd project</w:t>
            </w:r>
            <w:r>
              <w:t>.</w:t>
            </w:r>
          </w:p>
          <w:p w14:paraId="530CC102" w14:textId="03648320" w:rsidR="00C35135" w:rsidRDefault="00C35135" w:rsidP="006F1CB9"/>
        </w:tc>
      </w:tr>
      <w:tr w:rsidR="006F1CB9" w14:paraId="78A5DF3C" w14:textId="77777777" w:rsidTr="006F1CB9">
        <w:tc>
          <w:tcPr>
            <w:tcW w:w="2263" w:type="dxa"/>
          </w:tcPr>
          <w:p w14:paraId="05243447" w14:textId="63ABBC45" w:rsidR="006F1CB9" w:rsidRPr="006F1CB9" w:rsidRDefault="006F1CB9" w:rsidP="006F1CB9">
            <w:pPr>
              <w:rPr>
                <w:b/>
                <w:bCs/>
              </w:rPr>
            </w:pPr>
            <w:r w:rsidRPr="006F1CB9">
              <w:rPr>
                <w:rFonts w:eastAsia="Verdana"/>
                <w:b/>
                <w:bCs/>
              </w:rPr>
              <w:t>Of het project tot bijkomende beleidswijzigingen heeft geleid en zo ja, welke.</w:t>
            </w:r>
          </w:p>
        </w:tc>
        <w:tc>
          <w:tcPr>
            <w:tcW w:w="6799" w:type="dxa"/>
          </w:tcPr>
          <w:p w14:paraId="58F636EC" w14:textId="256D6C82" w:rsidR="006F1CB9" w:rsidRDefault="00C35135" w:rsidP="006F1CB9">
            <w:r>
              <w:t>Vermits het p</w:t>
            </w:r>
            <w:r w:rsidR="0098656D">
              <w:t xml:space="preserve">roject </w:t>
            </w:r>
            <w:r>
              <w:t xml:space="preserve">nog </w:t>
            </w:r>
            <w:r w:rsidR="0098656D">
              <w:t xml:space="preserve">loopt </w:t>
            </w:r>
            <w:r>
              <w:t>en de</w:t>
            </w:r>
            <w:r w:rsidR="0098656D">
              <w:t xml:space="preserve"> evaluatie </w:t>
            </w:r>
            <w:r>
              <w:t>nog niet is afgerond, zijn er nog geen beleidsconclusies</w:t>
            </w:r>
          </w:p>
        </w:tc>
      </w:tr>
    </w:tbl>
    <w:p w14:paraId="5E471D29" w14:textId="77777777" w:rsidR="006F1CB9" w:rsidRDefault="006F1CB9"/>
    <w:sectPr w:rsidR="006F1C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EC61A" w14:textId="77777777" w:rsidR="00B61427" w:rsidRDefault="00B61427" w:rsidP="006F1CB9">
      <w:pPr>
        <w:spacing w:after="0" w:line="240" w:lineRule="auto"/>
      </w:pPr>
      <w:r>
        <w:separator/>
      </w:r>
    </w:p>
  </w:endnote>
  <w:endnote w:type="continuationSeparator" w:id="0">
    <w:p w14:paraId="3DE5E6C6" w14:textId="77777777" w:rsidR="00B61427" w:rsidRDefault="00B61427" w:rsidP="006F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B39CD" w14:textId="77777777" w:rsidR="00B61427" w:rsidRDefault="00B61427" w:rsidP="006F1CB9">
      <w:pPr>
        <w:spacing w:after="0" w:line="240" w:lineRule="auto"/>
      </w:pPr>
      <w:r>
        <w:separator/>
      </w:r>
    </w:p>
  </w:footnote>
  <w:footnote w:type="continuationSeparator" w:id="0">
    <w:p w14:paraId="779A016B" w14:textId="77777777" w:rsidR="00B61427" w:rsidRDefault="00B61427" w:rsidP="006F1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B9"/>
    <w:rsid w:val="000C7647"/>
    <w:rsid w:val="003C5056"/>
    <w:rsid w:val="004115AE"/>
    <w:rsid w:val="006F1CB9"/>
    <w:rsid w:val="00795839"/>
    <w:rsid w:val="0098656D"/>
    <w:rsid w:val="00AD62FF"/>
    <w:rsid w:val="00B421FA"/>
    <w:rsid w:val="00B61427"/>
    <w:rsid w:val="00BB7E14"/>
    <w:rsid w:val="00C35135"/>
    <w:rsid w:val="00DE5C10"/>
    <w:rsid w:val="00F70A54"/>
    <w:rsid w:val="00F82067"/>
    <w:rsid w:val="00FB1E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2AD66"/>
  <w15:chartTrackingRefBased/>
  <w15:docId w15:val="{99184C34-11AD-4EFE-AA13-01BC591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F1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8656D"/>
    <w:rPr>
      <w:color w:val="0563C1" w:themeColor="hyperlink"/>
      <w:u w:val="single"/>
    </w:rPr>
  </w:style>
  <w:style w:type="character" w:styleId="Onopgelostemelding">
    <w:name w:val="Unresolved Mention"/>
    <w:basedOn w:val="Standaardalinea-lettertype"/>
    <w:uiPriority w:val="99"/>
    <w:semiHidden/>
    <w:unhideWhenUsed/>
    <w:rsid w:val="0098656D"/>
    <w:rPr>
      <w:color w:val="605E5C"/>
      <w:shd w:val="clear" w:color="auto" w:fill="E1DFDD"/>
    </w:rPr>
  </w:style>
  <w:style w:type="character" w:styleId="Verwijzingopmerking">
    <w:name w:val="annotation reference"/>
    <w:basedOn w:val="Standaardalinea-lettertype"/>
    <w:uiPriority w:val="99"/>
    <w:semiHidden/>
    <w:unhideWhenUsed/>
    <w:rsid w:val="000C7647"/>
    <w:rPr>
      <w:sz w:val="16"/>
      <w:szCs w:val="16"/>
    </w:rPr>
  </w:style>
  <w:style w:type="paragraph" w:styleId="Tekstopmerking">
    <w:name w:val="annotation text"/>
    <w:basedOn w:val="Standaard"/>
    <w:link w:val="TekstopmerkingChar"/>
    <w:uiPriority w:val="99"/>
    <w:semiHidden/>
    <w:unhideWhenUsed/>
    <w:rsid w:val="000C76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7647"/>
    <w:rPr>
      <w:sz w:val="20"/>
      <w:szCs w:val="20"/>
    </w:rPr>
  </w:style>
  <w:style w:type="paragraph" w:styleId="Onderwerpvanopmerking">
    <w:name w:val="annotation subject"/>
    <w:basedOn w:val="Tekstopmerking"/>
    <w:next w:val="Tekstopmerking"/>
    <w:link w:val="OnderwerpvanopmerkingChar"/>
    <w:uiPriority w:val="99"/>
    <w:semiHidden/>
    <w:unhideWhenUsed/>
    <w:rsid w:val="000C7647"/>
    <w:rPr>
      <w:b/>
      <w:bCs/>
    </w:rPr>
  </w:style>
  <w:style w:type="character" w:customStyle="1" w:styleId="OnderwerpvanopmerkingChar">
    <w:name w:val="Onderwerp van opmerking Char"/>
    <w:basedOn w:val="TekstopmerkingChar"/>
    <w:link w:val="Onderwerpvanopmerking"/>
    <w:uiPriority w:val="99"/>
    <w:semiHidden/>
    <w:rsid w:val="000C7647"/>
    <w:rPr>
      <w:b/>
      <w:bCs/>
      <w:sz w:val="20"/>
      <w:szCs w:val="20"/>
    </w:rPr>
  </w:style>
  <w:style w:type="paragraph" w:styleId="Ballontekst">
    <w:name w:val="Balloon Text"/>
    <w:basedOn w:val="Standaard"/>
    <w:link w:val="BallontekstChar"/>
    <w:uiPriority w:val="99"/>
    <w:semiHidden/>
    <w:unhideWhenUsed/>
    <w:rsid w:val="000C76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3058">
      <w:bodyDiv w:val="1"/>
      <w:marLeft w:val="0"/>
      <w:marRight w:val="0"/>
      <w:marTop w:val="0"/>
      <w:marBottom w:val="0"/>
      <w:divBdr>
        <w:top w:val="none" w:sz="0" w:space="0" w:color="auto"/>
        <w:left w:val="none" w:sz="0" w:space="0" w:color="auto"/>
        <w:bottom w:val="none" w:sz="0" w:space="0" w:color="auto"/>
        <w:right w:val="none" w:sz="0" w:space="0" w:color="auto"/>
      </w:divBdr>
    </w:div>
    <w:div w:id="15568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ata-onderwijs.vlaanderen.be/edulex/document.aspx?docid=13749" TargetMode="External"/><Relationship Id="rId4" Type="http://schemas.openxmlformats.org/officeDocument/2006/relationships/styles" Target="styles.xml"/><Relationship Id="rId9" Type="http://schemas.openxmlformats.org/officeDocument/2006/relationships/hyperlink" Target="https://data-onderwijs.vlaanderen.be/edulex/document.aspx?docid=158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13685-1F7D-44C9-A08C-C345171F3D37}">
  <ds:schemaRefs>
    <ds:schemaRef ds:uri="http://schemas.microsoft.com/sharepoint/v3/contenttype/forms"/>
  </ds:schemaRefs>
</ds:datastoreItem>
</file>

<file path=customXml/itemProps2.xml><?xml version="1.0" encoding="utf-8"?>
<ds:datastoreItem xmlns:ds="http://schemas.openxmlformats.org/officeDocument/2006/customXml" ds:itemID="{5477D9F0-86C8-44F0-BA13-908166A25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A0714-4A80-41D4-82F0-4BBC8FA54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Thoelen Andy</dc:creator>
  <cp:keywords/>
  <dc:description/>
  <cp:lastModifiedBy>Rolle Sinja</cp:lastModifiedBy>
  <cp:revision>3</cp:revision>
  <cp:lastPrinted>2021-05-17T14:04:00Z</cp:lastPrinted>
  <dcterms:created xsi:type="dcterms:W3CDTF">2021-05-05T09:23:00Z</dcterms:created>
  <dcterms:modified xsi:type="dcterms:W3CDTF">2021-05-17T14:04:00Z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