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BC9E5" w14:textId="4E8C2896" w:rsidR="00091C7E" w:rsidRDefault="00091C7E" w:rsidP="005C6C1F">
      <w:pPr>
        <w:rPr>
          <w:rFonts w:ascii="Verdana" w:hAnsi="Verdana"/>
          <w:b/>
          <w:bCs/>
          <w:sz w:val="24"/>
          <w:szCs w:val="24"/>
        </w:rPr>
      </w:pPr>
      <w:r w:rsidRPr="00DD2259">
        <w:rPr>
          <w:rFonts w:ascii="Verdana" w:hAnsi="Verdana"/>
          <w:b/>
          <w:bCs/>
          <w:sz w:val="24"/>
          <w:szCs w:val="24"/>
        </w:rPr>
        <w:t xml:space="preserve">Bijlage </w:t>
      </w:r>
      <w:r w:rsidR="001B035A">
        <w:rPr>
          <w:rFonts w:ascii="Verdana" w:hAnsi="Verdana"/>
          <w:b/>
          <w:bCs/>
          <w:sz w:val="24"/>
          <w:szCs w:val="24"/>
        </w:rPr>
        <w:t>3</w:t>
      </w:r>
      <w:r w:rsidRPr="00DD2259">
        <w:rPr>
          <w:rFonts w:ascii="Verdana" w:hAnsi="Verdana"/>
          <w:b/>
          <w:bCs/>
          <w:sz w:val="24"/>
          <w:szCs w:val="24"/>
        </w:rPr>
        <w:t xml:space="preserve">: </w:t>
      </w:r>
      <w:r w:rsidR="00DA069C">
        <w:rPr>
          <w:rFonts w:ascii="Verdana" w:hAnsi="Verdana"/>
          <w:b/>
          <w:bCs/>
          <w:sz w:val="24"/>
          <w:szCs w:val="24"/>
        </w:rPr>
        <w:t>A</w:t>
      </w:r>
      <w:r w:rsidR="003F7C9F" w:rsidRPr="003F7C9F">
        <w:rPr>
          <w:rFonts w:ascii="Verdana" w:hAnsi="Verdana"/>
          <w:b/>
          <w:bCs/>
          <w:sz w:val="24"/>
          <w:szCs w:val="24"/>
        </w:rPr>
        <w:t xml:space="preserve">antal ziektedagen </w:t>
      </w:r>
      <w:r w:rsidR="007050D8">
        <w:rPr>
          <w:rFonts w:ascii="Verdana" w:hAnsi="Verdana"/>
          <w:b/>
          <w:bCs/>
          <w:sz w:val="24"/>
          <w:szCs w:val="24"/>
        </w:rPr>
        <w:t>en ziekte</w:t>
      </w:r>
      <w:r w:rsidR="003F7C9F" w:rsidRPr="003F7C9F">
        <w:rPr>
          <w:rFonts w:ascii="Verdana" w:hAnsi="Verdana"/>
          <w:b/>
          <w:bCs/>
          <w:sz w:val="24"/>
          <w:szCs w:val="24"/>
        </w:rPr>
        <w:t>per</w:t>
      </w:r>
      <w:r w:rsidR="00E25B1F">
        <w:rPr>
          <w:rFonts w:ascii="Verdana" w:hAnsi="Verdana"/>
          <w:b/>
          <w:bCs/>
          <w:sz w:val="24"/>
          <w:szCs w:val="24"/>
        </w:rPr>
        <w:t>centage</w:t>
      </w:r>
      <w:r w:rsidR="005C6C1F">
        <w:rPr>
          <w:rFonts w:ascii="Verdana" w:hAnsi="Verdana"/>
          <w:b/>
          <w:bCs/>
          <w:sz w:val="24"/>
          <w:szCs w:val="24"/>
        </w:rPr>
        <w:t xml:space="preserve"> </w:t>
      </w:r>
      <w:r w:rsidR="00DA069C">
        <w:rPr>
          <w:rFonts w:ascii="Verdana" w:hAnsi="Verdana"/>
          <w:b/>
          <w:bCs/>
          <w:sz w:val="24"/>
          <w:szCs w:val="24"/>
        </w:rPr>
        <w:t xml:space="preserve">te wijten aan </w:t>
      </w:r>
      <w:r w:rsidR="000835B0">
        <w:rPr>
          <w:rFonts w:ascii="Verdana" w:hAnsi="Verdana"/>
          <w:b/>
          <w:bCs/>
          <w:sz w:val="24"/>
          <w:szCs w:val="24"/>
        </w:rPr>
        <w:t xml:space="preserve">burn-out </w:t>
      </w:r>
      <w:r w:rsidR="005C6C1F">
        <w:rPr>
          <w:rFonts w:ascii="Verdana" w:hAnsi="Verdana"/>
          <w:b/>
          <w:bCs/>
          <w:sz w:val="24"/>
          <w:szCs w:val="24"/>
        </w:rPr>
        <w:t>per</w:t>
      </w:r>
      <w:r w:rsidR="003F7C9F">
        <w:rPr>
          <w:rFonts w:ascii="Verdana" w:hAnsi="Verdana"/>
          <w:b/>
          <w:bCs/>
          <w:sz w:val="24"/>
          <w:szCs w:val="24"/>
        </w:rPr>
        <w:t xml:space="preserve"> beleidsdomein </w:t>
      </w:r>
      <w:r w:rsidR="003423CA">
        <w:rPr>
          <w:rFonts w:ascii="Verdana" w:hAnsi="Verdana"/>
          <w:b/>
          <w:bCs/>
          <w:sz w:val="24"/>
          <w:szCs w:val="24"/>
        </w:rPr>
        <w:t>opgedeeld naar ge</w:t>
      </w:r>
      <w:r w:rsidR="00EB41B9">
        <w:rPr>
          <w:rFonts w:ascii="Verdana" w:hAnsi="Verdana"/>
          <w:b/>
          <w:bCs/>
          <w:sz w:val="24"/>
          <w:szCs w:val="24"/>
        </w:rPr>
        <w:t>nder</w:t>
      </w:r>
      <w:r w:rsidR="003423CA">
        <w:rPr>
          <w:rFonts w:ascii="Verdana" w:hAnsi="Verdana"/>
          <w:b/>
          <w:bCs/>
          <w:sz w:val="24"/>
          <w:szCs w:val="24"/>
        </w:rPr>
        <w:t xml:space="preserve">, </w:t>
      </w:r>
      <w:r w:rsidR="00EB41B9">
        <w:rPr>
          <w:rFonts w:ascii="Verdana" w:hAnsi="Verdana"/>
          <w:b/>
          <w:bCs/>
          <w:sz w:val="24"/>
          <w:szCs w:val="24"/>
        </w:rPr>
        <w:t xml:space="preserve">statuut, niveau en leeftijd </w:t>
      </w:r>
      <w:r w:rsidR="000835B0">
        <w:rPr>
          <w:rFonts w:ascii="Verdana" w:hAnsi="Verdana"/>
          <w:b/>
          <w:bCs/>
          <w:sz w:val="24"/>
          <w:szCs w:val="24"/>
        </w:rPr>
        <w:t>voor het jaar 2019</w:t>
      </w:r>
    </w:p>
    <w:p w14:paraId="0A709BE9" w14:textId="6A4B25EB" w:rsidR="007735DB" w:rsidRPr="007735DB" w:rsidRDefault="00F633B6" w:rsidP="007735DB">
      <w:pPr>
        <w:rPr>
          <w:rFonts w:ascii="Verdana" w:hAnsi="Verdana"/>
          <w:sz w:val="20"/>
          <w:szCs w:val="20"/>
          <w:lang w:val="nl-NL"/>
        </w:rPr>
      </w:pPr>
      <w:r w:rsidRPr="000C55FD">
        <w:rPr>
          <w:rFonts w:ascii="Verdana" w:hAnsi="Verdana"/>
          <w:sz w:val="20"/>
          <w:szCs w:val="20"/>
        </w:rPr>
        <w:t>Onderstaande cijfers hebben betrekking op de diensten van de Vlaamse overheid die gebruik maken van het personeelsregistratiesysteem Vlimpers</w:t>
      </w:r>
      <w:r>
        <w:rPr>
          <w:rFonts w:ascii="Verdana" w:hAnsi="Verdana"/>
          <w:sz w:val="20"/>
          <w:szCs w:val="20"/>
        </w:rPr>
        <w:t xml:space="preserve"> en </w:t>
      </w:r>
      <w:r w:rsidR="007735DB" w:rsidRPr="007735DB">
        <w:rPr>
          <w:rFonts w:ascii="Verdana" w:hAnsi="Verdana"/>
          <w:sz w:val="20"/>
          <w:szCs w:val="20"/>
          <w:lang w:val="nl-NL"/>
        </w:rPr>
        <w:t xml:space="preserve">aangesloten zijn op het raamcontract Medisch Controleorgaan </w:t>
      </w:r>
      <w:r w:rsidR="007735DB" w:rsidRPr="007735DB">
        <w:rPr>
          <w:rFonts w:ascii="Verdana" w:hAnsi="Verdana"/>
          <w:sz w:val="20"/>
          <w:szCs w:val="20"/>
        </w:rPr>
        <w:t xml:space="preserve">voor het jaar 2019. Een rapport over de periode oktober-december 2019 is niet mogelijk. </w:t>
      </w:r>
      <w:r w:rsidR="00243B4C" w:rsidRPr="00243B4C">
        <w:rPr>
          <w:rFonts w:ascii="Verdana" w:eastAsia="Times New Roman" w:hAnsi="Verdana" w:cs="Times New Roman"/>
          <w:sz w:val="20"/>
          <w:szCs w:val="20"/>
          <w:lang w:val="nl-NL" w:eastAsia="nl-NL"/>
        </w:rPr>
        <w:t>Het rapport over de ziektebeelden voor het jaar 2020 is nog niet beschikbaar.</w:t>
      </w:r>
      <w:r w:rsidR="00243B4C">
        <w:rPr>
          <w:rFonts w:ascii="Verdana" w:eastAsia="Times New Roman" w:hAnsi="Verdana" w:cs="Times New Roman"/>
          <w:sz w:val="20"/>
          <w:szCs w:val="20"/>
          <w:lang w:val="nl-NL" w:eastAsia="nl-NL"/>
        </w:rPr>
        <w:t xml:space="preserve"> </w:t>
      </w:r>
      <w:r w:rsidR="0069578C">
        <w:rPr>
          <w:rFonts w:ascii="Verdana" w:hAnsi="Verdana"/>
          <w:sz w:val="20"/>
          <w:szCs w:val="20"/>
        </w:rPr>
        <w:t>Het ziektepercentage wordt berekend ten opzichte van de beschikbaarheid van het personeelslid. Dit is onafhankelijk van de voltijdse of deeltijdse aard functie.</w:t>
      </w:r>
    </w:p>
    <w:p w14:paraId="59204703" w14:textId="77777777" w:rsidR="00F633B6" w:rsidRDefault="00F633B6" w:rsidP="00F633B6">
      <w:pPr>
        <w:rPr>
          <w:rFonts w:ascii="Verdana" w:hAnsi="Verdana"/>
          <w:sz w:val="20"/>
          <w:szCs w:val="20"/>
        </w:rPr>
      </w:pPr>
      <w:r w:rsidRPr="00FC690D">
        <w:rPr>
          <w:rFonts w:ascii="Verdana" w:hAnsi="Verdana"/>
          <w:sz w:val="20"/>
          <w:szCs w:val="20"/>
        </w:rPr>
        <w:t xml:space="preserve">De gegevens worden weergegeven per beleidsdomein om de anonimiteit van </w:t>
      </w:r>
      <w:r>
        <w:rPr>
          <w:rFonts w:ascii="Verdana" w:hAnsi="Verdana"/>
          <w:sz w:val="20"/>
          <w:szCs w:val="20"/>
        </w:rPr>
        <w:t xml:space="preserve">personeelsleden </w:t>
      </w:r>
      <w:r w:rsidRPr="00FC690D">
        <w:rPr>
          <w:rFonts w:ascii="Verdana" w:hAnsi="Verdana"/>
          <w:sz w:val="20"/>
          <w:szCs w:val="20"/>
        </w:rPr>
        <w:t>te garanderen.</w:t>
      </w:r>
      <w:r>
        <w:rPr>
          <w:rFonts w:ascii="Verdana" w:hAnsi="Verdana"/>
          <w:sz w:val="20"/>
          <w:szCs w:val="20"/>
        </w:rPr>
        <w:t xml:space="preserve"> </w:t>
      </w:r>
      <w:r w:rsidRPr="00873CFC">
        <w:rPr>
          <w:rFonts w:ascii="Verdana" w:hAnsi="Verdana"/>
          <w:sz w:val="20"/>
          <w:szCs w:val="20"/>
        </w:rPr>
        <w:t>Het ziektepercentage geeft het aantal dagen op 100 weer dat een werknemer afwezig is door ziekte. Het percentage wordt berekend door het aantal ziektedagen af te zetten tegenover het totaal aantal beschikbare dagen</w:t>
      </w:r>
    </w:p>
    <w:p w14:paraId="0AE04377" w14:textId="77777777" w:rsidR="002C7177" w:rsidRDefault="002C7177" w:rsidP="00FC690D">
      <w:pPr>
        <w:rPr>
          <w:rFonts w:ascii="Verdana" w:hAnsi="Verdana"/>
          <w:sz w:val="20"/>
          <w:szCs w:val="20"/>
        </w:rPr>
      </w:pPr>
    </w:p>
    <w:p w14:paraId="36DD3C2B" w14:textId="2410D0A1" w:rsidR="00CB112A" w:rsidRDefault="00CB112A" w:rsidP="00FC690D">
      <w:pPr>
        <w:rPr>
          <w:rFonts w:ascii="Verdana" w:hAnsi="Verdana"/>
          <w:sz w:val="20"/>
          <w:szCs w:val="20"/>
        </w:rPr>
      </w:pPr>
      <w:r>
        <w:rPr>
          <w:rFonts w:ascii="Verdana" w:hAnsi="Verdana"/>
          <w:sz w:val="20"/>
          <w:szCs w:val="20"/>
        </w:rPr>
        <w:t xml:space="preserve">Tabel </w:t>
      </w:r>
      <w:r w:rsidR="008F2F79">
        <w:rPr>
          <w:rFonts w:ascii="Verdana" w:hAnsi="Verdana"/>
          <w:sz w:val="20"/>
          <w:szCs w:val="20"/>
        </w:rPr>
        <w:t xml:space="preserve">1: </w:t>
      </w:r>
      <w:r w:rsidR="001E7837">
        <w:rPr>
          <w:rFonts w:ascii="Verdana" w:hAnsi="Verdana"/>
          <w:sz w:val="20"/>
          <w:szCs w:val="20"/>
        </w:rPr>
        <w:t xml:space="preserve">Totaal </w:t>
      </w:r>
      <w:bookmarkStart w:id="0" w:name="_Hlk66367585"/>
      <w:r w:rsidR="001E7837">
        <w:rPr>
          <w:rFonts w:ascii="Verdana" w:hAnsi="Verdana"/>
          <w:sz w:val="20"/>
          <w:szCs w:val="20"/>
        </w:rPr>
        <w:t xml:space="preserve">aantal ziektedagen en ziektepercentage </w:t>
      </w:r>
      <w:r w:rsidR="004A7176">
        <w:rPr>
          <w:rFonts w:ascii="Verdana" w:hAnsi="Verdana"/>
          <w:sz w:val="20"/>
          <w:szCs w:val="20"/>
        </w:rPr>
        <w:t xml:space="preserve">te wijten aan burn-out </w:t>
      </w:r>
      <w:r w:rsidR="0030726E">
        <w:rPr>
          <w:rFonts w:ascii="Verdana" w:hAnsi="Verdana"/>
          <w:sz w:val="20"/>
          <w:szCs w:val="20"/>
        </w:rPr>
        <w:t xml:space="preserve">per beleidsdomein </w:t>
      </w:r>
      <w:r w:rsidR="004A7176">
        <w:rPr>
          <w:rFonts w:ascii="Verdana" w:hAnsi="Verdana"/>
          <w:sz w:val="20"/>
          <w:szCs w:val="20"/>
        </w:rPr>
        <w:t>voor het jaar 2019</w:t>
      </w:r>
      <w:bookmarkEnd w:id="0"/>
    </w:p>
    <w:tbl>
      <w:tblPr>
        <w:tblW w:w="1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5"/>
        <w:gridCol w:w="1528"/>
        <w:gridCol w:w="1475"/>
        <w:gridCol w:w="1713"/>
        <w:gridCol w:w="1737"/>
      </w:tblGrid>
      <w:tr w:rsidR="00711FCB" w:rsidRPr="00711FCB" w14:paraId="6F46BD22" w14:textId="77777777" w:rsidTr="00F633B6">
        <w:trPr>
          <w:trHeight w:val="230"/>
        </w:trPr>
        <w:tc>
          <w:tcPr>
            <w:tcW w:w="4795" w:type="dxa"/>
            <w:vMerge w:val="restart"/>
            <w:tcBorders>
              <w:right w:val="single" w:sz="4" w:space="0" w:color="auto"/>
            </w:tcBorders>
            <w:shd w:val="clear" w:color="000000" w:fill="A6A6A6"/>
            <w:noWrap/>
            <w:vAlign w:val="center"/>
            <w:hideMark/>
          </w:tcPr>
          <w:p w14:paraId="45EFBE13" w14:textId="77777777" w:rsidR="00711FCB" w:rsidRPr="00711FCB" w:rsidRDefault="00711FCB" w:rsidP="00711FCB">
            <w:pPr>
              <w:spacing w:after="0" w:line="240" w:lineRule="auto"/>
              <w:jc w:val="center"/>
              <w:rPr>
                <w:rFonts w:ascii="Arial" w:eastAsia="Times New Roman" w:hAnsi="Arial" w:cs="Arial"/>
                <w:b/>
                <w:bCs/>
                <w:color w:val="000000"/>
                <w:sz w:val="20"/>
                <w:szCs w:val="20"/>
                <w:lang w:eastAsia="nl-BE"/>
              </w:rPr>
            </w:pPr>
            <w:r w:rsidRPr="00711FCB">
              <w:rPr>
                <w:rFonts w:ascii="Arial" w:eastAsia="Times New Roman" w:hAnsi="Arial" w:cs="Arial"/>
                <w:b/>
                <w:bCs/>
                <w:color w:val="000000"/>
                <w:sz w:val="20"/>
                <w:szCs w:val="20"/>
                <w:lang w:eastAsia="nl-BE"/>
              </w:rPr>
              <w:t>Beleidsdomein</w:t>
            </w:r>
          </w:p>
        </w:tc>
        <w:tc>
          <w:tcPr>
            <w:tcW w:w="6453" w:type="dxa"/>
            <w:gridSpan w:val="4"/>
            <w:tcBorders>
              <w:top w:val="single" w:sz="4" w:space="0" w:color="auto"/>
              <w:left w:val="single" w:sz="4" w:space="0" w:color="auto"/>
              <w:bottom w:val="nil"/>
              <w:right w:val="single" w:sz="4" w:space="0" w:color="auto"/>
            </w:tcBorders>
            <w:shd w:val="clear" w:color="000000" w:fill="BFBFBF"/>
            <w:noWrap/>
            <w:vAlign w:val="center"/>
            <w:hideMark/>
          </w:tcPr>
          <w:p w14:paraId="195BBBF7"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Totaal Beleidsdomein</w:t>
            </w:r>
          </w:p>
        </w:tc>
      </w:tr>
      <w:tr w:rsidR="00711FCB" w:rsidRPr="00711FCB" w14:paraId="251B02B0" w14:textId="77777777" w:rsidTr="00F633B6">
        <w:trPr>
          <w:trHeight w:val="11"/>
        </w:trPr>
        <w:tc>
          <w:tcPr>
            <w:tcW w:w="4795" w:type="dxa"/>
            <w:vMerge/>
            <w:tcBorders>
              <w:right w:val="single" w:sz="4" w:space="0" w:color="auto"/>
            </w:tcBorders>
            <w:vAlign w:val="center"/>
            <w:hideMark/>
          </w:tcPr>
          <w:p w14:paraId="07D2A95B" w14:textId="77777777" w:rsidR="00711FCB" w:rsidRPr="00711FCB" w:rsidRDefault="00711FCB" w:rsidP="00711FCB">
            <w:pPr>
              <w:spacing w:after="0" w:line="240" w:lineRule="auto"/>
              <w:rPr>
                <w:rFonts w:ascii="Arial" w:eastAsia="Times New Roman" w:hAnsi="Arial" w:cs="Arial"/>
                <w:b/>
                <w:bCs/>
                <w:color w:val="000000"/>
                <w:sz w:val="20"/>
                <w:szCs w:val="20"/>
                <w:lang w:eastAsia="nl-BE"/>
              </w:rPr>
            </w:pPr>
          </w:p>
        </w:tc>
        <w:tc>
          <w:tcPr>
            <w:tcW w:w="1528" w:type="dxa"/>
            <w:tcBorders>
              <w:top w:val="nil"/>
              <w:left w:val="single" w:sz="4" w:space="0" w:color="auto"/>
              <w:bottom w:val="single" w:sz="4" w:space="0" w:color="auto"/>
              <w:right w:val="nil"/>
            </w:tcBorders>
            <w:shd w:val="clear" w:color="000000" w:fill="BFBFBF"/>
            <w:noWrap/>
            <w:vAlign w:val="center"/>
            <w:hideMark/>
          </w:tcPr>
          <w:p w14:paraId="37B7C008" w14:textId="77777777" w:rsidR="00711FCB" w:rsidRPr="00711FCB" w:rsidRDefault="00711FCB" w:rsidP="00711FCB">
            <w:pPr>
              <w:spacing w:after="0" w:line="240" w:lineRule="auto"/>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 </w:t>
            </w:r>
          </w:p>
        </w:tc>
        <w:tc>
          <w:tcPr>
            <w:tcW w:w="1475" w:type="dxa"/>
            <w:tcBorders>
              <w:top w:val="nil"/>
              <w:left w:val="nil"/>
              <w:bottom w:val="single" w:sz="4" w:space="0" w:color="auto"/>
              <w:right w:val="nil"/>
            </w:tcBorders>
            <w:shd w:val="clear" w:color="000000" w:fill="BFBFBF"/>
            <w:noWrap/>
            <w:vAlign w:val="center"/>
            <w:hideMark/>
          </w:tcPr>
          <w:p w14:paraId="1F4EC0AF" w14:textId="77777777" w:rsidR="00711FCB" w:rsidRPr="00711FCB" w:rsidRDefault="00711FCB" w:rsidP="00711FCB">
            <w:pPr>
              <w:spacing w:after="0" w:line="240" w:lineRule="auto"/>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 </w:t>
            </w:r>
          </w:p>
        </w:tc>
        <w:tc>
          <w:tcPr>
            <w:tcW w:w="1712" w:type="dxa"/>
            <w:tcBorders>
              <w:top w:val="nil"/>
              <w:left w:val="nil"/>
              <w:bottom w:val="single" w:sz="4" w:space="0" w:color="auto"/>
              <w:right w:val="nil"/>
            </w:tcBorders>
            <w:shd w:val="clear" w:color="000000" w:fill="BFBFBF"/>
            <w:noWrap/>
            <w:vAlign w:val="center"/>
            <w:hideMark/>
          </w:tcPr>
          <w:p w14:paraId="2B42C1E2" w14:textId="77777777" w:rsidR="00711FCB" w:rsidRPr="00711FCB" w:rsidRDefault="00711FCB" w:rsidP="00711FCB">
            <w:pPr>
              <w:spacing w:after="0" w:line="240" w:lineRule="auto"/>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 </w:t>
            </w:r>
          </w:p>
        </w:tc>
        <w:tc>
          <w:tcPr>
            <w:tcW w:w="1736" w:type="dxa"/>
            <w:tcBorders>
              <w:top w:val="nil"/>
              <w:left w:val="nil"/>
              <w:bottom w:val="single" w:sz="4" w:space="0" w:color="auto"/>
              <w:right w:val="single" w:sz="4" w:space="0" w:color="auto"/>
            </w:tcBorders>
            <w:shd w:val="clear" w:color="000000" w:fill="BFBFBF"/>
            <w:noWrap/>
            <w:vAlign w:val="center"/>
            <w:hideMark/>
          </w:tcPr>
          <w:p w14:paraId="3B14B971" w14:textId="77777777" w:rsidR="00711FCB" w:rsidRPr="00711FCB" w:rsidRDefault="00711FCB" w:rsidP="00711FCB">
            <w:pPr>
              <w:spacing w:after="0" w:line="240" w:lineRule="auto"/>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 </w:t>
            </w:r>
          </w:p>
        </w:tc>
      </w:tr>
      <w:tr w:rsidR="00711FCB" w:rsidRPr="00711FCB" w14:paraId="7E3A2973" w14:textId="77777777" w:rsidTr="00F633B6">
        <w:trPr>
          <w:trHeight w:val="244"/>
        </w:trPr>
        <w:tc>
          <w:tcPr>
            <w:tcW w:w="4795" w:type="dxa"/>
            <w:vMerge/>
            <w:vAlign w:val="center"/>
            <w:hideMark/>
          </w:tcPr>
          <w:p w14:paraId="1842DD3A" w14:textId="77777777" w:rsidR="00711FCB" w:rsidRPr="00711FCB" w:rsidRDefault="00711FCB" w:rsidP="00711FCB">
            <w:pPr>
              <w:spacing w:after="0" w:line="240" w:lineRule="auto"/>
              <w:rPr>
                <w:rFonts w:ascii="Arial" w:eastAsia="Times New Roman" w:hAnsi="Arial" w:cs="Arial"/>
                <w:b/>
                <w:bCs/>
                <w:color w:val="000000"/>
                <w:sz w:val="20"/>
                <w:szCs w:val="20"/>
                <w:lang w:eastAsia="nl-BE"/>
              </w:rPr>
            </w:pPr>
          </w:p>
        </w:tc>
        <w:tc>
          <w:tcPr>
            <w:tcW w:w="4716" w:type="dxa"/>
            <w:gridSpan w:val="3"/>
            <w:tcBorders>
              <w:top w:val="single" w:sz="4" w:space="0" w:color="auto"/>
            </w:tcBorders>
            <w:shd w:val="clear" w:color="000000" w:fill="BFBFBF"/>
            <w:noWrap/>
            <w:vAlign w:val="center"/>
            <w:hideMark/>
          </w:tcPr>
          <w:p w14:paraId="582DB1E4"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Aantal beschikbare dagen</w:t>
            </w:r>
          </w:p>
        </w:tc>
        <w:tc>
          <w:tcPr>
            <w:tcW w:w="1736" w:type="dxa"/>
            <w:vMerge w:val="restart"/>
            <w:tcBorders>
              <w:top w:val="single" w:sz="4" w:space="0" w:color="auto"/>
            </w:tcBorders>
            <w:shd w:val="clear" w:color="000000" w:fill="BFBFBF"/>
            <w:vAlign w:val="center"/>
            <w:hideMark/>
          </w:tcPr>
          <w:p w14:paraId="6C0E5E07"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Burn-out Ziekte percentage</w:t>
            </w:r>
          </w:p>
        </w:tc>
      </w:tr>
      <w:tr w:rsidR="00711FCB" w:rsidRPr="00711FCB" w14:paraId="0AF23406" w14:textId="77777777" w:rsidTr="00F633B6">
        <w:trPr>
          <w:trHeight w:val="433"/>
        </w:trPr>
        <w:tc>
          <w:tcPr>
            <w:tcW w:w="4795" w:type="dxa"/>
            <w:vMerge/>
            <w:vAlign w:val="center"/>
            <w:hideMark/>
          </w:tcPr>
          <w:p w14:paraId="18552B2C" w14:textId="77777777" w:rsidR="00711FCB" w:rsidRPr="00711FCB" w:rsidRDefault="00711FCB" w:rsidP="00711FCB">
            <w:pPr>
              <w:spacing w:after="0" w:line="240" w:lineRule="auto"/>
              <w:rPr>
                <w:rFonts w:ascii="Arial" w:eastAsia="Times New Roman" w:hAnsi="Arial" w:cs="Arial"/>
                <w:b/>
                <w:bCs/>
                <w:color w:val="000000"/>
                <w:sz w:val="20"/>
                <w:szCs w:val="20"/>
                <w:lang w:eastAsia="nl-BE"/>
              </w:rPr>
            </w:pPr>
          </w:p>
        </w:tc>
        <w:tc>
          <w:tcPr>
            <w:tcW w:w="1528" w:type="dxa"/>
            <w:shd w:val="clear" w:color="000000" w:fill="BFBFBF"/>
            <w:vAlign w:val="center"/>
            <w:hideMark/>
          </w:tcPr>
          <w:p w14:paraId="1665FD58"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Ziekte- Burn-out</w:t>
            </w:r>
          </w:p>
        </w:tc>
        <w:tc>
          <w:tcPr>
            <w:tcW w:w="1475" w:type="dxa"/>
            <w:shd w:val="clear" w:color="000000" w:fill="BFBFBF"/>
            <w:noWrap/>
            <w:vAlign w:val="center"/>
            <w:hideMark/>
          </w:tcPr>
          <w:p w14:paraId="61B4E1F2"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Ziekte</w:t>
            </w:r>
          </w:p>
        </w:tc>
        <w:tc>
          <w:tcPr>
            <w:tcW w:w="1712" w:type="dxa"/>
            <w:shd w:val="clear" w:color="000000" w:fill="BFBFBF"/>
            <w:noWrap/>
            <w:vAlign w:val="center"/>
            <w:hideMark/>
          </w:tcPr>
          <w:p w14:paraId="734CFDF7"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Totaal</w:t>
            </w:r>
          </w:p>
        </w:tc>
        <w:tc>
          <w:tcPr>
            <w:tcW w:w="1736" w:type="dxa"/>
            <w:vMerge/>
            <w:vAlign w:val="center"/>
            <w:hideMark/>
          </w:tcPr>
          <w:p w14:paraId="6BB7F300" w14:textId="77777777" w:rsidR="00711FCB" w:rsidRPr="00711FCB" w:rsidRDefault="00711FCB" w:rsidP="00711FCB">
            <w:pPr>
              <w:spacing w:after="0" w:line="240" w:lineRule="auto"/>
              <w:rPr>
                <w:rFonts w:ascii="Arial" w:eastAsia="Times New Roman" w:hAnsi="Arial" w:cs="Arial"/>
                <w:b/>
                <w:bCs/>
                <w:color w:val="000000"/>
                <w:sz w:val="18"/>
                <w:szCs w:val="18"/>
                <w:lang w:eastAsia="nl-BE"/>
              </w:rPr>
            </w:pPr>
          </w:p>
        </w:tc>
      </w:tr>
      <w:tr w:rsidR="00711FCB" w:rsidRPr="00711FCB" w14:paraId="390057B1" w14:textId="77777777" w:rsidTr="00F633B6">
        <w:trPr>
          <w:trHeight w:val="258"/>
        </w:trPr>
        <w:tc>
          <w:tcPr>
            <w:tcW w:w="4795" w:type="dxa"/>
            <w:shd w:val="clear" w:color="auto" w:fill="auto"/>
            <w:noWrap/>
            <w:hideMark/>
          </w:tcPr>
          <w:p w14:paraId="08C288C0" w14:textId="4381771E"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Kanselarij en Bestuur</w:t>
            </w:r>
          </w:p>
        </w:tc>
        <w:tc>
          <w:tcPr>
            <w:tcW w:w="1528" w:type="dxa"/>
            <w:shd w:val="clear" w:color="auto" w:fill="auto"/>
            <w:noWrap/>
            <w:vAlign w:val="center"/>
            <w:hideMark/>
          </w:tcPr>
          <w:p w14:paraId="2A04D491"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3.873,46</w:t>
            </w:r>
          </w:p>
        </w:tc>
        <w:tc>
          <w:tcPr>
            <w:tcW w:w="1475" w:type="dxa"/>
            <w:shd w:val="clear" w:color="auto" w:fill="auto"/>
            <w:noWrap/>
            <w:vAlign w:val="center"/>
            <w:hideMark/>
          </w:tcPr>
          <w:p w14:paraId="165B759A"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41.661,54</w:t>
            </w:r>
          </w:p>
        </w:tc>
        <w:tc>
          <w:tcPr>
            <w:tcW w:w="1712" w:type="dxa"/>
            <w:shd w:val="clear" w:color="auto" w:fill="auto"/>
            <w:noWrap/>
            <w:vAlign w:val="center"/>
            <w:hideMark/>
          </w:tcPr>
          <w:p w14:paraId="4DBB4DE4"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506.589,27</w:t>
            </w:r>
          </w:p>
        </w:tc>
        <w:tc>
          <w:tcPr>
            <w:tcW w:w="1736" w:type="dxa"/>
            <w:shd w:val="clear" w:color="auto" w:fill="auto"/>
            <w:noWrap/>
            <w:vAlign w:val="center"/>
            <w:hideMark/>
          </w:tcPr>
          <w:p w14:paraId="25A7FF78"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9,30%</w:t>
            </w:r>
          </w:p>
        </w:tc>
      </w:tr>
      <w:tr w:rsidR="00711FCB" w:rsidRPr="00711FCB" w14:paraId="09F7F797" w14:textId="77777777" w:rsidTr="00F633B6">
        <w:trPr>
          <w:trHeight w:val="258"/>
        </w:trPr>
        <w:tc>
          <w:tcPr>
            <w:tcW w:w="4795" w:type="dxa"/>
            <w:shd w:val="clear" w:color="auto" w:fill="auto"/>
            <w:noWrap/>
            <w:hideMark/>
          </w:tcPr>
          <w:p w14:paraId="5D30E483" w14:textId="5809AC56"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Financiën en Begroting</w:t>
            </w:r>
          </w:p>
        </w:tc>
        <w:tc>
          <w:tcPr>
            <w:tcW w:w="1528" w:type="dxa"/>
            <w:shd w:val="clear" w:color="auto" w:fill="auto"/>
            <w:noWrap/>
            <w:vAlign w:val="center"/>
            <w:hideMark/>
          </w:tcPr>
          <w:p w14:paraId="37BB4CCF"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1.263,50</w:t>
            </w:r>
          </w:p>
        </w:tc>
        <w:tc>
          <w:tcPr>
            <w:tcW w:w="1475" w:type="dxa"/>
            <w:shd w:val="clear" w:color="auto" w:fill="auto"/>
            <w:noWrap/>
            <w:vAlign w:val="center"/>
            <w:hideMark/>
          </w:tcPr>
          <w:p w14:paraId="277E6529"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23.614,71</w:t>
            </w:r>
          </w:p>
        </w:tc>
        <w:tc>
          <w:tcPr>
            <w:tcW w:w="1712" w:type="dxa"/>
            <w:shd w:val="clear" w:color="auto" w:fill="auto"/>
            <w:noWrap/>
            <w:vAlign w:val="center"/>
            <w:hideMark/>
          </w:tcPr>
          <w:p w14:paraId="36FBA612"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282.200,32</w:t>
            </w:r>
          </w:p>
        </w:tc>
        <w:tc>
          <w:tcPr>
            <w:tcW w:w="1736" w:type="dxa"/>
            <w:shd w:val="clear" w:color="auto" w:fill="auto"/>
            <w:noWrap/>
            <w:vAlign w:val="center"/>
            <w:hideMark/>
          </w:tcPr>
          <w:p w14:paraId="6F1EC1A6"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5,35%</w:t>
            </w:r>
          </w:p>
        </w:tc>
      </w:tr>
      <w:tr w:rsidR="00711FCB" w:rsidRPr="00711FCB" w14:paraId="74271DBC" w14:textId="77777777" w:rsidTr="00F633B6">
        <w:trPr>
          <w:trHeight w:val="258"/>
        </w:trPr>
        <w:tc>
          <w:tcPr>
            <w:tcW w:w="4795" w:type="dxa"/>
            <w:shd w:val="clear" w:color="auto" w:fill="auto"/>
            <w:noWrap/>
            <w:hideMark/>
          </w:tcPr>
          <w:p w14:paraId="08E2201E" w14:textId="183C28C1"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Internationaal Vlaanderen</w:t>
            </w:r>
          </w:p>
        </w:tc>
        <w:tc>
          <w:tcPr>
            <w:tcW w:w="1528" w:type="dxa"/>
            <w:shd w:val="clear" w:color="auto" w:fill="auto"/>
            <w:noWrap/>
            <w:vAlign w:val="center"/>
            <w:hideMark/>
          </w:tcPr>
          <w:p w14:paraId="65F6E494"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749,75</w:t>
            </w:r>
          </w:p>
        </w:tc>
        <w:tc>
          <w:tcPr>
            <w:tcW w:w="1475" w:type="dxa"/>
            <w:shd w:val="clear" w:color="auto" w:fill="auto"/>
            <w:noWrap/>
            <w:vAlign w:val="center"/>
            <w:hideMark/>
          </w:tcPr>
          <w:p w14:paraId="4BABFF1F"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6.803,20</w:t>
            </w:r>
          </w:p>
        </w:tc>
        <w:tc>
          <w:tcPr>
            <w:tcW w:w="1712" w:type="dxa"/>
            <w:shd w:val="clear" w:color="auto" w:fill="auto"/>
            <w:noWrap/>
            <w:vAlign w:val="center"/>
            <w:hideMark/>
          </w:tcPr>
          <w:p w14:paraId="20671DAF"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117.346,39</w:t>
            </w:r>
          </w:p>
        </w:tc>
        <w:tc>
          <w:tcPr>
            <w:tcW w:w="1736" w:type="dxa"/>
            <w:shd w:val="clear" w:color="auto" w:fill="auto"/>
            <w:noWrap/>
            <w:vAlign w:val="center"/>
            <w:hideMark/>
          </w:tcPr>
          <w:p w14:paraId="2EEA78C0"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11,02%</w:t>
            </w:r>
          </w:p>
        </w:tc>
      </w:tr>
      <w:tr w:rsidR="00711FCB" w:rsidRPr="00711FCB" w14:paraId="3DEF0813" w14:textId="77777777" w:rsidTr="00F633B6">
        <w:trPr>
          <w:trHeight w:val="258"/>
        </w:trPr>
        <w:tc>
          <w:tcPr>
            <w:tcW w:w="4795" w:type="dxa"/>
            <w:shd w:val="clear" w:color="auto" w:fill="auto"/>
            <w:noWrap/>
            <w:hideMark/>
          </w:tcPr>
          <w:p w14:paraId="1BACBA26" w14:textId="371BBC22"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Economie Wetenschap en Innovatie</w:t>
            </w:r>
          </w:p>
        </w:tc>
        <w:tc>
          <w:tcPr>
            <w:tcW w:w="1528" w:type="dxa"/>
            <w:shd w:val="clear" w:color="auto" w:fill="auto"/>
            <w:noWrap/>
            <w:vAlign w:val="center"/>
            <w:hideMark/>
          </w:tcPr>
          <w:p w14:paraId="4C6DF93A"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833,39</w:t>
            </w:r>
          </w:p>
        </w:tc>
        <w:tc>
          <w:tcPr>
            <w:tcW w:w="1475" w:type="dxa"/>
            <w:shd w:val="clear" w:color="auto" w:fill="auto"/>
            <w:noWrap/>
            <w:vAlign w:val="center"/>
            <w:hideMark/>
          </w:tcPr>
          <w:p w14:paraId="31FF1378"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9.420,38</w:t>
            </w:r>
          </w:p>
        </w:tc>
        <w:tc>
          <w:tcPr>
            <w:tcW w:w="1712" w:type="dxa"/>
            <w:shd w:val="clear" w:color="auto" w:fill="auto"/>
            <w:noWrap/>
            <w:vAlign w:val="center"/>
            <w:hideMark/>
          </w:tcPr>
          <w:p w14:paraId="219A9D91"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144.096,73</w:t>
            </w:r>
          </w:p>
        </w:tc>
        <w:tc>
          <w:tcPr>
            <w:tcW w:w="1736" w:type="dxa"/>
            <w:shd w:val="clear" w:color="auto" w:fill="auto"/>
            <w:noWrap/>
            <w:vAlign w:val="center"/>
            <w:hideMark/>
          </w:tcPr>
          <w:p w14:paraId="439B7547"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8,85%</w:t>
            </w:r>
          </w:p>
        </w:tc>
      </w:tr>
      <w:tr w:rsidR="00711FCB" w:rsidRPr="00711FCB" w14:paraId="5D6E1987" w14:textId="77777777" w:rsidTr="00F633B6">
        <w:trPr>
          <w:trHeight w:val="258"/>
        </w:trPr>
        <w:tc>
          <w:tcPr>
            <w:tcW w:w="4795" w:type="dxa"/>
            <w:shd w:val="clear" w:color="auto" w:fill="auto"/>
            <w:noWrap/>
            <w:hideMark/>
          </w:tcPr>
          <w:p w14:paraId="16158E3B" w14:textId="01656BF2"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Onderwijs en Vorming</w:t>
            </w:r>
          </w:p>
        </w:tc>
        <w:tc>
          <w:tcPr>
            <w:tcW w:w="1528" w:type="dxa"/>
            <w:shd w:val="clear" w:color="auto" w:fill="auto"/>
            <w:noWrap/>
            <w:vAlign w:val="center"/>
            <w:hideMark/>
          </w:tcPr>
          <w:p w14:paraId="53FE324B"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784,25</w:t>
            </w:r>
          </w:p>
        </w:tc>
        <w:tc>
          <w:tcPr>
            <w:tcW w:w="1475" w:type="dxa"/>
            <w:shd w:val="clear" w:color="auto" w:fill="auto"/>
            <w:noWrap/>
            <w:vAlign w:val="center"/>
            <w:hideMark/>
          </w:tcPr>
          <w:p w14:paraId="59DC3E50"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15.894,15</w:t>
            </w:r>
          </w:p>
        </w:tc>
        <w:tc>
          <w:tcPr>
            <w:tcW w:w="1712" w:type="dxa"/>
            <w:shd w:val="clear" w:color="auto" w:fill="auto"/>
            <w:noWrap/>
            <w:vAlign w:val="center"/>
            <w:hideMark/>
          </w:tcPr>
          <w:p w14:paraId="714F5F72"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222.757,62</w:t>
            </w:r>
          </w:p>
        </w:tc>
        <w:tc>
          <w:tcPr>
            <w:tcW w:w="1736" w:type="dxa"/>
            <w:shd w:val="clear" w:color="auto" w:fill="auto"/>
            <w:noWrap/>
            <w:vAlign w:val="center"/>
            <w:hideMark/>
          </w:tcPr>
          <w:p w14:paraId="0D0D9732"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4,93%</w:t>
            </w:r>
          </w:p>
        </w:tc>
      </w:tr>
      <w:tr w:rsidR="00711FCB" w:rsidRPr="00711FCB" w14:paraId="28FF7EB3" w14:textId="77777777" w:rsidTr="00F633B6">
        <w:trPr>
          <w:trHeight w:val="258"/>
        </w:trPr>
        <w:tc>
          <w:tcPr>
            <w:tcW w:w="4795" w:type="dxa"/>
            <w:shd w:val="clear" w:color="auto" w:fill="auto"/>
            <w:noWrap/>
            <w:hideMark/>
          </w:tcPr>
          <w:p w14:paraId="63D62B01" w14:textId="3431A330"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Welzijn, Volksgezondheid en Gezin</w:t>
            </w:r>
          </w:p>
        </w:tc>
        <w:tc>
          <w:tcPr>
            <w:tcW w:w="1528" w:type="dxa"/>
            <w:shd w:val="clear" w:color="auto" w:fill="auto"/>
            <w:noWrap/>
            <w:vAlign w:val="center"/>
            <w:hideMark/>
          </w:tcPr>
          <w:p w14:paraId="2A3CB2D6"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7.781,31</w:t>
            </w:r>
          </w:p>
        </w:tc>
        <w:tc>
          <w:tcPr>
            <w:tcW w:w="1475" w:type="dxa"/>
            <w:shd w:val="clear" w:color="auto" w:fill="auto"/>
            <w:noWrap/>
            <w:vAlign w:val="center"/>
            <w:hideMark/>
          </w:tcPr>
          <w:p w14:paraId="75A57DAD"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63.411,73</w:t>
            </w:r>
          </w:p>
        </w:tc>
        <w:tc>
          <w:tcPr>
            <w:tcW w:w="1712" w:type="dxa"/>
            <w:shd w:val="clear" w:color="auto" w:fill="auto"/>
            <w:noWrap/>
            <w:vAlign w:val="center"/>
            <w:hideMark/>
          </w:tcPr>
          <w:p w14:paraId="68D3500E"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837.530,10</w:t>
            </w:r>
          </w:p>
        </w:tc>
        <w:tc>
          <w:tcPr>
            <w:tcW w:w="1736" w:type="dxa"/>
            <w:shd w:val="clear" w:color="auto" w:fill="auto"/>
            <w:noWrap/>
            <w:vAlign w:val="center"/>
            <w:hideMark/>
          </w:tcPr>
          <w:p w14:paraId="0DB30CD2"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12,27%</w:t>
            </w:r>
          </w:p>
        </w:tc>
      </w:tr>
      <w:tr w:rsidR="00711FCB" w:rsidRPr="00711FCB" w14:paraId="571BB7B2" w14:textId="77777777" w:rsidTr="00F633B6">
        <w:trPr>
          <w:trHeight w:val="258"/>
        </w:trPr>
        <w:tc>
          <w:tcPr>
            <w:tcW w:w="4795" w:type="dxa"/>
            <w:shd w:val="clear" w:color="auto" w:fill="auto"/>
            <w:noWrap/>
            <w:hideMark/>
          </w:tcPr>
          <w:p w14:paraId="6CAC6B85" w14:textId="477AD2A3"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Cultuur, Jeugd, Sport en Media</w:t>
            </w:r>
          </w:p>
        </w:tc>
        <w:tc>
          <w:tcPr>
            <w:tcW w:w="1528" w:type="dxa"/>
            <w:shd w:val="clear" w:color="auto" w:fill="auto"/>
            <w:noWrap/>
            <w:vAlign w:val="center"/>
            <w:hideMark/>
          </w:tcPr>
          <w:p w14:paraId="2DA5CCFF"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2.202,42</w:t>
            </w:r>
          </w:p>
        </w:tc>
        <w:tc>
          <w:tcPr>
            <w:tcW w:w="1475" w:type="dxa"/>
            <w:shd w:val="clear" w:color="auto" w:fill="auto"/>
            <w:noWrap/>
            <w:vAlign w:val="center"/>
            <w:hideMark/>
          </w:tcPr>
          <w:p w14:paraId="4CB619E5"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24.931,81</w:t>
            </w:r>
          </w:p>
        </w:tc>
        <w:tc>
          <w:tcPr>
            <w:tcW w:w="1712" w:type="dxa"/>
            <w:shd w:val="clear" w:color="auto" w:fill="auto"/>
            <w:noWrap/>
            <w:vAlign w:val="center"/>
            <w:hideMark/>
          </w:tcPr>
          <w:p w14:paraId="010C3612"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298.720,33</w:t>
            </w:r>
          </w:p>
        </w:tc>
        <w:tc>
          <w:tcPr>
            <w:tcW w:w="1736" w:type="dxa"/>
            <w:shd w:val="clear" w:color="auto" w:fill="auto"/>
            <w:noWrap/>
            <w:vAlign w:val="center"/>
            <w:hideMark/>
          </w:tcPr>
          <w:p w14:paraId="4C82F5C7"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8,83%</w:t>
            </w:r>
          </w:p>
        </w:tc>
      </w:tr>
      <w:tr w:rsidR="00711FCB" w:rsidRPr="00711FCB" w14:paraId="44686308" w14:textId="77777777" w:rsidTr="00F633B6">
        <w:trPr>
          <w:trHeight w:val="258"/>
        </w:trPr>
        <w:tc>
          <w:tcPr>
            <w:tcW w:w="4795" w:type="dxa"/>
            <w:shd w:val="clear" w:color="auto" w:fill="auto"/>
            <w:noWrap/>
            <w:hideMark/>
          </w:tcPr>
          <w:p w14:paraId="5D631C40" w14:textId="57862B0C"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Werk en Sociale Economie</w:t>
            </w:r>
          </w:p>
        </w:tc>
        <w:tc>
          <w:tcPr>
            <w:tcW w:w="1528" w:type="dxa"/>
            <w:shd w:val="clear" w:color="auto" w:fill="auto"/>
            <w:noWrap/>
            <w:vAlign w:val="center"/>
            <w:hideMark/>
          </w:tcPr>
          <w:p w14:paraId="3E3FB55E"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1.405,50</w:t>
            </w:r>
          </w:p>
        </w:tc>
        <w:tc>
          <w:tcPr>
            <w:tcW w:w="1475" w:type="dxa"/>
            <w:shd w:val="clear" w:color="auto" w:fill="auto"/>
            <w:noWrap/>
            <w:vAlign w:val="center"/>
            <w:hideMark/>
          </w:tcPr>
          <w:p w14:paraId="2D1DA321"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8.539,50</w:t>
            </w:r>
          </w:p>
        </w:tc>
        <w:tc>
          <w:tcPr>
            <w:tcW w:w="1712" w:type="dxa"/>
            <w:shd w:val="clear" w:color="auto" w:fill="auto"/>
            <w:noWrap/>
            <w:vAlign w:val="center"/>
            <w:hideMark/>
          </w:tcPr>
          <w:p w14:paraId="6507E381"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103.814,28</w:t>
            </w:r>
          </w:p>
        </w:tc>
        <w:tc>
          <w:tcPr>
            <w:tcW w:w="1736" w:type="dxa"/>
            <w:shd w:val="clear" w:color="auto" w:fill="auto"/>
            <w:noWrap/>
            <w:vAlign w:val="center"/>
            <w:hideMark/>
          </w:tcPr>
          <w:p w14:paraId="7AAFC6BE"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16,46%</w:t>
            </w:r>
          </w:p>
        </w:tc>
      </w:tr>
      <w:tr w:rsidR="00711FCB" w:rsidRPr="00711FCB" w14:paraId="697B17A5" w14:textId="77777777" w:rsidTr="00F633B6">
        <w:trPr>
          <w:trHeight w:val="258"/>
        </w:trPr>
        <w:tc>
          <w:tcPr>
            <w:tcW w:w="4795" w:type="dxa"/>
            <w:shd w:val="clear" w:color="auto" w:fill="auto"/>
            <w:noWrap/>
            <w:hideMark/>
          </w:tcPr>
          <w:p w14:paraId="73ABF50E" w14:textId="4D5E4961"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Landbouw en Visserij</w:t>
            </w:r>
          </w:p>
        </w:tc>
        <w:tc>
          <w:tcPr>
            <w:tcW w:w="1528" w:type="dxa"/>
            <w:shd w:val="clear" w:color="auto" w:fill="auto"/>
            <w:noWrap/>
            <w:vAlign w:val="center"/>
            <w:hideMark/>
          </w:tcPr>
          <w:p w14:paraId="26E52169"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805,00</w:t>
            </w:r>
          </w:p>
        </w:tc>
        <w:tc>
          <w:tcPr>
            <w:tcW w:w="1475" w:type="dxa"/>
            <w:shd w:val="clear" w:color="auto" w:fill="auto"/>
            <w:noWrap/>
            <w:vAlign w:val="center"/>
            <w:hideMark/>
          </w:tcPr>
          <w:p w14:paraId="3F3F6E6B"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10.460,69</w:t>
            </w:r>
          </w:p>
        </w:tc>
        <w:tc>
          <w:tcPr>
            <w:tcW w:w="1712" w:type="dxa"/>
            <w:shd w:val="clear" w:color="auto" w:fill="auto"/>
            <w:noWrap/>
            <w:vAlign w:val="center"/>
            <w:hideMark/>
          </w:tcPr>
          <w:p w14:paraId="7F7BDE54"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198.863,11</w:t>
            </w:r>
          </w:p>
        </w:tc>
        <w:tc>
          <w:tcPr>
            <w:tcW w:w="1736" w:type="dxa"/>
            <w:shd w:val="clear" w:color="auto" w:fill="auto"/>
            <w:noWrap/>
            <w:vAlign w:val="center"/>
            <w:hideMark/>
          </w:tcPr>
          <w:p w14:paraId="4E0D2617"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7,70%</w:t>
            </w:r>
          </w:p>
        </w:tc>
      </w:tr>
      <w:tr w:rsidR="00711FCB" w:rsidRPr="00711FCB" w14:paraId="1959B1E1" w14:textId="77777777" w:rsidTr="00F633B6">
        <w:trPr>
          <w:trHeight w:val="258"/>
        </w:trPr>
        <w:tc>
          <w:tcPr>
            <w:tcW w:w="4795" w:type="dxa"/>
            <w:shd w:val="clear" w:color="auto" w:fill="auto"/>
            <w:noWrap/>
            <w:hideMark/>
          </w:tcPr>
          <w:p w14:paraId="3247063C" w14:textId="79AF3AA4"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Mobiliteit en Openbare Werken</w:t>
            </w:r>
          </w:p>
        </w:tc>
        <w:tc>
          <w:tcPr>
            <w:tcW w:w="1528" w:type="dxa"/>
            <w:shd w:val="clear" w:color="auto" w:fill="auto"/>
            <w:noWrap/>
            <w:vAlign w:val="center"/>
            <w:hideMark/>
          </w:tcPr>
          <w:p w14:paraId="69C6F7D9"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6.973,11</w:t>
            </w:r>
          </w:p>
        </w:tc>
        <w:tc>
          <w:tcPr>
            <w:tcW w:w="1475" w:type="dxa"/>
            <w:shd w:val="clear" w:color="auto" w:fill="auto"/>
            <w:noWrap/>
            <w:vAlign w:val="center"/>
            <w:hideMark/>
          </w:tcPr>
          <w:p w14:paraId="111F27B0"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84.485,61</w:t>
            </w:r>
          </w:p>
        </w:tc>
        <w:tc>
          <w:tcPr>
            <w:tcW w:w="1712" w:type="dxa"/>
            <w:shd w:val="clear" w:color="auto" w:fill="auto"/>
            <w:noWrap/>
            <w:vAlign w:val="center"/>
            <w:hideMark/>
          </w:tcPr>
          <w:p w14:paraId="734234F8"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1.142.763,31</w:t>
            </w:r>
          </w:p>
        </w:tc>
        <w:tc>
          <w:tcPr>
            <w:tcW w:w="1736" w:type="dxa"/>
            <w:shd w:val="clear" w:color="auto" w:fill="auto"/>
            <w:noWrap/>
            <w:vAlign w:val="center"/>
            <w:hideMark/>
          </w:tcPr>
          <w:p w14:paraId="4DF70A79"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8,25%</w:t>
            </w:r>
          </w:p>
        </w:tc>
      </w:tr>
      <w:tr w:rsidR="00711FCB" w:rsidRPr="00711FCB" w14:paraId="5A813A6E" w14:textId="77777777" w:rsidTr="00F633B6">
        <w:trPr>
          <w:trHeight w:val="258"/>
        </w:trPr>
        <w:tc>
          <w:tcPr>
            <w:tcW w:w="4795" w:type="dxa"/>
            <w:shd w:val="clear" w:color="auto" w:fill="auto"/>
            <w:noWrap/>
            <w:hideMark/>
          </w:tcPr>
          <w:p w14:paraId="2109CA20" w14:textId="118BC771"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Omgeving</w:t>
            </w:r>
          </w:p>
        </w:tc>
        <w:tc>
          <w:tcPr>
            <w:tcW w:w="1528" w:type="dxa"/>
            <w:shd w:val="clear" w:color="auto" w:fill="auto"/>
            <w:noWrap/>
            <w:vAlign w:val="center"/>
            <w:hideMark/>
          </w:tcPr>
          <w:p w14:paraId="0F9BE8BF"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8.546,42</w:t>
            </w:r>
          </w:p>
        </w:tc>
        <w:tc>
          <w:tcPr>
            <w:tcW w:w="1475" w:type="dxa"/>
            <w:shd w:val="clear" w:color="auto" w:fill="auto"/>
            <w:noWrap/>
            <w:vAlign w:val="center"/>
            <w:hideMark/>
          </w:tcPr>
          <w:p w14:paraId="6B3CA6EC"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66.002,73</w:t>
            </w:r>
          </w:p>
        </w:tc>
        <w:tc>
          <w:tcPr>
            <w:tcW w:w="1712" w:type="dxa"/>
            <w:shd w:val="clear" w:color="auto" w:fill="auto"/>
            <w:noWrap/>
            <w:vAlign w:val="center"/>
            <w:hideMark/>
          </w:tcPr>
          <w:p w14:paraId="10DCAD24"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1.004.423,86</w:t>
            </w:r>
          </w:p>
        </w:tc>
        <w:tc>
          <w:tcPr>
            <w:tcW w:w="1736" w:type="dxa"/>
            <w:shd w:val="clear" w:color="auto" w:fill="auto"/>
            <w:noWrap/>
            <w:vAlign w:val="center"/>
            <w:hideMark/>
          </w:tcPr>
          <w:p w14:paraId="7CEAE5DD"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12,95%</w:t>
            </w:r>
          </w:p>
        </w:tc>
      </w:tr>
      <w:tr w:rsidR="00711FCB" w:rsidRPr="00711FCB" w14:paraId="71FFF5DC" w14:textId="77777777" w:rsidTr="00F633B6">
        <w:trPr>
          <w:trHeight w:val="258"/>
        </w:trPr>
        <w:tc>
          <w:tcPr>
            <w:tcW w:w="4795" w:type="dxa"/>
            <w:shd w:val="clear" w:color="auto" w:fill="auto"/>
            <w:noWrap/>
            <w:hideMark/>
          </w:tcPr>
          <w:p w14:paraId="2AAB8493" w14:textId="77777777" w:rsidR="00711FCB" w:rsidRPr="00711FCB" w:rsidRDefault="00711FCB" w:rsidP="00711FCB">
            <w:pPr>
              <w:spacing w:after="0" w:line="240" w:lineRule="auto"/>
              <w:rPr>
                <w:rFonts w:ascii="Arial" w:eastAsia="Times New Roman" w:hAnsi="Arial" w:cs="Arial"/>
                <w:color w:val="000000"/>
                <w:sz w:val="20"/>
                <w:szCs w:val="20"/>
                <w:lang w:eastAsia="nl-BE"/>
              </w:rPr>
            </w:pPr>
            <w:r w:rsidRPr="00711FCB">
              <w:rPr>
                <w:rFonts w:ascii="Arial" w:eastAsia="Times New Roman" w:hAnsi="Arial" w:cs="Arial"/>
                <w:color w:val="000000"/>
                <w:sz w:val="20"/>
                <w:szCs w:val="20"/>
                <w:lang w:eastAsia="nl-BE"/>
              </w:rPr>
              <w:t>Geen</w:t>
            </w:r>
          </w:p>
        </w:tc>
        <w:tc>
          <w:tcPr>
            <w:tcW w:w="1528" w:type="dxa"/>
            <w:shd w:val="clear" w:color="auto" w:fill="auto"/>
            <w:noWrap/>
            <w:vAlign w:val="center"/>
            <w:hideMark/>
          </w:tcPr>
          <w:p w14:paraId="1109C37D"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87,00</w:t>
            </w:r>
          </w:p>
        </w:tc>
        <w:tc>
          <w:tcPr>
            <w:tcW w:w="1475" w:type="dxa"/>
            <w:shd w:val="clear" w:color="auto" w:fill="auto"/>
            <w:noWrap/>
            <w:vAlign w:val="center"/>
            <w:hideMark/>
          </w:tcPr>
          <w:p w14:paraId="3E9D3BD9"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2.708,40</w:t>
            </w:r>
          </w:p>
        </w:tc>
        <w:tc>
          <w:tcPr>
            <w:tcW w:w="1712" w:type="dxa"/>
            <w:shd w:val="clear" w:color="auto" w:fill="auto"/>
            <w:noWrap/>
            <w:vAlign w:val="center"/>
            <w:hideMark/>
          </w:tcPr>
          <w:p w14:paraId="310DB878"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43.249,36</w:t>
            </w:r>
          </w:p>
        </w:tc>
        <w:tc>
          <w:tcPr>
            <w:tcW w:w="1736" w:type="dxa"/>
            <w:shd w:val="clear" w:color="auto" w:fill="auto"/>
            <w:noWrap/>
            <w:vAlign w:val="center"/>
            <w:hideMark/>
          </w:tcPr>
          <w:p w14:paraId="766A95C1" w14:textId="77777777" w:rsidR="00711FCB" w:rsidRPr="00711FCB" w:rsidRDefault="00711FCB" w:rsidP="00711FCB">
            <w:pPr>
              <w:spacing w:after="0" w:line="240" w:lineRule="auto"/>
              <w:jc w:val="center"/>
              <w:rPr>
                <w:rFonts w:ascii="Arial" w:eastAsia="Times New Roman" w:hAnsi="Arial" w:cs="Arial"/>
                <w:color w:val="000000"/>
                <w:sz w:val="18"/>
                <w:szCs w:val="18"/>
                <w:lang w:eastAsia="nl-BE"/>
              </w:rPr>
            </w:pPr>
            <w:r w:rsidRPr="00711FCB">
              <w:rPr>
                <w:rFonts w:ascii="Arial" w:eastAsia="Times New Roman" w:hAnsi="Arial" w:cs="Arial"/>
                <w:color w:val="000000"/>
                <w:sz w:val="18"/>
                <w:szCs w:val="18"/>
                <w:lang w:eastAsia="nl-BE"/>
              </w:rPr>
              <w:t>3,21%</w:t>
            </w:r>
          </w:p>
        </w:tc>
      </w:tr>
      <w:tr w:rsidR="00711FCB" w:rsidRPr="00711FCB" w14:paraId="6AC991FE" w14:textId="77777777" w:rsidTr="00F633B6">
        <w:trPr>
          <w:trHeight w:val="258"/>
        </w:trPr>
        <w:tc>
          <w:tcPr>
            <w:tcW w:w="4795" w:type="dxa"/>
            <w:shd w:val="clear" w:color="000000" w:fill="C0C0C0"/>
            <w:noWrap/>
            <w:vAlign w:val="center"/>
            <w:hideMark/>
          </w:tcPr>
          <w:p w14:paraId="0387F6BB" w14:textId="77777777" w:rsidR="00711FCB" w:rsidRPr="00711FCB" w:rsidRDefault="00711FCB" w:rsidP="00711FCB">
            <w:pPr>
              <w:spacing w:after="0" w:line="240" w:lineRule="auto"/>
              <w:rPr>
                <w:rFonts w:ascii="Arial" w:eastAsia="Times New Roman" w:hAnsi="Arial" w:cs="Arial"/>
                <w:b/>
                <w:bCs/>
                <w:sz w:val="18"/>
                <w:szCs w:val="18"/>
                <w:lang w:eastAsia="nl-BE"/>
              </w:rPr>
            </w:pPr>
            <w:r w:rsidRPr="00711FCB">
              <w:rPr>
                <w:rFonts w:ascii="Arial" w:eastAsia="Times New Roman" w:hAnsi="Arial" w:cs="Arial"/>
                <w:b/>
                <w:bCs/>
                <w:sz w:val="18"/>
                <w:szCs w:val="18"/>
                <w:lang w:eastAsia="nl-BE"/>
              </w:rPr>
              <w:t>TOTAAL</w:t>
            </w:r>
          </w:p>
        </w:tc>
        <w:tc>
          <w:tcPr>
            <w:tcW w:w="1528" w:type="dxa"/>
            <w:shd w:val="clear" w:color="000000" w:fill="BFBFBF"/>
            <w:noWrap/>
            <w:vAlign w:val="center"/>
            <w:hideMark/>
          </w:tcPr>
          <w:p w14:paraId="12111683"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35.305,11</w:t>
            </w:r>
          </w:p>
        </w:tc>
        <w:tc>
          <w:tcPr>
            <w:tcW w:w="1475" w:type="dxa"/>
            <w:shd w:val="clear" w:color="000000" w:fill="BFBFBF"/>
            <w:noWrap/>
            <w:vAlign w:val="center"/>
            <w:hideMark/>
          </w:tcPr>
          <w:p w14:paraId="34996A5F"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357.934,45</w:t>
            </w:r>
          </w:p>
        </w:tc>
        <w:tc>
          <w:tcPr>
            <w:tcW w:w="1712" w:type="dxa"/>
            <w:shd w:val="clear" w:color="000000" w:fill="BFBFBF"/>
            <w:noWrap/>
            <w:vAlign w:val="center"/>
            <w:hideMark/>
          </w:tcPr>
          <w:p w14:paraId="7C927CA0"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4.902.354,67</w:t>
            </w:r>
          </w:p>
        </w:tc>
        <w:tc>
          <w:tcPr>
            <w:tcW w:w="1736" w:type="dxa"/>
            <w:shd w:val="clear" w:color="000000" w:fill="BFBFBF"/>
            <w:noWrap/>
            <w:vAlign w:val="center"/>
            <w:hideMark/>
          </w:tcPr>
          <w:p w14:paraId="1AC3F638" w14:textId="77777777" w:rsidR="00711FCB" w:rsidRPr="00711FCB" w:rsidRDefault="00711FCB" w:rsidP="00711FCB">
            <w:pPr>
              <w:spacing w:after="0" w:line="240" w:lineRule="auto"/>
              <w:jc w:val="center"/>
              <w:rPr>
                <w:rFonts w:ascii="Arial" w:eastAsia="Times New Roman" w:hAnsi="Arial" w:cs="Arial"/>
                <w:b/>
                <w:bCs/>
                <w:color w:val="000000"/>
                <w:sz w:val="18"/>
                <w:szCs w:val="18"/>
                <w:lang w:eastAsia="nl-BE"/>
              </w:rPr>
            </w:pPr>
            <w:r w:rsidRPr="00711FCB">
              <w:rPr>
                <w:rFonts w:ascii="Arial" w:eastAsia="Times New Roman" w:hAnsi="Arial" w:cs="Arial"/>
                <w:b/>
                <w:bCs/>
                <w:color w:val="000000"/>
                <w:sz w:val="18"/>
                <w:szCs w:val="18"/>
                <w:lang w:eastAsia="nl-BE"/>
              </w:rPr>
              <w:t>9,86%</w:t>
            </w:r>
          </w:p>
        </w:tc>
      </w:tr>
    </w:tbl>
    <w:p w14:paraId="1FAD9161" w14:textId="2FF4B5B7" w:rsidR="00075B62" w:rsidRDefault="00075B62" w:rsidP="00FC690D">
      <w:pPr>
        <w:rPr>
          <w:rFonts w:ascii="Verdana" w:hAnsi="Verdana"/>
          <w:sz w:val="20"/>
          <w:szCs w:val="20"/>
        </w:rPr>
      </w:pPr>
    </w:p>
    <w:p w14:paraId="2FFDFF37" w14:textId="77777777" w:rsidR="00F33FF4" w:rsidRDefault="00F33FF4" w:rsidP="00FC690D">
      <w:pPr>
        <w:rPr>
          <w:rFonts w:ascii="Verdana" w:hAnsi="Verdana"/>
          <w:sz w:val="20"/>
          <w:szCs w:val="20"/>
        </w:rPr>
      </w:pPr>
    </w:p>
    <w:p w14:paraId="4B7EBC46" w14:textId="77777777" w:rsidR="00F33FF4" w:rsidRDefault="00F33FF4" w:rsidP="00FC690D">
      <w:pPr>
        <w:rPr>
          <w:rFonts w:ascii="Verdana" w:hAnsi="Verdana"/>
          <w:sz w:val="20"/>
          <w:szCs w:val="20"/>
        </w:rPr>
      </w:pPr>
    </w:p>
    <w:p w14:paraId="69EB62FB" w14:textId="510ADFC9" w:rsidR="001B72EB" w:rsidRDefault="001B72EB" w:rsidP="00FC690D">
      <w:pPr>
        <w:rPr>
          <w:rFonts w:ascii="Verdana" w:hAnsi="Verdana"/>
          <w:sz w:val="20"/>
          <w:szCs w:val="20"/>
        </w:rPr>
      </w:pPr>
      <w:bookmarkStart w:id="1" w:name="_Hlk66356699"/>
      <w:r>
        <w:rPr>
          <w:rFonts w:ascii="Verdana" w:hAnsi="Verdana"/>
          <w:sz w:val="20"/>
          <w:szCs w:val="20"/>
        </w:rPr>
        <w:t xml:space="preserve">Tabel 2: </w:t>
      </w:r>
      <w:r w:rsidR="00B70C49">
        <w:rPr>
          <w:rFonts w:ascii="Verdana" w:hAnsi="Verdana"/>
          <w:sz w:val="20"/>
          <w:szCs w:val="20"/>
        </w:rPr>
        <w:t xml:space="preserve">Aantal ziektedagen en ziektepercentage </w:t>
      </w:r>
      <w:bookmarkStart w:id="2" w:name="_Hlk66367748"/>
      <w:r w:rsidR="00B70C49">
        <w:rPr>
          <w:rFonts w:ascii="Verdana" w:hAnsi="Verdana"/>
          <w:sz w:val="20"/>
          <w:szCs w:val="20"/>
        </w:rPr>
        <w:t xml:space="preserve">te wijten aan burn-out </w:t>
      </w:r>
      <w:bookmarkEnd w:id="2"/>
      <w:r w:rsidR="00B70C49">
        <w:rPr>
          <w:rFonts w:ascii="Verdana" w:hAnsi="Verdana"/>
          <w:sz w:val="20"/>
          <w:szCs w:val="20"/>
        </w:rPr>
        <w:t xml:space="preserve">per beleidsdomein </w:t>
      </w:r>
      <w:r w:rsidR="0040195F">
        <w:rPr>
          <w:rFonts w:ascii="Verdana" w:hAnsi="Verdana"/>
          <w:sz w:val="20"/>
          <w:szCs w:val="20"/>
        </w:rPr>
        <w:t>opgesplitst naar g</w:t>
      </w:r>
      <w:r w:rsidR="00F633B6">
        <w:rPr>
          <w:rFonts w:ascii="Verdana" w:hAnsi="Verdana"/>
          <w:sz w:val="20"/>
          <w:szCs w:val="20"/>
        </w:rPr>
        <w:t>eslacht</w:t>
      </w:r>
      <w:r w:rsidR="0040195F">
        <w:rPr>
          <w:rFonts w:ascii="Verdana" w:hAnsi="Verdana"/>
          <w:sz w:val="20"/>
          <w:szCs w:val="20"/>
        </w:rPr>
        <w:t xml:space="preserve"> </w:t>
      </w:r>
      <w:r w:rsidR="00B70C49">
        <w:rPr>
          <w:rFonts w:ascii="Verdana" w:hAnsi="Verdana"/>
          <w:sz w:val="20"/>
          <w:szCs w:val="20"/>
        </w:rPr>
        <w:t>voor het jaar 2019</w:t>
      </w:r>
    </w:p>
    <w:tbl>
      <w:tblPr>
        <w:tblW w:w="13336" w:type="dxa"/>
        <w:tblCellMar>
          <w:left w:w="70" w:type="dxa"/>
          <w:right w:w="70" w:type="dxa"/>
        </w:tblCellMar>
        <w:tblLook w:val="04A0" w:firstRow="1" w:lastRow="0" w:firstColumn="1" w:lastColumn="0" w:noHBand="0" w:noVBand="1"/>
      </w:tblPr>
      <w:tblGrid>
        <w:gridCol w:w="3760"/>
        <w:gridCol w:w="1119"/>
        <w:gridCol w:w="1114"/>
        <w:gridCol w:w="1293"/>
        <w:gridCol w:w="1394"/>
        <w:gridCol w:w="1094"/>
        <w:gridCol w:w="1077"/>
        <w:gridCol w:w="1251"/>
        <w:gridCol w:w="1198"/>
        <w:gridCol w:w="146"/>
      </w:tblGrid>
      <w:tr w:rsidR="003F349A" w:rsidRPr="003F349A" w14:paraId="396248FF" w14:textId="77777777" w:rsidTr="003F349A">
        <w:trPr>
          <w:gridAfter w:val="1"/>
          <w:wAfter w:w="36" w:type="dxa"/>
          <w:trHeight w:val="450"/>
        </w:trPr>
        <w:tc>
          <w:tcPr>
            <w:tcW w:w="376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bookmarkEnd w:id="1"/>
          <w:p w14:paraId="071D81F8" w14:textId="77777777" w:rsidR="003F349A" w:rsidRPr="003F349A" w:rsidRDefault="003F349A" w:rsidP="003F349A">
            <w:pPr>
              <w:spacing w:after="0" w:line="240" w:lineRule="auto"/>
              <w:jc w:val="center"/>
              <w:rPr>
                <w:rFonts w:ascii="Arial" w:eastAsia="Times New Roman" w:hAnsi="Arial" w:cs="Arial"/>
                <w:b/>
                <w:bCs/>
                <w:color w:val="000000"/>
                <w:sz w:val="20"/>
                <w:szCs w:val="20"/>
                <w:lang w:eastAsia="nl-BE"/>
              </w:rPr>
            </w:pPr>
            <w:r w:rsidRPr="003F349A">
              <w:rPr>
                <w:rFonts w:ascii="Arial" w:eastAsia="Times New Roman" w:hAnsi="Arial" w:cs="Arial"/>
                <w:b/>
                <w:bCs/>
                <w:color w:val="000000"/>
                <w:sz w:val="20"/>
                <w:szCs w:val="20"/>
                <w:lang w:eastAsia="nl-BE"/>
              </w:rPr>
              <w:t>Beleidsdomein</w:t>
            </w:r>
          </w:p>
        </w:tc>
        <w:tc>
          <w:tcPr>
            <w:tcW w:w="4920"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120FC5E3"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Man</w:t>
            </w:r>
          </w:p>
        </w:tc>
        <w:tc>
          <w:tcPr>
            <w:tcW w:w="4620"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02275130"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Vrouw</w:t>
            </w:r>
          </w:p>
        </w:tc>
      </w:tr>
      <w:tr w:rsidR="003F349A" w:rsidRPr="003F349A" w14:paraId="1590B706" w14:textId="77777777" w:rsidTr="003F349A">
        <w:trPr>
          <w:trHeight w:val="13"/>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0A973F13" w14:textId="77777777" w:rsidR="003F349A" w:rsidRPr="003F349A" w:rsidRDefault="003F349A" w:rsidP="003F349A">
            <w:pPr>
              <w:spacing w:after="0" w:line="240" w:lineRule="auto"/>
              <w:rPr>
                <w:rFonts w:ascii="Arial" w:eastAsia="Times New Roman" w:hAnsi="Arial" w:cs="Arial"/>
                <w:b/>
                <w:bCs/>
                <w:color w:val="000000"/>
                <w:sz w:val="20"/>
                <w:szCs w:val="20"/>
                <w:lang w:eastAsia="nl-BE"/>
              </w:rPr>
            </w:pPr>
          </w:p>
        </w:tc>
        <w:tc>
          <w:tcPr>
            <w:tcW w:w="4920" w:type="dxa"/>
            <w:gridSpan w:val="4"/>
            <w:vMerge/>
            <w:tcBorders>
              <w:top w:val="single" w:sz="4" w:space="0" w:color="auto"/>
              <w:left w:val="single" w:sz="4" w:space="0" w:color="auto"/>
              <w:bottom w:val="single" w:sz="4" w:space="0" w:color="000000"/>
              <w:right w:val="single" w:sz="4" w:space="0" w:color="000000"/>
            </w:tcBorders>
            <w:vAlign w:val="center"/>
            <w:hideMark/>
          </w:tcPr>
          <w:p w14:paraId="675B7D9D" w14:textId="77777777" w:rsidR="003F349A" w:rsidRPr="003F349A" w:rsidRDefault="003F349A" w:rsidP="003F349A">
            <w:pPr>
              <w:spacing w:after="0" w:line="240" w:lineRule="auto"/>
              <w:rPr>
                <w:rFonts w:ascii="Arial" w:eastAsia="Times New Roman" w:hAnsi="Arial" w:cs="Arial"/>
                <w:b/>
                <w:bCs/>
                <w:color w:val="000000"/>
                <w:sz w:val="18"/>
                <w:szCs w:val="18"/>
                <w:lang w:eastAsia="nl-BE"/>
              </w:rPr>
            </w:pPr>
          </w:p>
        </w:tc>
        <w:tc>
          <w:tcPr>
            <w:tcW w:w="4620" w:type="dxa"/>
            <w:gridSpan w:val="4"/>
            <w:vMerge/>
            <w:tcBorders>
              <w:top w:val="single" w:sz="4" w:space="0" w:color="auto"/>
              <w:left w:val="single" w:sz="4" w:space="0" w:color="auto"/>
              <w:bottom w:val="single" w:sz="4" w:space="0" w:color="000000"/>
              <w:right w:val="single" w:sz="4" w:space="0" w:color="000000"/>
            </w:tcBorders>
            <w:vAlign w:val="center"/>
            <w:hideMark/>
          </w:tcPr>
          <w:p w14:paraId="3BEED557" w14:textId="77777777" w:rsidR="003F349A" w:rsidRPr="003F349A" w:rsidRDefault="003F349A" w:rsidP="003F349A">
            <w:pPr>
              <w:spacing w:after="0" w:line="240" w:lineRule="auto"/>
              <w:rPr>
                <w:rFonts w:ascii="Arial" w:eastAsia="Times New Roman" w:hAnsi="Arial" w:cs="Arial"/>
                <w:b/>
                <w:bCs/>
                <w:color w:val="000000"/>
                <w:sz w:val="18"/>
                <w:szCs w:val="18"/>
                <w:lang w:eastAsia="nl-BE"/>
              </w:rPr>
            </w:pPr>
          </w:p>
        </w:tc>
        <w:tc>
          <w:tcPr>
            <w:tcW w:w="36" w:type="dxa"/>
            <w:tcBorders>
              <w:top w:val="nil"/>
              <w:left w:val="nil"/>
              <w:bottom w:val="nil"/>
              <w:right w:val="nil"/>
            </w:tcBorders>
            <w:shd w:val="clear" w:color="auto" w:fill="auto"/>
            <w:noWrap/>
            <w:vAlign w:val="bottom"/>
            <w:hideMark/>
          </w:tcPr>
          <w:p w14:paraId="547B3442"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p>
        </w:tc>
      </w:tr>
      <w:tr w:rsidR="003F349A" w:rsidRPr="003F349A" w14:paraId="1C93FBA9" w14:textId="77777777" w:rsidTr="003F349A">
        <w:trPr>
          <w:trHeight w:val="265"/>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6BCA1BFF" w14:textId="77777777" w:rsidR="003F349A" w:rsidRPr="003F349A" w:rsidRDefault="003F349A" w:rsidP="003F349A">
            <w:pPr>
              <w:spacing w:after="0" w:line="240" w:lineRule="auto"/>
              <w:rPr>
                <w:rFonts w:ascii="Arial" w:eastAsia="Times New Roman" w:hAnsi="Arial" w:cs="Arial"/>
                <w:b/>
                <w:bCs/>
                <w:color w:val="000000"/>
                <w:sz w:val="20"/>
                <w:szCs w:val="20"/>
                <w:lang w:eastAsia="nl-BE"/>
              </w:rPr>
            </w:pPr>
          </w:p>
        </w:tc>
        <w:tc>
          <w:tcPr>
            <w:tcW w:w="3526"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43A0F607"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Aantal beschikbare dagen</w:t>
            </w:r>
          </w:p>
        </w:tc>
        <w:tc>
          <w:tcPr>
            <w:tcW w:w="1394" w:type="dxa"/>
            <w:vMerge w:val="restart"/>
            <w:tcBorders>
              <w:top w:val="nil"/>
              <w:left w:val="single" w:sz="4" w:space="0" w:color="auto"/>
              <w:bottom w:val="single" w:sz="8" w:space="0" w:color="BFBFBF"/>
              <w:right w:val="single" w:sz="4" w:space="0" w:color="auto"/>
            </w:tcBorders>
            <w:shd w:val="clear" w:color="000000" w:fill="BFBFBF"/>
            <w:vAlign w:val="center"/>
            <w:hideMark/>
          </w:tcPr>
          <w:p w14:paraId="110B5611"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Burn-out Ziekte percentage</w:t>
            </w:r>
          </w:p>
        </w:tc>
        <w:tc>
          <w:tcPr>
            <w:tcW w:w="3422"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7AF196C0"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Aantal beschikbare dagen</w:t>
            </w:r>
          </w:p>
        </w:tc>
        <w:tc>
          <w:tcPr>
            <w:tcW w:w="1198" w:type="dxa"/>
            <w:vMerge w:val="restart"/>
            <w:tcBorders>
              <w:top w:val="nil"/>
              <w:left w:val="single" w:sz="4" w:space="0" w:color="auto"/>
              <w:bottom w:val="single" w:sz="8" w:space="0" w:color="BFBFBF"/>
              <w:right w:val="single" w:sz="4" w:space="0" w:color="auto"/>
            </w:tcBorders>
            <w:shd w:val="clear" w:color="000000" w:fill="BFBFBF"/>
            <w:vAlign w:val="center"/>
            <w:hideMark/>
          </w:tcPr>
          <w:p w14:paraId="21313605"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Burn-out Ziekte percentage</w:t>
            </w:r>
          </w:p>
        </w:tc>
        <w:tc>
          <w:tcPr>
            <w:tcW w:w="36" w:type="dxa"/>
            <w:vAlign w:val="center"/>
            <w:hideMark/>
          </w:tcPr>
          <w:p w14:paraId="77F21170"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29325E43" w14:textId="77777777" w:rsidTr="003F349A">
        <w:trPr>
          <w:trHeight w:val="470"/>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742A538A" w14:textId="77777777" w:rsidR="003F349A" w:rsidRPr="003F349A" w:rsidRDefault="003F349A" w:rsidP="003F349A">
            <w:pPr>
              <w:spacing w:after="0" w:line="240" w:lineRule="auto"/>
              <w:rPr>
                <w:rFonts w:ascii="Arial" w:eastAsia="Times New Roman" w:hAnsi="Arial" w:cs="Arial"/>
                <w:b/>
                <w:bCs/>
                <w:color w:val="000000"/>
                <w:sz w:val="20"/>
                <w:szCs w:val="20"/>
                <w:lang w:eastAsia="nl-BE"/>
              </w:rPr>
            </w:pPr>
          </w:p>
        </w:tc>
        <w:tc>
          <w:tcPr>
            <w:tcW w:w="1119" w:type="dxa"/>
            <w:tcBorders>
              <w:top w:val="nil"/>
              <w:left w:val="nil"/>
              <w:bottom w:val="single" w:sz="8" w:space="0" w:color="BFBFBF"/>
              <w:right w:val="single" w:sz="4" w:space="0" w:color="auto"/>
            </w:tcBorders>
            <w:shd w:val="clear" w:color="000000" w:fill="BFBFBF"/>
            <w:vAlign w:val="center"/>
            <w:hideMark/>
          </w:tcPr>
          <w:p w14:paraId="16D3CA79"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Ziekte- Burn-out</w:t>
            </w:r>
          </w:p>
        </w:tc>
        <w:tc>
          <w:tcPr>
            <w:tcW w:w="1114" w:type="dxa"/>
            <w:tcBorders>
              <w:top w:val="nil"/>
              <w:left w:val="nil"/>
              <w:bottom w:val="single" w:sz="8" w:space="0" w:color="BFBFBF"/>
              <w:right w:val="single" w:sz="4" w:space="0" w:color="auto"/>
            </w:tcBorders>
            <w:shd w:val="clear" w:color="000000" w:fill="BFBFBF"/>
            <w:noWrap/>
            <w:vAlign w:val="center"/>
            <w:hideMark/>
          </w:tcPr>
          <w:p w14:paraId="560B48D1"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Ziekte</w:t>
            </w:r>
          </w:p>
        </w:tc>
        <w:tc>
          <w:tcPr>
            <w:tcW w:w="1293" w:type="dxa"/>
            <w:tcBorders>
              <w:top w:val="nil"/>
              <w:left w:val="nil"/>
              <w:bottom w:val="single" w:sz="8" w:space="0" w:color="BFBFBF"/>
              <w:right w:val="single" w:sz="4" w:space="0" w:color="auto"/>
            </w:tcBorders>
            <w:shd w:val="clear" w:color="000000" w:fill="BFBFBF"/>
            <w:noWrap/>
            <w:vAlign w:val="center"/>
            <w:hideMark/>
          </w:tcPr>
          <w:p w14:paraId="09F550FF"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Totaal</w:t>
            </w:r>
          </w:p>
        </w:tc>
        <w:tc>
          <w:tcPr>
            <w:tcW w:w="1394" w:type="dxa"/>
            <w:vMerge/>
            <w:tcBorders>
              <w:top w:val="nil"/>
              <w:left w:val="single" w:sz="4" w:space="0" w:color="auto"/>
              <w:bottom w:val="single" w:sz="8" w:space="0" w:color="BFBFBF"/>
              <w:right w:val="single" w:sz="4" w:space="0" w:color="auto"/>
            </w:tcBorders>
            <w:vAlign w:val="center"/>
            <w:hideMark/>
          </w:tcPr>
          <w:p w14:paraId="2330FCA9" w14:textId="77777777" w:rsidR="003F349A" w:rsidRPr="003F349A" w:rsidRDefault="003F349A" w:rsidP="003F349A">
            <w:pPr>
              <w:spacing w:after="0" w:line="240" w:lineRule="auto"/>
              <w:rPr>
                <w:rFonts w:ascii="Arial" w:eastAsia="Times New Roman" w:hAnsi="Arial" w:cs="Arial"/>
                <w:b/>
                <w:bCs/>
                <w:color w:val="000000"/>
                <w:sz w:val="18"/>
                <w:szCs w:val="18"/>
                <w:lang w:eastAsia="nl-BE"/>
              </w:rPr>
            </w:pPr>
          </w:p>
        </w:tc>
        <w:tc>
          <w:tcPr>
            <w:tcW w:w="1094" w:type="dxa"/>
            <w:tcBorders>
              <w:top w:val="nil"/>
              <w:left w:val="nil"/>
              <w:bottom w:val="single" w:sz="8" w:space="0" w:color="BFBFBF"/>
              <w:right w:val="single" w:sz="4" w:space="0" w:color="auto"/>
            </w:tcBorders>
            <w:shd w:val="clear" w:color="000000" w:fill="BFBFBF"/>
            <w:vAlign w:val="center"/>
            <w:hideMark/>
          </w:tcPr>
          <w:p w14:paraId="2959B7D0"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Ziekte- Burn-out</w:t>
            </w:r>
          </w:p>
        </w:tc>
        <w:tc>
          <w:tcPr>
            <w:tcW w:w="1077" w:type="dxa"/>
            <w:tcBorders>
              <w:top w:val="nil"/>
              <w:left w:val="nil"/>
              <w:bottom w:val="single" w:sz="8" w:space="0" w:color="BFBFBF"/>
              <w:right w:val="single" w:sz="4" w:space="0" w:color="auto"/>
            </w:tcBorders>
            <w:shd w:val="clear" w:color="000000" w:fill="BFBFBF"/>
            <w:noWrap/>
            <w:vAlign w:val="center"/>
            <w:hideMark/>
          </w:tcPr>
          <w:p w14:paraId="71ED66EC"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Ziekte</w:t>
            </w:r>
          </w:p>
        </w:tc>
        <w:tc>
          <w:tcPr>
            <w:tcW w:w="1251" w:type="dxa"/>
            <w:tcBorders>
              <w:top w:val="nil"/>
              <w:left w:val="nil"/>
              <w:bottom w:val="single" w:sz="8" w:space="0" w:color="BFBFBF"/>
              <w:right w:val="single" w:sz="4" w:space="0" w:color="auto"/>
            </w:tcBorders>
            <w:shd w:val="clear" w:color="000000" w:fill="BFBFBF"/>
            <w:noWrap/>
            <w:vAlign w:val="center"/>
            <w:hideMark/>
          </w:tcPr>
          <w:p w14:paraId="3B926D10"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Totaal</w:t>
            </w:r>
          </w:p>
        </w:tc>
        <w:tc>
          <w:tcPr>
            <w:tcW w:w="1198" w:type="dxa"/>
            <w:vMerge/>
            <w:tcBorders>
              <w:top w:val="nil"/>
              <w:left w:val="single" w:sz="4" w:space="0" w:color="auto"/>
              <w:bottom w:val="single" w:sz="8" w:space="0" w:color="BFBFBF"/>
              <w:right w:val="single" w:sz="4" w:space="0" w:color="auto"/>
            </w:tcBorders>
            <w:vAlign w:val="center"/>
            <w:hideMark/>
          </w:tcPr>
          <w:p w14:paraId="7B6EC611" w14:textId="77777777" w:rsidR="003F349A" w:rsidRPr="003F349A" w:rsidRDefault="003F349A" w:rsidP="003F349A">
            <w:pPr>
              <w:spacing w:after="0" w:line="240" w:lineRule="auto"/>
              <w:rPr>
                <w:rFonts w:ascii="Arial" w:eastAsia="Times New Roman" w:hAnsi="Arial" w:cs="Arial"/>
                <w:b/>
                <w:bCs/>
                <w:color w:val="000000"/>
                <w:sz w:val="18"/>
                <w:szCs w:val="18"/>
                <w:lang w:eastAsia="nl-BE"/>
              </w:rPr>
            </w:pPr>
          </w:p>
        </w:tc>
        <w:tc>
          <w:tcPr>
            <w:tcW w:w="36" w:type="dxa"/>
            <w:vAlign w:val="center"/>
            <w:hideMark/>
          </w:tcPr>
          <w:p w14:paraId="63B17069"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2A659E31"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0C56FC52" w14:textId="4768EE9C"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Kanselarij en Bestuur</w:t>
            </w:r>
          </w:p>
        </w:tc>
        <w:tc>
          <w:tcPr>
            <w:tcW w:w="1119" w:type="dxa"/>
            <w:tcBorders>
              <w:top w:val="nil"/>
              <w:left w:val="single" w:sz="4" w:space="0" w:color="auto"/>
              <w:bottom w:val="single" w:sz="4" w:space="0" w:color="auto"/>
              <w:right w:val="single" w:sz="4" w:space="0" w:color="auto"/>
            </w:tcBorders>
            <w:shd w:val="clear" w:color="auto" w:fill="auto"/>
            <w:noWrap/>
            <w:vAlign w:val="center"/>
            <w:hideMark/>
          </w:tcPr>
          <w:p w14:paraId="001A905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1.383,27</w:t>
            </w:r>
          </w:p>
        </w:tc>
        <w:tc>
          <w:tcPr>
            <w:tcW w:w="1114" w:type="dxa"/>
            <w:tcBorders>
              <w:top w:val="nil"/>
              <w:left w:val="nil"/>
              <w:bottom w:val="single" w:sz="4" w:space="0" w:color="auto"/>
              <w:right w:val="single" w:sz="4" w:space="0" w:color="auto"/>
            </w:tcBorders>
            <w:shd w:val="clear" w:color="auto" w:fill="auto"/>
            <w:noWrap/>
            <w:vAlign w:val="center"/>
            <w:hideMark/>
          </w:tcPr>
          <w:p w14:paraId="161EFB39"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11.423,72</w:t>
            </w:r>
          </w:p>
        </w:tc>
        <w:tc>
          <w:tcPr>
            <w:tcW w:w="1293" w:type="dxa"/>
            <w:tcBorders>
              <w:top w:val="nil"/>
              <w:left w:val="nil"/>
              <w:bottom w:val="single" w:sz="4" w:space="0" w:color="auto"/>
              <w:right w:val="single" w:sz="4" w:space="0" w:color="auto"/>
            </w:tcBorders>
            <w:shd w:val="clear" w:color="auto" w:fill="auto"/>
            <w:noWrap/>
            <w:vAlign w:val="center"/>
            <w:hideMark/>
          </w:tcPr>
          <w:p w14:paraId="3D9868FD"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200.845,41</w:t>
            </w:r>
          </w:p>
        </w:tc>
        <w:tc>
          <w:tcPr>
            <w:tcW w:w="1394" w:type="dxa"/>
            <w:tcBorders>
              <w:top w:val="nil"/>
              <w:left w:val="nil"/>
              <w:bottom w:val="single" w:sz="4" w:space="0" w:color="auto"/>
              <w:right w:val="single" w:sz="4" w:space="0" w:color="auto"/>
            </w:tcBorders>
            <w:shd w:val="clear" w:color="auto" w:fill="auto"/>
            <w:noWrap/>
            <w:vAlign w:val="center"/>
            <w:hideMark/>
          </w:tcPr>
          <w:p w14:paraId="1B008B5C"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12,11%</w:t>
            </w:r>
          </w:p>
        </w:tc>
        <w:tc>
          <w:tcPr>
            <w:tcW w:w="1094" w:type="dxa"/>
            <w:tcBorders>
              <w:top w:val="nil"/>
              <w:left w:val="nil"/>
              <w:bottom w:val="single" w:sz="4" w:space="0" w:color="auto"/>
              <w:right w:val="single" w:sz="4" w:space="0" w:color="auto"/>
            </w:tcBorders>
            <w:shd w:val="clear" w:color="auto" w:fill="auto"/>
            <w:noWrap/>
            <w:vAlign w:val="center"/>
            <w:hideMark/>
          </w:tcPr>
          <w:p w14:paraId="7EEEFF1E"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2.490,19</w:t>
            </w:r>
          </w:p>
        </w:tc>
        <w:tc>
          <w:tcPr>
            <w:tcW w:w="1077" w:type="dxa"/>
            <w:tcBorders>
              <w:top w:val="nil"/>
              <w:left w:val="nil"/>
              <w:bottom w:val="single" w:sz="4" w:space="0" w:color="auto"/>
              <w:right w:val="single" w:sz="4" w:space="0" w:color="auto"/>
            </w:tcBorders>
            <w:shd w:val="clear" w:color="auto" w:fill="auto"/>
            <w:noWrap/>
            <w:vAlign w:val="center"/>
            <w:hideMark/>
          </w:tcPr>
          <w:p w14:paraId="31BE12AB"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30.237,82</w:t>
            </w:r>
          </w:p>
        </w:tc>
        <w:tc>
          <w:tcPr>
            <w:tcW w:w="1251" w:type="dxa"/>
            <w:tcBorders>
              <w:top w:val="nil"/>
              <w:left w:val="nil"/>
              <w:bottom w:val="single" w:sz="4" w:space="0" w:color="auto"/>
              <w:right w:val="single" w:sz="4" w:space="0" w:color="auto"/>
            </w:tcBorders>
            <w:shd w:val="clear" w:color="auto" w:fill="auto"/>
            <w:noWrap/>
            <w:vAlign w:val="center"/>
            <w:hideMark/>
          </w:tcPr>
          <w:p w14:paraId="63DEEBD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305.743,85</w:t>
            </w:r>
          </w:p>
        </w:tc>
        <w:tc>
          <w:tcPr>
            <w:tcW w:w="1198" w:type="dxa"/>
            <w:tcBorders>
              <w:top w:val="nil"/>
              <w:left w:val="nil"/>
              <w:bottom w:val="single" w:sz="4" w:space="0" w:color="auto"/>
              <w:right w:val="single" w:sz="4" w:space="0" w:color="auto"/>
            </w:tcBorders>
            <w:shd w:val="clear" w:color="auto" w:fill="auto"/>
            <w:noWrap/>
            <w:vAlign w:val="center"/>
            <w:hideMark/>
          </w:tcPr>
          <w:p w14:paraId="7A0A2FAE"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8,24%</w:t>
            </w:r>
          </w:p>
        </w:tc>
        <w:tc>
          <w:tcPr>
            <w:tcW w:w="36" w:type="dxa"/>
            <w:vAlign w:val="center"/>
            <w:hideMark/>
          </w:tcPr>
          <w:p w14:paraId="73D4163A"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0911376B"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17727FAA" w14:textId="0C7CC180"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Financiën en Begroting</w:t>
            </w:r>
          </w:p>
        </w:tc>
        <w:tc>
          <w:tcPr>
            <w:tcW w:w="1119" w:type="dxa"/>
            <w:tcBorders>
              <w:top w:val="nil"/>
              <w:left w:val="nil"/>
              <w:bottom w:val="single" w:sz="4" w:space="0" w:color="auto"/>
              <w:right w:val="single" w:sz="4" w:space="0" w:color="auto"/>
            </w:tcBorders>
            <w:shd w:val="clear" w:color="auto" w:fill="auto"/>
            <w:noWrap/>
            <w:vAlign w:val="center"/>
            <w:hideMark/>
          </w:tcPr>
          <w:p w14:paraId="1E9869A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842,00</w:t>
            </w:r>
          </w:p>
        </w:tc>
        <w:tc>
          <w:tcPr>
            <w:tcW w:w="1114" w:type="dxa"/>
            <w:tcBorders>
              <w:top w:val="nil"/>
              <w:left w:val="nil"/>
              <w:bottom w:val="single" w:sz="4" w:space="0" w:color="auto"/>
              <w:right w:val="single" w:sz="4" w:space="0" w:color="auto"/>
            </w:tcBorders>
            <w:shd w:val="clear" w:color="auto" w:fill="auto"/>
            <w:noWrap/>
            <w:vAlign w:val="center"/>
            <w:hideMark/>
          </w:tcPr>
          <w:p w14:paraId="581953A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7.011,53</w:t>
            </w:r>
          </w:p>
        </w:tc>
        <w:tc>
          <w:tcPr>
            <w:tcW w:w="1293" w:type="dxa"/>
            <w:tcBorders>
              <w:top w:val="nil"/>
              <w:left w:val="nil"/>
              <w:bottom w:val="single" w:sz="4" w:space="0" w:color="auto"/>
              <w:right w:val="single" w:sz="4" w:space="0" w:color="auto"/>
            </w:tcBorders>
            <w:shd w:val="clear" w:color="auto" w:fill="auto"/>
            <w:noWrap/>
            <w:vAlign w:val="center"/>
            <w:hideMark/>
          </w:tcPr>
          <w:p w14:paraId="5EAA10EB"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109.966,79</w:t>
            </w:r>
          </w:p>
        </w:tc>
        <w:tc>
          <w:tcPr>
            <w:tcW w:w="1394" w:type="dxa"/>
            <w:tcBorders>
              <w:top w:val="nil"/>
              <w:left w:val="nil"/>
              <w:bottom w:val="single" w:sz="4" w:space="0" w:color="auto"/>
              <w:right w:val="single" w:sz="4" w:space="0" w:color="auto"/>
            </w:tcBorders>
            <w:shd w:val="clear" w:color="auto" w:fill="auto"/>
            <w:noWrap/>
            <w:vAlign w:val="center"/>
            <w:hideMark/>
          </w:tcPr>
          <w:p w14:paraId="3D57E18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12,01%</w:t>
            </w:r>
          </w:p>
        </w:tc>
        <w:tc>
          <w:tcPr>
            <w:tcW w:w="1094" w:type="dxa"/>
            <w:tcBorders>
              <w:top w:val="nil"/>
              <w:left w:val="nil"/>
              <w:bottom w:val="single" w:sz="4" w:space="0" w:color="auto"/>
              <w:right w:val="single" w:sz="4" w:space="0" w:color="auto"/>
            </w:tcBorders>
            <w:shd w:val="clear" w:color="auto" w:fill="auto"/>
            <w:noWrap/>
            <w:vAlign w:val="center"/>
            <w:hideMark/>
          </w:tcPr>
          <w:p w14:paraId="6F7325C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421,50</w:t>
            </w:r>
          </w:p>
        </w:tc>
        <w:tc>
          <w:tcPr>
            <w:tcW w:w="1077" w:type="dxa"/>
            <w:tcBorders>
              <w:top w:val="nil"/>
              <w:left w:val="nil"/>
              <w:bottom w:val="single" w:sz="4" w:space="0" w:color="auto"/>
              <w:right w:val="single" w:sz="4" w:space="0" w:color="auto"/>
            </w:tcBorders>
            <w:shd w:val="clear" w:color="auto" w:fill="auto"/>
            <w:noWrap/>
            <w:vAlign w:val="center"/>
            <w:hideMark/>
          </w:tcPr>
          <w:p w14:paraId="2F7CE5D6"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16.603,18</w:t>
            </w:r>
          </w:p>
        </w:tc>
        <w:tc>
          <w:tcPr>
            <w:tcW w:w="1251" w:type="dxa"/>
            <w:tcBorders>
              <w:top w:val="nil"/>
              <w:left w:val="nil"/>
              <w:bottom w:val="single" w:sz="4" w:space="0" w:color="auto"/>
              <w:right w:val="single" w:sz="4" w:space="0" w:color="auto"/>
            </w:tcBorders>
            <w:shd w:val="clear" w:color="auto" w:fill="auto"/>
            <w:noWrap/>
            <w:vAlign w:val="center"/>
            <w:hideMark/>
          </w:tcPr>
          <w:p w14:paraId="658A128A"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172.233,52</w:t>
            </w:r>
          </w:p>
        </w:tc>
        <w:tc>
          <w:tcPr>
            <w:tcW w:w="1198" w:type="dxa"/>
            <w:tcBorders>
              <w:top w:val="nil"/>
              <w:left w:val="nil"/>
              <w:bottom w:val="single" w:sz="4" w:space="0" w:color="auto"/>
              <w:right w:val="single" w:sz="4" w:space="0" w:color="auto"/>
            </w:tcBorders>
            <w:shd w:val="clear" w:color="auto" w:fill="auto"/>
            <w:noWrap/>
            <w:vAlign w:val="center"/>
            <w:hideMark/>
          </w:tcPr>
          <w:p w14:paraId="7CF62321"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2,54%</w:t>
            </w:r>
          </w:p>
        </w:tc>
        <w:tc>
          <w:tcPr>
            <w:tcW w:w="36" w:type="dxa"/>
            <w:vAlign w:val="center"/>
            <w:hideMark/>
          </w:tcPr>
          <w:p w14:paraId="09AE9184"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18616281"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7487BBC4" w14:textId="2F91A483"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Internationaal Vlaanderen</w:t>
            </w:r>
          </w:p>
        </w:tc>
        <w:tc>
          <w:tcPr>
            <w:tcW w:w="1119" w:type="dxa"/>
            <w:tcBorders>
              <w:top w:val="nil"/>
              <w:left w:val="nil"/>
              <w:bottom w:val="single" w:sz="4" w:space="0" w:color="auto"/>
              <w:right w:val="single" w:sz="4" w:space="0" w:color="auto"/>
            </w:tcBorders>
            <w:shd w:val="clear" w:color="auto" w:fill="auto"/>
            <w:noWrap/>
            <w:vAlign w:val="center"/>
            <w:hideMark/>
          </w:tcPr>
          <w:p w14:paraId="163B3B6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135,00</w:t>
            </w:r>
          </w:p>
        </w:tc>
        <w:tc>
          <w:tcPr>
            <w:tcW w:w="1114" w:type="dxa"/>
            <w:tcBorders>
              <w:top w:val="nil"/>
              <w:left w:val="nil"/>
              <w:bottom w:val="single" w:sz="4" w:space="0" w:color="auto"/>
              <w:right w:val="single" w:sz="4" w:space="0" w:color="auto"/>
            </w:tcBorders>
            <w:shd w:val="clear" w:color="auto" w:fill="auto"/>
            <w:noWrap/>
            <w:vAlign w:val="center"/>
            <w:hideMark/>
          </w:tcPr>
          <w:p w14:paraId="79619E6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1.806,00</w:t>
            </w:r>
          </w:p>
        </w:tc>
        <w:tc>
          <w:tcPr>
            <w:tcW w:w="1293" w:type="dxa"/>
            <w:tcBorders>
              <w:top w:val="nil"/>
              <w:left w:val="nil"/>
              <w:bottom w:val="single" w:sz="4" w:space="0" w:color="auto"/>
              <w:right w:val="single" w:sz="4" w:space="0" w:color="auto"/>
            </w:tcBorders>
            <w:shd w:val="clear" w:color="auto" w:fill="auto"/>
            <w:noWrap/>
            <w:vAlign w:val="center"/>
            <w:hideMark/>
          </w:tcPr>
          <w:p w14:paraId="3105B42C"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56.197,76</w:t>
            </w:r>
          </w:p>
        </w:tc>
        <w:tc>
          <w:tcPr>
            <w:tcW w:w="1394" w:type="dxa"/>
            <w:tcBorders>
              <w:top w:val="nil"/>
              <w:left w:val="nil"/>
              <w:bottom w:val="single" w:sz="4" w:space="0" w:color="auto"/>
              <w:right w:val="single" w:sz="4" w:space="0" w:color="auto"/>
            </w:tcBorders>
            <w:shd w:val="clear" w:color="auto" w:fill="auto"/>
            <w:noWrap/>
            <w:vAlign w:val="center"/>
            <w:hideMark/>
          </w:tcPr>
          <w:p w14:paraId="42DDDA0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7,48%</w:t>
            </w:r>
          </w:p>
        </w:tc>
        <w:tc>
          <w:tcPr>
            <w:tcW w:w="1094" w:type="dxa"/>
            <w:tcBorders>
              <w:top w:val="nil"/>
              <w:left w:val="nil"/>
              <w:bottom w:val="single" w:sz="4" w:space="0" w:color="auto"/>
              <w:right w:val="single" w:sz="4" w:space="0" w:color="auto"/>
            </w:tcBorders>
            <w:shd w:val="clear" w:color="auto" w:fill="auto"/>
            <w:noWrap/>
            <w:vAlign w:val="center"/>
            <w:hideMark/>
          </w:tcPr>
          <w:p w14:paraId="5401CA1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614,75</w:t>
            </w:r>
          </w:p>
        </w:tc>
        <w:tc>
          <w:tcPr>
            <w:tcW w:w="1077" w:type="dxa"/>
            <w:tcBorders>
              <w:top w:val="nil"/>
              <w:left w:val="nil"/>
              <w:bottom w:val="single" w:sz="4" w:space="0" w:color="auto"/>
              <w:right w:val="single" w:sz="4" w:space="0" w:color="auto"/>
            </w:tcBorders>
            <w:shd w:val="clear" w:color="auto" w:fill="auto"/>
            <w:noWrap/>
            <w:vAlign w:val="center"/>
            <w:hideMark/>
          </w:tcPr>
          <w:p w14:paraId="63B2606B"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4.997,20</w:t>
            </w:r>
          </w:p>
        </w:tc>
        <w:tc>
          <w:tcPr>
            <w:tcW w:w="1251" w:type="dxa"/>
            <w:tcBorders>
              <w:top w:val="nil"/>
              <w:left w:val="nil"/>
              <w:bottom w:val="single" w:sz="4" w:space="0" w:color="auto"/>
              <w:right w:val="single" w:sz="4" w:space="0" w:color="auto"/>
            </w:tcBorders>
            <w:shd w:val="clear" w:color="auto" w:fill="auto"/>
            <w:noWrap/>
            <w:vAlign w:val="center"/>
            <w:hideMark/>
          </w:tcPr>
          <w:p w14:paraId="4D29CC1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61.148,63</w:t>
            </w:r>
          </w:p>
        </w:tc>
        <w:tc>
          <w:tcPr>
            <w:tcW w:w="1198" w:type="dxa"/>
            <w:tcBorders>
              <w:top w:val="nil"/>
              <w:left w:val="nil"/>
              <w:bottom w:val="single" w:sz="4" w:space="0" w:color="auto"/>
              <w:right w:val="single" w:sz="4" w:space="0" w:color="auto"/>
            </w:tcBorders>
            <w:shd w:val="clear" w:color="auto" w:fill="auto"/>
            <w:noWrap/>
            <w:vAlign w:val="center"/>
            <w:hideMark/>
          </w:tcPr>
          <w:p w14:paraId="5786E19F"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12,30%</w:t>
            </w:r>
          </w:p>
        </w:tc>
        <w:tc>
          <w:tcPr>
            <w:tcW w:w="36" w:type="dxa"/>
            <w:vAlign w:val="center"/>
            <w:hideMark/>
          </w:tcPr>
          <w:p w14:paraId="6C8A801A"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4291CBCE"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6B0CA87B" w14:textId="367D9EF5"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Economie Wetenschap en Innovatie</w:t>
            </w:r>
          </w:p>
        </w:tc>
        <w:tc>
          <w:tcPr>
            <w:tcW w:w="1119" w:type="dxa"/>
            <w:tcBorders>
              <w:top w:val="nil"/>
              <w:left w:val="nil"/>
              <w:bottom w:val="single" w:sz="4" w:space="0" w:color="auto"/>
              <w:right w:val="single" w:sz="4" w:space="0" w:color="auto"/>
            </w:tcBorders>
            <w:shd w:val="clear" w:color="auto" w:fill="auto"/>
            <w:noWrap/>
            <w:vAlign w:val="center"/>
            <w:hideMark/>
          </w:tcPr>
          <w:p w14:paraId="5FA86AAC"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0,00</w:t>
            </w:r>
          </w:p>
        </w:tc>
        <w:tc>
          <w:tcPr>
            <w:tcW w:w="1114" w:type="dxa"/>
            <w:tcBorders>
              <w:top w:val="nil"/>
              <w:left w:val="nil"/>
              <w:bottom w:val="single" w:sz="4" w:space="0" w:color="auto"/>
              <w:right w:val="single" w:sz="4" w:space="0" w:color="auto"/>
            </w:tcBorders>
            <w:shd w:val="clear" w:color="auto" w:fill="auto"/>
            <w:noWrap/>
            <w:vAlign w:val="center"/>
            <w:hideMark/>
          </w:tcPr>
          <w:p w14:paraId="5B112937"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3.479,25</w:t>
            </w:r>
          </w:p>
        </w:tc>
        <w:tc>
          <w:tcPr>
            <w:tcW w:w="1293" w:type="dxa"/>
            <w:tcBorders>
              <w:top w:val="nil"/>
              <w:left w:val="nil"/>
              <w:bottom w:val="single" w:sz="4" w:space="0" w:color="auto"/>
              <w:right w:val="single" w:sz="4" w:space="0" w:color="auto"/>
            </w:tcBorders>
            <w:shd w:val="clear" w:color="auto" w:fill="auto"/>
            <w:noWrap/>
            <w:vAlign w:val="center"/>
            <w:hideMark/>
          </w:tcPr>
          <w:p w14:paraId="3C670FED"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72.596,76</w:t>
            </w:r>
          </w:p>
        </w:tc>
        <w:tc>
          <w:tcPr>
            <w:tcW w:w="1394" w:type="dxa"/>
            <w:tcBorders>
              <w:top w:val="nil"/>
              <w:left w:val="nil"/>
              <w:bottom w:val="single" w:sz="4" w:space="0" w:color="auto"/>
              <w:right w:val="single" w:sz="4" w:space="0" w:color="auto"/>
            </w:tcBorders>
            <w:shd w:val="clear" w:color="auto" w:fill="auto"/>
            <w:noWrap/>
            <w:vAlign w:val="center"/>
            <w:hideMark/>
          </w:tcPr>
          <w:p w14:paraId="58DAD4FB"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5E2991E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833,39</w:t>
            </w:r>
          </w:p>
        </w:tc>
        <w:tc>
          <w:tcPr>
            <w:tcW w:w="1077" w:type="dxa"/>
            <w:tcBorders>
              <w:top w:val="nil"/>
              <w:left w:val="nil"/>
              <w:bottom w:val="single" w:sz="4" w:space="0" w:color="auto"/>
              <w:right w:val="single" w:sz="4" w:space="0" w:color="auto"/>
            </w:tcBorders>
            <w:shd w:val="clear" w:color="auto" w:fill="auto"/>
            <w:noWrap/>
            <w:vAlign w:val="center"/>
            <w:hideMark/>
          </w:tcPr>
          <w:p w14:paraId="7BCE1F67"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5.941,13</w:t>
            </w:r>
          </w:p>
        </w:tc>
        <w:tc>
          <w:tcPr>
            <w:tcW w:w="1251" w:type="dxa"/>
            <w:tcBorders>
              <w:top w:val="nil"/>
              <w:left w:val="nil"/>
              <w:bottom w:val="single" w:sz="4" w:space="0" w:color="auto"/>
              <w:right w:val="single" w:sz="4" w:space="0" w:color="auto"/>
            </w:tcBorders>
            <w:shd w:val="clear" w:color="auto" w:fill="auto"/>
            <w:noWrap/>
            <w:vAlign w:val="center"/>
            <w:hideMark/>
          </w:tcPr>
          <w:p w14:paraId="2D97BB3D"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71.499,97</w:t>
            </w:r>
          </w:p>
        </w:tc>
        <w:tc>
          <w:tcPr>
            <w:tcW w:w="1198" w:type="dxa"/>
            <w:tcBorders>
              <w:top w:val="nil"/>
              <w:left w:val="nil"/>
              <w:bottom w:val="single" w:sz="4" w:space="0" w:color="auto"/>
              <w:right w:val="single" w:sz="4" w:space="0" w:color="auto"/>
            </w:tcBorders>
            <w:shd w:val="clear" w:color="auto" w:fill="auto"/>
            <w:noWrap/>
            <w:vAlign w:val="center"/>
            <w:hideMark/>
          </w:tcPr>
          <w:p w14:paraId="30F6E0B6"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14,03%</w:t>
            </w:r>
          </w:p>
        </w:tc>
        <w:tc>
          <w:tcPr>
            <w:tcW w:w="36" w:type="dxa"/>
            <w:vAlign w:val="center"/>
            <w:hideMark/>
          </w:tcPr>
          <w:p w14:paraId="0A177FE3"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673A86E4"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6E447B58" w14:textId="55B3DEE9"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Onderwijs en Vorming</w:t>
            </w:r>
          </w:p>
        </w:tc>
        <w:tc>
          <w:tcPr>
            <w:tcW w:w="1119" w:type="dxa"/>
            <w:tcBorders>
              <w:top w:val="nil"/>
              <w:left w:val="nil"/>
              <w:bottom w:val="single" w:sz="4" w:space="0" w:color="auto"/>
              <w:right w:val="single" w:sz="4" w:space="0" w:color="auto"/>
            </w:tcBorders>
            <w:shd w:val="clear" w:color="auto" w:fill="auto"/>
            <w:noWrap/>
            <w:vAlign w:val="center"/>
            <w:hideMark/>
          </w:tcPr>
          <w:p w14:paraId="543CD32E"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33,00</w:t>
            </w:r>
          </w:p>
        </w:tc>
        <w:tc>
          <w:tcPr>
            <w:tcW w:w="1114" w:type="dxa"/>
            <w:tcBorders>
              <w:top w:val="nil"/>
              <w:left w:val="nil"/>
              <w:bottom w:val="single" w:sz="4" w:space="0" w:color="auto"/>
              <w:right w:val="single" w:sz="4" w:space="0" w:color="auto"/>
            </w:tcBorders>
            <w:shd w:val="clear" w:color="auto" w:fill="auto"/>
            <w:noWrap/>
            <w:vAlign w:val="center"/>
            <w:hideMark/>
          </w:tcPr>
          <w:p w14:paraId="3C7E816C"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3.906,38</w:t>
            </w:r>
          </w:p>
        </w:tc>
        <w:tc>
          <w:tcPr>
            <w:tcW w:w="1293" w:type="dxa"/>
            <w:tcBorders>
              <w:top w:val="nil"/>
              <w:left w:val="nil"/>
              <w:bottom w:val="single" w:sz="4" w:space="0" w:color="auto"/>
              <w:right w:val="single" w:sz="4" w:space="0" w:color="auto"/>
            </w:tcBorders>
            <w:shd w:val="clear" w:color="auto" w:fill="auto"/>
            <w:noWrap/>
            <w:vAlign w:val="center"/>
            <w:hideMark/>
          </w:tcPr>
          <w:p w14:paraId="5C37F3C9"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83.585,91</w:t>
            </w:r>
          </w:p>
        </w:tc>
        <w:tc>
          <w:tcPr>
            <w:tcW w:w="1394" w:type="dxa"/>
            <w:tcBorders>
              <w:top w:val="nil"/>
              <w:left w:val="nil"/>
              <w:bottom w:val="single" w:sz="4" w:space="0" w:color="auto"/>
              <w:right w:val="single" w:sz="4" w:space="0" w:color="auto"/>
            </w:tcBorders>
            <w:shd w:val="clear" w:color="auto" w:fill="auto"/>
            <w:noWrap/>
            <w:vAlign w:val="center"/>
            <w:hideMark/>
          </w:tcPr>
          <w:p w14:paraId="699040E8"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0,84%</w:t>
            </w:r>
          </w:p>
        </w:tc>
        <w:tc>
          <w:tcPr>
            <w:tcW w:w="1094" w:type="dxa"/>
            <w:tcBorders>
              <w:top w:val="nil"/>
              <w:left w:val="nil"/>
              <w:bottom w:val="single" w:sz="4" w:space="0" w:color="auto"/>
              <w:right w:val="single" w:sz="4" w:space="0" w:color="auto"/>
            </w:tcBorders>
            <w:shd w:val="clear" w:color="auto" w:fill="auto"/>
            <w:noWrap/>
            <w:vAlign w:val="center"/>
            <w:hideMark/>
          </w:tcPr>
          <w:p w14:paraId="5E16EAC8"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751,25</w:t>
            </w:r>
          </w:p>
        </w:tc>
        <w:tc>
          <w:tcPr>
            <w:tcW w:w="1077" w:type="dxa"/>
            <w:tcBorders>
              <w:top w:val="nil"/>
              <w:left w:val="nil"/>
              <w:bottom w:val="single" w:sz="4" w:space="0" w:color="auto"/>
              <w:right w:val="single" w:sz="4" w:space="0" w:color="auto"/>
            </w:tcBorders>
            <w:shd w:val="clear" w:color="auto" w:fill="auto"/>
            <w:noWrap/>
            <w:vAlign w:val="center"/>
            <w:hideMark/>
          </w:tcPr>
          <w:p w14:paraId="3039E714"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11.987,77</w:t>
            </w:r>
          </w:p>
        </w:tc>
        <w:tc>
          <w:tcPr>
            <w:tcW w:w="1251" w:type="dxa"/>
            <w:tcBorders>
              <w:top w:val="nil"/>
              <w:left w:val="nil"/>
              <w:bottom w:val="single" w:sz="4" w:space="0" w:color="auto"/>
              <w:right w:val="single" w:sz="4" w:space="0" w:color="auto"/>
            </w:tcBorders>
            <w:shd w:val="clear" w:color="auto" w:fill="auto"/>
            <w:noWrap/>
            <w:vAlign w:val="center"/>
            <w:hideMark/>
          </w:tcPr>
          <w:p w14:paraId="3862BDBD"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139.171,71</w:t>
            </w:r>
          </w:p>
        </w:tc>
        <w:tc>
          <w:tcPr>
            <w:tcW w:w="1198" w:type="dxa"/>
            <w:tcBorders>
              <w:top w:val="nil"/>
              <w:left w:val="nil"/>
              <w:bottom w:val="single" w:sz="4" w:space="0" w:color="auto"/>
              <w:right w:val="single" w:sz="4" w:space="0" w:color="auto"/>
            </w:tcBorders>
            <w:shd w:val="clear" w:color="auto" w:fill="auto"/>
            <w:noWrap/>
            <w:vAlign w:val="center"/>
            <w:hideMark/>
          </w:tcPr>
          <w:p w14:paraId="3F15BC79"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6,27%</w:t>
            </w:r>
          </w:p>
        </w:tc>
        <w:tc>
          <w:tcPr>
            <w:tcW w:w="36" w:type="dxa"/>
            <w:vAlign w:val="center"/>
            <w:hideMark/>
          </w:tcPr>
          <w:p w14:paraId="3FEC4C5E"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12057CB4"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4B55C360" w14:textId="7FD16E36"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Welzijn, Volksgezondheid en Gezin</w:t>
            </w:r>
          </w:p>
        </w:tc>
        <w:tc>
          <w:tcPr>
            <w:tcW w:w="1119" w:type="dxa"/>
            <w:tcBorders>
              <w:top w:val="nil"/>
              <w:left w:val="nil"/>
              <w:bottom w:val="single" w:sz="4" w:space="0" w:color="auto"/>
              <w:right w:val="single" w:sz="4" w:space="0" w:color="auto"/>
            </w:tcBorders>
            <w:shd w:val="clear" w:color="auto" w:fill="auto"/>
            <w:noWrap/>
            <w:vAlign w:val="center"/>
            <w:hideMark/>
          </w:tcPr>
          <w:p w14:paraId="34351EF4"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1.619,00</w:t>
            </w:r>
          </w:p>
        </w:tc>
        <w:tc>
          <w:tcPr>
            <w:tcW w:w="1114" w:type="dxa"/>
            <w:tcBorders>
              <w:top w:val="nil"/>
              <w:left w:val="nil"/>
              <w:bottom w:val="single" w:sz="4" w:space="0" w:color="auto"/>
              <w:right w:val="single" w:sz="4" w:space="0" w:color="auto"/>
            </w:tcBorders>
            <w:shd w:val="clear" w:color="auto" w:fill="auto"/>
            <w:noWrap/>
            <w:vAlign w:val="center"/>
            <w:hideMark/>
          </w:tcPr>
          <w:p w14:paraId="74F151C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15.676,13</w:t>
            </w:r>
          </w:p>
        </w:tc>
        <w:tc>
          <w:tcPr>
            <w:tcW w:w="1293" w:type="dxa"/>
            <w:tcBorders>
              <w:top w:val="nil"/>
              <w:left w:val="nil"/>
              <w:bottom w:val="single" w:sz="4" w:space="0" w:color="auto"/>
              <w:right w:val="single" w:sz="4" w:space="0" w:color="auto"/>
            </w:tcBorders>
            <w:shd w:val="clear" w:color="auto" w:fill="auto"/>
            <w:noWrap/>
            <w:vAlign w:val="center"/>
            <w:hideMark/>
          </w:tcPr>
          <w:p w14:paraId="68DA2E28"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268.242,59</w:t>
            </w:r>
          </w:p>
        </w:tc>
        <w:tc>
          <w:tcPr>
            <w:tcW w:w="1394" w:type="dxa"/>
            <w:tcBorders>
              <w:top w:val="nil"/>
              <w:left w:val="nil"/>
              <w:bottom w:val="single" w:sz="4" w:space="0" w:color="auto"/>
              <w:right w:val="single" w:sz="4" w:space="0" w:color="auto"/>
            </w:tcBorders>
            <w:shd w:val="clear" w:color="auto" w:fill="auto"/>
            <w:noWrap/>
            <w:vAlign w:val="center"/>
            <w:hideMark/>
          </w:tcPr>
          <w:p w14:paraId="152994AB"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10,33%</w:t>
            </w:r>
          </w:p>
        </w:tc>
        <w:tc>
          <w:tcPr>
            <w:tcW w:w="1094" w:type="dxa"/>
            <w:tcBorders>
              <w:top w:val="nil"/>
              <w:left w:val="nil"/>
              <w:bottom w:val="single" w:sz="4" w:space="0" w:color="auto"/>
              <w:right w:val="single" w:sz="4" w:space="0" w:color="auto"/>
            </w:tcBorders>
            <w:shd w:val="clear" w:color="auto" w:fill="auto"/>
            <w:noWrap/>
            <w:vAlign w:val="center"/>
            <w:hideMark/>
          </w:tcPr>
          <w:p w14:paraId="77391951"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6.162,31</w:t>
            </w:r>
          </w:p>
        </w:tc>
        <w:tc>
          <w:tcPr>
            <w:tcW w:w="1077" w:type="dxa"/>
            <w:tcBorders>
              <w:top w:val="nil"/>
              <w:left w:val="nil"/>
              <w:bottom w:val="single" w:sz="4" w:space="0" w:color="auto"/>
              <w:right w:val="single" w:sz="4" w:space="0" w:color="auto"/>
            </w:tcBorders>
            <w:shd w:val="clear" w:color="auto" w:fill="auto"/>
            <w:noWrap/>
            <w:vAlign w:val="center"/>
            <w:hideMark/>
          </w:tcPr>
          <w:p w14:paraId="648D3747"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47.735,60</w:t>
            </w:r>
          </w:p>
        </w:tc>
        <w:tc>
          <w:tcPr>
            <w:tcW w:w="1251" w:type="dxa"/>
            <w:tcBorders>
              <w:top w:val="nil"/>
              <w:left w:val="nil"/>
              <w:bottom w:val="single" w:sz="4" w:space="0" w:color="auto"/>
              <w:right w:val="single" w:sz="4" w:space="0" w:color="auto"/>
            </w:tcBorders>
            <w:shd w:val="clear" w:color="auto" w:fill="auto"/>
            <w:noWrap/>
            <w:vAlign w:val="center"/>
            <w:hideMark/>
          </w:tcPr>
          <w:p w14:paraId="188E8C91"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569.287,51</w:t>
            </w:r>
          </w:p>
        </w:tc>
        <w:tc>
          <w:tcPr>
            <w:tcW w:w="1198" w:type="dxa"/>
            <w:tcBorders>
              <w:top w:val="nil"/>
              <w:left w:val="nil"/>
              <w:bottom w:val="single" w:sz="4" w:space="0" w:color="auto"/>
              <w:right w:val="single" w:sz="4" w:space="0" w:color="auto"/>
            </w:tcBorders>
            <w:shd w:val="clear" w:color="auto" w:fill="auto"/>
            <w:noWrap/>
            <w:vAlign w:val="center"/>
            <w:hideMark/>
          </w:tcPr>
          <w:p w14:paraId="2FB34E2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12,91%</w:t>
            </w:r>
          </w:p>
        </w:tc>
        <w:tc>
          <w:tcPr>
            <w:tcW w:w="36" w:type="dxa"/>
            <w:vAlign w:val="center"/>
            <w:hideMark/>
          </w:tcPr>
          <w:p w14:paraId="0CC8E4FD"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3D8A459D"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778DC11B" w14:textId="11DB299A"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Cultuur, Jeugd, Sport en Media</w:t>
            </w:r>
          </w:p>
        </w:tc>
        <w:tc>
          <w:tcPr>
            <w:tcW w:w="1119" w:type="dxa"/>
            <w:tcBorders>
              <w:top w:val="nil"/>
              <w:left w:val="nil"/>
              <w:bottom w:val="single" w:sz="4" w:space="0" w:color="auto"/>
              <w:right w:val="single" w:sz="4" w:space="0" w:color="auto"/>
            </w:tcBorders>
            <w:shd w:val="clear" w:color="auto" w:fill="auto"/>
            <w:noWrap/>
            <w:vAlign w:val="center"/>
            <w:hideMark/>
          </w:tcPr>
          <w:p w14:paraId="14362019"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302,00</w:t>
            </w:r>
          </w:p>
        </w:tc>
        <w:tc>
          <w:tcPr>
            <w:tcW w:w="1114" w:type="dxa"/>
            <w:tcBorders>
              <w:top w:val="nil"/>
              <w:left w:val="nil"/>
              <w:bottom w:val="single" w:sz="4" w:space="0" w:color="auto"/>
              <w:right w:val="single" w:sz="4" w:space="0" w:color="auto"/>
            </w:tcBorders>
            <w:shd w:val="clear" w:color="auto" w:fill="auto"/>
            <w:noWrap/>
            <w:vAlign w:val="center"/>
            <w:hideMark/>
          </w:tcPr>
          <w:p w14:paraId="7B7A1926"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9.394,80</w:t>
            </w:r>
          </w:p>
        </w:tc>
        <w:tc>
          <w:tcPr>
            <w:tcW w:w="1293" w:type="dxa"/>
            <w:tcBorders>
              <w:top w:val="nil"/>
              <w:left w:val="nil"/>
              <w:bottom w:val="single" w:sz="4" w:space="0" w:color="auto"/>
              <w:right w:val="single" w:sz="4" w:space="0" w:color="auto"/>
            </w:tcBorders>
            <w:shd w:val="clear" w:color="auto" w:fill="auto"/>
            <w:noWrap/>
            <w:vAlign w:val="center"/>
            <w:hideMark/>
          </w:tcPr>
          <w:p w14:paraId="1623BE3E"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149.131,60</w:t>
            </w:r>
          </w:p>
        </w:tc>
        <w:tc>
          <w:tcPr>
            <w:tcW w:w="1394" w:type="dxa"/>
            <w:tcBorders>
              <w:top w:val="nil"/>
              <w:left w:val="nil"/>
              <w:bottom w:val="single" w:sz="4" w:space="0" w:color="auto"/>
              <w:right w:val="single" w:sz="4" w:space="0" w:color="auto"/>
            </w:tcBorders>
            <w:shd w:val="clear" w:color="auto" w:fill="auto"/>
            <w:noWrap/>
            <w:vAlign w:val="center"/>
            <w:hideMark/>
          </w:tcPr>
          <w:p w14:paraId="744618AD"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3,21%</w:t>
            </w:r>
          </w:p>
        </w:tc>
        <w:tc>
          <w:tcPr>
            <w:tcW w:w="1094" w:type="dxa"/>
            <w:tcBorders>
              <w:top w:val="nil"/>
              <w:left w:val="nil"/>
              <w:bottom w:val="single" w:sz="4" w:space="0" w:color="auto"/>
              <w:right w:val="single" w:sz="4" w:space="0" w:color="auto"/>
            </w:tcBorders>
            <w:shd w:val="clear" w:color="auto" w:fill="auto"/>
            <w:noWrap/>
            <w:vAlign w:val="center"/>
            <w:hideMark/>
          </w:tcPr>
          <w:p w14:paraId="402DA1FA"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1.900,42</w:t>
            </w:r>
          </w:p>
        </w:tc>
        <w:tc>
          <w:tcPr>
            <w:tcW w:w="1077" w:type="dxa"/>
            <w:tcBorders>
              <w:top w:val="nil"/>
              <w:left w:val="nil"/>
              <w:bottom w:val="single" w:sz="4" w:space="0" w:color="auto"/>
              <w:right w:val="single" w:sz="4" w:space="0" w:color="auto"/>
            </w:tcBorders>
            <w:shd w:val="clear" w:color="auto" w:fill="auto"/>
            <w:noWrap/>
            <w:vAlign w:val="center"/>
            <w:hideMark/>
          </w:tcPr>
          <w:p w14:paraId="31ABDAD9"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15.537,01</w:t>
            </w:r>
          </w:p>
        </w:tc>
        <w:tc>
          <w:tcPr>
            <w:tcW w:w="1251" w:type="dxa"/>
            <w:tcBorders>
              <w:top w:val="nil"/>
              <w:left w:val="nil"/>
              <w:bottom w:val="single" w:sz="4" w:space="0" w:color="auto"/>
              <w:right w:val="single" w:sz="4" w:space="0" w:color="auto"/>
            </w:tcBorders>
            <w:shd w:val="clear" w:color="auto" w:fill="auto"/>
            <w:noWrap/>
            <w:vAlign w:val="center"/>
            <w:hideMark/>
          </w:tcPr>
          <w:p w14:paraId="28F7874F"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149.588,73</w:t>
            </w:r>
          </w:p>
        </w:tc>
        <w:tc>
          <w:tcPr>
            <w:tcW w:w="1198" w:type="dxa"/>
            <w:tcBorders>
              <w:top w:val="nil"/>
              <w:left w:val="nil"/>
              <w:bottom w:val="single" w:sz="4" w:space="0" w:color="auto"/>
              <w:right w:val="single" w:sz="4" w:space="0" w:color="auto"/>
            </w:tcBorders>
            <w:shd w:val="clear" w:color="auto" w:fill="auto"/>
            <w:noWrap/>
            <w:vAlign w:val="center"/>
            <w:hideMark/>
          </w:tcPr>
          <w:p w14:paraId="3B0E985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12,23%</w:t>
            </w:r>
          </w:p>
        </w:tc>
        <w:tc>
          <w:tcPr>
            <w:tcW w:w="36" w:type="dxa"/>
            <w:vAlign w:val="center"/>
            <w:hideMark/>
          </w:tcPr>
          <w:p w14:paraId="39F66B97"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2DB3A4D9"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7C9D75FE" w14:textId="2327DA19"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Werk en Sociale Economie</w:t>
            </w:r>
          </w:p>
        </w:tc>
        <w:tc>
          <w:tcPr>
            <w:tcW w:w="1119" w:type="dxa"/>
            <w:tcBorders>
              <w:top w:val="nil"/>
              <w:left w:val="nil"/>
              <w:bottom w:val="single" w:sz="4" w:space="0" w:color="auto"/>
              <w:right w:val="single" w:sz="4" w:space="0" w:color="auto"/>
            </w:tcBorders>
            <w:shd w:val="clear" w:color="auto" w:fill="auto"/>
            <w:noWrap/>
            <w:vAlign w:val="center"/>
            <w:hideMark/>
          </w:tcPr>
          <w:p w14:paraId="3FC488EF"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152,00</w:t>
            </w:r>
          </w:p>
        </w:tc>
        <w:tc>
          <w:tcPr>
            <w:tcW w:w="1114" w:type="dxa"/>
            <w:tcBorders>
              <w:top w:val="nil"/>
              <w:left w:val="nil"/>
              <w:bottom w:val="single" w:sz="4" w:space="0" w:color="auto"/>
              <w:right w:val="single" w:sz="4" w:space="0" w:color="auto"/>
            </w:tcBorders>
            <w:shd w:val="clear" w:color="auto" w:fill="auto"/>
            <w:noWrap/>
            <w:vAlign w:val="center"/>
            <w:hideMark/>
          </w:tcPr>
          <w:p w14:paraId="71C615CF"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1.796,00</w:t>
            </w:r>
          </w:p>
        </w:tc>
        <w:tc>
          <w:tcPr>
            <w:tcW w:w="1293" w:type="dxa"/>
            <w:tcBorders>
              <w:top w:val="nil"/>
              <w:left w:val="nil"/>
              <w:bottom w:val="single" w:sz="4" w:space="0" w:color="auto"/>
              <w:right w:val="single" w:sz="4" w:space="0" w:color="auto"/>
            </w:tcBorders>
            <w:shd w:val="clear" w:color="auto" w:fill="auto"/>
            <w:noWrap/>
            <w:vAlign w:val="center"/>
            <w:hideMark/>
          </w:tcPr>
          <w:p w14:paraId="573F8FFF"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36.963,53</w:t>
            </w:r>
          </w:p>
        </w:tc>
        <w:tc>
          <w:tcPr>
            <w:tcW w:w="1394" w:type="dxa"/>
            <w:tcBorders>
              <w:top w:val="nil"/>
              <w:left w:val="nil"/>
              <w:bottom w:val="single" w:sz="4" w:space="0" w:color="auto"/>
              <w:right w:val="single" w:sz="4" w:space="0" w:color="auto"/>
            </w:tcBorders>
            <w:shd w:val="clear" w:color="auto" w:fill="auto"/>
            <w:noWrap/>
            <w:vAlign w:val="center"/>
            <w:hideMark/>
          </w:tcPr>
          <w:p w14:paraId="3C8415C2"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8,46%</w:t>
            </w:r>
          </w:p>
        </w:tc>
        <w:tc>
          <w:tcPr>
            <w:tcW w:w="1094" w:type="dxa"/>
            <w:tcBorders>
              <w:top w:val="nil"/>
              <w:left w:val="nil"/>
              <w:bottom w:val="single" w:sz="4" w:space="0" w:color="auto"/>
              <w:right w:val="single" w:sz="4" w:space="0" w:color="auto"/>
            </w:tcBorders>
            <w:shd w:val="clear" w:color="auto" w:fill="auto"/>
            <w:noWrap/>
            <w:vAlign w:val="center"/>
            <w:hideMark/>
          </w:tcPr>
          <w:p w14:paraId="3243917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1.253,50</w:t>
            </w:r>
          </w:p>
        </w:tc>
        <w:tc>
          <w:tcPr>
            <w:tcW w:w="1077" w:type="dxa"/>
            <w:tcBorders>
              <w:top w:val="nil"/>
              <w:left w:val="nil"/>
              <w:bottom w:val="single" w:sz="4" w:space="0" w:color="auto"/>
              <w:right w:val="single" w:sz="4" w:space="0" w:color="auto"/>
            </w:tcBorders>
            <w:shd w:val="clear" w:color="auto" w:fill="auto"/>
            <w:noWrap/>
            <w:vAlign w:val="center"/>
            <w:hideMark/>
          </w:tcPr>
          <w:p w14:paraId="652F46FC"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6.743,50</w:t>
            </w:r>
          </w:p>
        </w:tc>
        <w:tc>
          <w:tcPr>
            <w:tcW w:w="1251" w:type="dxa"/>
            <w:tcBorders>
              <w:top w:val="nil"/>
              <w:left w:val="nil"/>
              <w:bottom w:val="single" w:sz="4" w:space="0" w:color="auto"/>
              <w:right w:val="single" w:sz="4" w:space="0" w:color="auto"/>
            </w:tcBorders>
            <w:shd w:val="clear" w:color="auto" w:fill="auto"/>
            <w:noWrap/>
            <w:vAlign w:val="center"/>
            <w:hideMark/>
          </w:tcPr>
          <w:p w14:paraId="61C30E7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66.850,75</w:t>
            </w:r>
          </w:p>
        </w:tc>
        <w:tc>
          <w:tcPr>
            <w:tcW w:w="1198" w:type="dxa"/>
            <w:tcBorders>
              <w:top w:val="nil"/>
              <w:left w:val="nil"/>
              <w:bottom w:val="single" w:sz="4" w:space="0" w:color="auto"/>
              <w:right w:val="single" w:sz="4" w:space="0" w:color="auto"/>
            </w:tcBorders>
            <w:shd w:val="clear" w:color="auto" w:fill="auto"/>
            <w:noWrap/>
            <w:vAlign w:val="center"/>
            <w:hideMark/>
          </w:tcPr>
          <w:p w14:paraId="130E8156"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18,59%</w:t>
            </w:r>
          </w:p>
        </w:tc>
        <w:tc>
          <w:tcPr>
            <w:tcW w:w="36" w:type="dxa"/>
            <w:vAlign w:val="center"/>
            <w:hideMark/>
          </w:tcPr>
          <w:p w14:paraId="2E848A1F"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38AECBF9"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5FC7EDA6" w14:textId="731FA32F"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Landbouw en Visserij</w:t>
            </w:r>
          </w:p>
        </w:tc>
        <w:tc>
          <w:tcPr>
            <w:tcW w:w="1119" w:type="dxa"/>
            <w:tcBorders>
              <w:top w:val="nil"/>
              <w:left w:val="nil"/>
              <w:bottom w:val="single" w:sz="4" w:space="0" w:color="auto"/>
              <w:right w:val="single" w:sz="4" w:space="0" w:color="auto"/>
            </w:tcBorders>
            <w:shd w:val="clear" w:color="auto" w:fill="auto"/>
            <w:noWrap/>
            <w:vAlign w:val="center"/>
            <w:hideMark/>
          </w:tcPr>
          <w:p w14:paraId="13F4EAD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348,00</w:t>
            </w:r>
          </w:p>
        </w:tc>
        <w:tc>
          <w:tcPr>
            <w:tcW w:w="1114" w:type="dxa"/>
            <w:tcBorders>
              <w:top w:val="nil"/>
              <w:left w:val="nil"/>
              <w:bottom w:val="single" w:sz="4" w:space="0" w:color="auto"/>
              <w:right w:val="single" w:sz="4" w:space="0" w:color="auto"/>
            </w:tcBorders>
            <w:shd w:val="clear" w:color="auto" w:fill="auto"/>
            <w:noWrap/>
            <w:vAlign w:val="center"/>
            <w:hideMark/>
          </w:tcPr>
          <w:p w14:paraId="35E15B3F"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3.310,50</w:t>
            </w:r>
          </w:p>
        </w:tc>
        <w:tc>
          <w:tcPr>
            <w:tcW w:w="1293" w:type="dxa"/>
            <w:tcBorders>
              <w:top w:val="nil"/>
              <w:left w:val="nil"/>
              <w:bottom w:val="single" w:sz="4" w:space="0" w:color="auto"/>
              <w:right w:val="single" w:sz="4" w:space="0" w:color="auto"/>
            </w:tcBorders>
            <w:shd w:val="clear" w:color="auto" w:fill="auto"/>
            <w:noWrap/>
            <w:vAlign w:val="center"/>
            <w:hideMark/>
          </w:tcPr>
          <w:p w14:paraId="21765B6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100.462,55</w:t>
            </w:r>
          </w:p>
        </w:tc>
        <w:tc>
          <w:tcPr>
            <w:tcW w:w="1394" w:type="dxa"/>
            <w:tcBorders>
              <w:top w:val="nil"/>
              <w:left w:val="nil"/>
              <w:bottom w:val="single" w:sz="4" w:space="0" w:color="auto"/>
              <w:right w:val="single" w:sz="4" w:space="0" w:color="auto"/>
            </w:tcBorders>
            <w:shd w:val="clear" w:color="auto" w:fill="auto"/>
            <w:noWrap/>
            <w:vAlign w:val="center"/>
            <w:hideMark/>
          </w:tcPr>
          <w:p w14:paraId="549C436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10,51%</w:t>
            </w:r>
          </w:p>
        </w:tc>
        <w:tc>
          <w:tcPr>
            <w:tcW w:w="1094" w:type="dxa"/>
            <w:tcBorders>
              <w:top w:val="nil"/>
              <w:left w:val="nil"/>
              <w:bottom w:val="single" w:sz="4" w:space="0" w:color="auto"/>
              <w:right w:val="single" w:sz="4" w:space="0" w:color="auto"/>
            </w:tcBorders>
            <w:shd w:val="clear" w:color="auto" w:fill="auto"/>
            <w:noWrap/>
            <w:vAlign w:val="center"/>
            <w:hideMark/>
          </w:tcPr>
          <w:p w14:paraId="09D26B8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457,00</w:t>
            </w:r>
          </w:p>
        </w:tc>
        <w:tc>
          <w:tcPr>
            <w:tcW w:w="1077" w:type="dxa"/>
            <w:tcBorders>
              <w:top w:val="nil"/>
              <w:left w:val="nil"/>
              <w:bottom w:val="single" w:sz="4" w:space="0" w:color="auto"/>
              <w:right w:val="single" w:sz="4" w:space="0" w:color="auto"/>
            </w:tcBorders>
            <w:shd w:val="clear" w:color="auto" w:fill="auto"/>
            <w:noWrap/>
            <w:vAlign w:val="center"/>
            <w:hideMark/>
          </w:tcPr>
          <w:p w14:paraId="687330B1"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7.150,19</w:t>
            </w:r>
          </w:p>
        </w:tc>
        <w:tc>
          <w:tcPr>
            <w:tcW w:w="1251" w:type="dxa"/>
            <w:tcBorders>
              <w:top w:val="nil"/>
              <w:left w:val="nil"/>
              <w:bottom w:val="single" w:sz="4" w:space="0" w:color="auto"/>
              <w:right w:val="single" w:sz="4" w:space="0" w:color="auto"/>
            </w:tcBorders>
            <w:shd w:val="clear" w:color="auto" w:fill="auto"/>
            <w:noWrap/>
            <w:vAlign w:val="center"/>
            <w:hideMark/>
          </w:tcPr>
          <w:p w14:paraId="261FE7AB"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98.400,56</w:t>
            </w:r>
          </w:p>
        </w:tc>
        <w:tc>
          <w:tcPr>
            <w:tcW w:w="1198" w:type="dxa"/>
            <w:tcBorders>
              <w:top w:val="nil"/>
              <w:left w:val="nil"/>
              <w:bottom w:val="single" w:sz="4" w:space="0" w:color="auto"/>
              <w:right w:val="single" w:sz="4" w:space="0" w:color="auto"/>
            </w:tcBorders>
            <w:shd w:val="clear" w:color="auto" w:fill="auto"/>
            <w:noWrap/>
            <w:vAlign w:val="center"/>
            <w:hideMark/>
          </w:tcPr>
          <w:p w14:paraId="31075E2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6,39%</w:t>
            </w:r>
          </w:p>
        </w:tc>
        <w:tc>
          <w:tcPr>
            <w:tcW w:w="36" w:type="dxa"/>
            <w:vAlign w:val="center"/>
            <w:hideMark/>
          </w:tcPr>
          <w:p w14:paraId="02B36ED0"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0B418BE9"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24D3E1F5" w14:textId="79AC214F"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Mobiliteit en Openbare Werken</w:t>
            </w:r>
          </w:p>
        </w:tc>
        <w:tc>
          <w:tcPr>
            <w:tcW w:w="1119" w:type="dxa"/>
            <w:tcBorders>
              <w:top w:val="nil"/>
              <w:left w:val="nil"/>
              <w:bottom w:val="single" w:sz="4" w:space="0" w:color="auto"/>
              <w:right w:val="single" w:sz="4" w:space="0" w:color="auto"/>
            </w:tcBorders>
            <w:shd w:val="clear" w:color="auto" w:fill="auto"/>
            <w:noWrap/>
            <w:vAlign w:val="center"/>
            <w:hideMark/>
          </w:tcPr>
          <w:p w14:paraId="6F903DF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4.007,72</w:t>
            </w:r>
          </w:p>
        </w:tc>
        <w:tc>
          <w:tcPr>
            <w:tcW w:w="1114" w:type="dxa"/>
            <w:tcBorders>
              <w:top w:val="nil"/>
              <w:left w:val="nil"/>
              <w:bottom w:val="single" w:sz="4" w:space="0" w:color="auto"/>
              <w:right w:val="single" w:sz="4" w:space="0" w:color="auto"/>
            </w:tcBorders>
            <w:shd w:val="clear" w:color="auto" w:fill="auto"/>
            <w:noWrap/>
            <w:vAlign w:val="center"/>
            <w:hideMark/>
          </w:tcPr>
          <w:p w14:paraId="0BA5C49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59.704,53</w:t>
            </w:r>
          </w:p>
        </w:tc>
        <w:tc>
          <w:tcPr>
            <w:tcW w:w="1293" w:type="dxa"/>
            <w:tcBorders>
              <w:top w:val="nil"/>
              <w:left w:val="nil"/>
              <w:bottom w:val="single" w:sz="4" w:space="0" w:color="auto"/>
              <w:right w:val="single" w:sz="4" w:space="0" w:color="auto"/>
            </w:tcBorders>
            <w:shd w:val="clear" w:color="auto" w:fill="auto"/>
            <w:noWrap/>
            <w:vAlign w:val="center"/>
            <w:hideMark/>
          </w:tcPr>
          <w:p w14:paraId="717272CB"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868.021,52</w:t>
            </w:r>
          </w:p>
        </w:tc>
        <w:tc>
          <w:tcPr>
            <w:tcW w:w="1394" w:type="dxa"/>
            <w:tcBorders>
              <w:top w:val="nil"/>
              <w:left w:val="nil"/>
              <w:bottom w:val="single" w:sz="4" w:space="0" w:color="auto"/>
              <w:right w:val="single" w:sz="4" w:space="0" w:color="auto"/>
            </w:tcBorders>
            <w:shd w:val="clear" w:color="auto" w:fill="auto"/>
            <w:noWrap/>
            <w:vAlign w:val="center"/>
            <w:hideMark/>
          </w:tcPr>
          <w:p w14:paraId="4EAAD59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6,71%</w:t>
            </w:r>
          </w:p>
        </w:tc>
        <w:tc>
          <w:tcPr>
            <w:tcW w:w="1094" w:type="dxa"/>
            <w:tcBorders>
              <w:top w:val="nil"/>
              <w:left w:val="nil"/>
              <w:bottom w:val="single" w:sz="4" w:space="0" w:color="auto"/>
              <w:right w:val="single" w:sz="4" w:space="0" w:color="auto"/>
            </w:tcBorders>
            <w:shd w:val="clear" w:color="auto" w:fill="auto"/>
            <w:noWrap/>
            <w:vAlign w:val="center"/>
            <w:hideMark/>
          </w:tcPr>
          <w:p w14:paraId="0AD03DC0"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2.965,39</w:t>
            </w:r>
          </w:p>
        </w:tc>
        <w:tc>
          <w:tcPr>
            <w:tcW w:w="1077" w:type="dxa"/>
            <w:tcBorders>
              <w:top w:val="nil"/>
              <w:left w:val="nil"/>
              <w:bottom w:val="single" w:sz="4" w:space="0" w:color="auto"/>
              <w:right w:val="single" w:sz="4" w:space="0" w:color="auto"/>
            </w:tcBorders>
            <w:shd w:val="clear" w:color="auto" w:fill="auto"/>
            <w:noWrap/>
            <w:vAlign w:val="center"/>
            <w:hideMark/>
          </w:tcPr>
          <w:p w14:paraId="71DD9DF4"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24.781,08</w:t>
            </w:r>
          </w:p>
        </w:tc>
        <w:tc>
          <w:tcPr>
            <w:tcW w:w="1251" w:type="dxa"/>
            <w:tcBorders>
              <w:top w:val="nil"/>
              <w:left w:val="nil"/>
              <w:bottom w:val="single" w:sz="4" w:space="0" w:color="auto"/>
              <w:right w:val="single" w:sz="4" w:space="0" w:color="auto"/>
            </w:tcBorders>
            <w:shd w:val="clear" w:color="auto" w:fill="auto"/>
            <w:noWrap/>
            <w:vAlign w:val="center"/>
            <w:hideMark/>
          </w:tcPr>
          <w:p w14:paraId="5E01841D"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274.741,79</w:t>
            </w:r>
          </w:p>
        </w:tc>
        <w:tc>
          <w:tcPr>
            <w:tcW w:w="1198" w:type="dxa"/>
            <w:tcBorders>
              <w:top w:val="nil"/>
              <w:left w:val="nil"/>
              <w:bottom w:val="single" w:sz="4" w:space="0" w:color="auto"/>
              <w:right w:val="single" w:sz="4" w:space="0" w:color="auto"/>
            </w:tcBorders>
            <w:shd w:val="clear" w:color="auto" w:fill="auto"/>
            <w:noWrap/>
            <w:vAlign w:val="center"/>
            <w:hideMark/>
          </w:tcPr>
          <w:p w14:paraId="7B362AB7"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11,97%</w:t>
            </w:r>
          </w:p>
        </w:tc>
        <w:tc>
          <w:tcPr>
            <w:tcW w:w="36" w:type="dxa"/>
            <w:vAlign w:val="center"/>
            <w:hideMark/>
          </w:tcPr>
          <w:p w14:paraId="6811BB0B"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4A8B95FE"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6CA1273C" w14:textId="0E9F4C53"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Omgeving</w:t>
            </w:r>
          </w:p>
        </w:tc>
        <w:tc>
          <w:tcPr>
            <w:tcW w:w="1119" w:type="dxa"/>
            <w:tcBorders>
              <w:top w:val="nil"/>
              <w:left w:val="nil"/>
              <w:bottom w:val="single" w:sz="4" w:space="0" w:color="auto"/>
              <w:right w:val="single" w:sz="4" w:space="0" w:color="auto"/>
            </w:tcBorders>
            <w:shd w:val="clear" w:color="auto" w:fill="auto"/>
            <w:noWrap/>
            <w:vAlign w:val="center"/>
            <w:hideMark/>
          </w:tcPr>
          <w:p w14:paraId="7D6B0E79"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2.897,75</w:t>
            </w:r>
          </w:p>
        </w:tc>
        <w:tc>
          <w:tcPr>
            <w:tcW w:w="1114" w:type="dxa"/>
            <w:tcBorders>
              <w:top w:val="nil"/>
              <w:left w:val="nil"/>
              <w:bottom w:val="single" w:sz="4" w:space="0" w:color="auto"/>
              <w:right w:val="single" w:sz="4" w:space="0" w:color="auto"/>
            </w:tcBorders>
            <w:shd w:val="clear" w:color="auto" w:fill="auto"/>
            <w:noWrap/>
            <w:vAlign w:val="center"/>
            <w:hideMark/>
          </w:tcPr>
          <w:p w14:paraId="0F172488"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27.447,08</w:t>
            </w:r>
          </w:p>
        </w:tc>
        <w:tc>
          <w:tcPr>
            <w:tcW w:w="1293" w:type="dxa"/>
            <w:tcBorders>
              <w:top w:val="nil"/>
              <w:left w:val="nil"/>
              <w:bottom w:val="single" w:sz="4" w:space="0" w:color="auto"/>
              <w:right w:val="single" w:sz="4" w:space="0" w:color="auto"/>
            </w:tcBorders>
            <w:shd w:val="clear" w:color="auto" w:fill="auto"/>
            <w:noWrap/>
            <w:vAlign w:val="center"/>
            <w:hideMark/>
          </w:tcPr>
          <w:p w14:paraId="05E13087"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544.710,91</w:t>
            </w:r>
          </w:p>
        </w:tc>
        <w:tc>
          <w:tcPr>
            <w:tcW w:w="1394" w:type="dxa"/>
            <w:tcBorders>
              <w:top w:val="nil"/>
              <w:left w:val="nil"/>
              <w:bottom w:val="single" w:sz="4" w:space="0" w:color="auto"/>
              <w:right w:val="single" w:sz="4" w:space="0" w:color="auto"/>
            </w:tcBorders>
            <w:shd w:val="clear" w:color="auto" w:fill="auto"/>
            <w:noWrap/>
            <w:vAlign w:val="center"/>
            <w:hideMark/>
          </w:tcPr>
          <w:p w14:paraId="2B0F6A95"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10,56%</w:t>
            </w:r>
          </w:p>
        </w:tc>
        <w:tc>
          <w:tcPr>
            <w:tcW w:w="1094" w:type="dxa"/>
            <w:tcBorders>
              <w:top w:val="nil"/>
              <w:left w:val="nil"/>
              <w:bottom w:val="single" w:sz="4" w:space="0" w:color="auto"/>
              <w:right w:val="single" w:sz="4" w:space="0" w:color="auto"/>
            </w:tcBorders>
            <w:shd w:val="clear" w:color="auto" w:fill="auto"/>
            <w:noWrap/>
            <w:vAlign w:val="center"/>
            <w:hideMark/>
          </w:tcPr>
          <w:p w14:paraId="0978B12C"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5.648,67</w:t>
            </w:r>
          </w:p>
        </w:tc>
        <w:tc>
          <w:tcPr>
            <w:tcW w:w="1077" w:type="dxa"/>
            <w:tcBorders>
              <w:top w:val="nil"/>
              <w:left w:val="nil"/>
              <w:bottom w:val="single" w:sz="4" w:space="0" w:color="auto"/>
              <w:right w:val="single" w:sz="4" w:space="0" w:color="auto"/>
            </w:tcBorders>
            <w:shd w:val="clear" w:color="auto" w:fill="auto"/>
            <w:noWrap/>
            <w:vAlign w:val="center"/>
            <w:hideMark/>
          </w:tcPr>
          <w:p w14:paraId="76318CB2"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38.555,65</w:t>
            </w:r>
          </w:p>
        </w:tc>
        <w:tc>
          <w:tcPr>
            <w:tcW w:w="1251" w:type="dxa"/>
            <w:tcBorders>
              <w:top w:val="nil"/>
              <w:left w:val="nil"/>
              <w:bottom w:val="single" w:sz="4" w:space="0" w:color="auto"/>
              <w:right w:val="single" w:sz="4" w:space="0" w:color="auto"/>
            </w:tcBorders>
            <w:shd w:val="clear" w:color="auto" w:fill="auto"/>
            <w:noWrap/>
            <w:vAlign w:val="center"/>
            <w:hideMark/>
          </w:tcPr>
          <w:p w14:paraId="65EF6CD7"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459.712,95</w:t>
            </w:r>
          </w:p>
        </w:tc>
        <w:tc>
          <w:tcPr>
            <w:tcW w:w="1198" w:type="dxa"/>
            <w:tcBorders>
              <w:top w:val="nil"/>
              <w:left w:val="nil"/>
              <w:bottom w:val="single" w:sz="4" w:space="0" w:color="auto"/>
              <w:right w:val="single" w:sz="4" w:space="0" w:color="auto"/>
            </w:tcBorders>
            <w:shd w:val="clear" w:color="auto" w:fill="auto"/>
            <w:noWrap/>
            <w:vAlign w:val="center"/>
            <w:hideMark/>
          </w:tcPr>
          <w:p w14:paraId="2D2F6EC4"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14,65%</w:t>
            </w:r>
          </w:p>
        </w:tc>
        <w:tc>
          <w:tcPr>
            <w:tcW w:w="36" w:type="dxa"/>
            <w:vAlign w:val="center"/>
            <w:hideMark/>
          </w:tcPr>
          <w:p w14:paraId="0FB915F2"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2B136FDA" w14:textId="77777777" w:rsidTr="003F349A">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68060A23" w14:textId="77777777" w:rsidR="003F349A" w:rsidRPr="003F349A" w:rsidRDefault="003F349A" w:rsidP="003F349A">
            <w:pPr>
              <w:spacing w:after="0" w:line="240" w:lineRule="auto"/>
              <w:rPr>
                <w:rFonts w:ascii="Arial" w:eastAsia="Times New Roman" w:hAnsi="Arial" w:cs="Arial"/>
                <w:color w:val="000000"/>
                <w:sz w:val="20"/>
                <w:szCs w:val="20"/>
                <w:lang w:eastAsia="nl-BE"/>
              </w:rPr>
            </w:pPr>
            <w:r w:rsidRPr="003F349A">
              <w:rPr>
                <w:rFonts w:ascii="Arial" w:eastAsia="Times New Roman" w:hAnsi="Arial" w:cs="Arial"/>
                <w:color w:val="000000"/>
                <w:sz w:val="20"/>
                <w:szCs w:val="20"/>
                <w:lang w:eastAsia="nl-BE"/>
              </w:rPr>
              <w:t>Geen</w:t>
            </w:r>
          </w:p>
        </w:tc>
        <w:tc>
          <w:tcPr>
            <w:tcW w:w="1119" w:type="dxa"/>
            <w:tcBorders>
              <w:top w:val="nil"/>
              <w:left w:val="nil"/>
              <w:bottom w:val="single" w:sz="4" w:space="0" w:color="auto"/>
              <w:right w:val="single" w:sz="4" w:space="0" w:color="auto"/>
            </w:tcBorders>
            <w:shd w:val="clear" w:color="auto" w:fill="auto"/>
            <w:noWrap/>
            <w:vAlign w:val="center"/>
            <w:hideMark/>
          </w:tcPr>
          <w:p w14:paraId="4ABFCAE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0,00</w:t>
            </w:r>
          </w:p>
        </w:tc>
        <w:tc>
          <w:tcPr>
            <w:tcW w:w="1114" w:type="dxa"/>
            <w:tcBorders>
              <w:top w:val="nil"/>
              <w:left w:val="nil"/>
              <w:bottom w:val="single" w:sz="4" w:space="0" w:color="auto"/>
              <w:right w:val="single" w:sz="4" w:space="0" w:color="auto"/>
            </w:tcBorders>
            <w:shd w:val="clear" w:color="auto" w:fill="auto"/>
            <w:noWrap/>
            <w:vAlign w:val="center"/>
            <w:hideMark/>
          </w:tcPr>
          <w:p w14:paraId="3AD74F11"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593,50</w:t>
            </w:r>
          </w:p>
        </w:tc>
        <w:tc>
          <w:tcPr>
            <w:tcW w:w="1293" w:type="dxa"/>
            <w:tcBorders>
              <w:top w:val="nil"/>
              <w:left w:val="nil"/>
              <w:bottom w:val="single" w:sz="4" w:space="0" w:color="auto"/>
              <w:right w:val="single" w:sz="4" w:space="0" w:color="auto"/>
            </w:tcBorders>
            <w:shd w:val="clear" w:color="auto" w:fill="auto"/>
            <w:noWrap/>
            <w:vAlign w:val="center"/>
            <w:hideMark/>
          </w:tcPr>
          <w:p w14:paraId="71010887"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18.299,50</w:t>
            </w:r>
          </w:p>
        </w:tc>
        <w:tc>
          <w:tcPr>
            <w:tcW w:w="1394" w:type="dxa"/>
            <w:tcBorders>
              <w:top w:val="nil"/>
              <w:left w:val="nil"/>
              <w:bottom w:val="single" w:sz="4" w:space="0" w:color="auto"/>
              <w:right w:val="single" w:sz="4" w:space="0" w:color="auto"/>
            </w:tcBorders>
            <w:shd w:val="clear" w:color="auto" w:fill="auto"/>
            <w:noWrap/>
            <w:vAlign w:val="center"/>
            <w:hideMark/>
          </w:tcPr>
          <w:p w14:paraId="4FB11C9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0,00%</w:t>
            </w:r>
          </w:p>
        </w:tc>
        <w:tc>
          <w:tcPr>
            <w:tcW w:w="1094" w:type="dxa"/>
            <w:tcBorders>
              <w:top w:val="nil"/>
              <w:left w:val="nil"/>
              <w:bottom w:val="single" w:sz="4" w:space="0" w:color="auto"/>
              <w:right w:val="single" w:sz="4" w:space="0" w:color="auto"/>
            </w:tcBorders>
            <w:shd w:val="clear" w:color="auto" w:fill="auto"/>
            <w:noWrap/>
            <w:vAlign w:val="center"/>
            <w:hideMark/>
          </w:tcPr>
          <w:p w14:paraId="58A22538"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87,00</w:t>
            </w:r>
          </w:p>
        </w:tc>
        <w:tc>
          <w:tcPr>
            <w:tcW w:w="1077" w:type="dxa"/>
            <w:tcBorders>
              <w:top w:val="nil"/>
              <w:left w:val="nil"/>
              <w:bottom w:val="single" w:sz="4" w:space="0" w:color="auto"/>
              <w:right w:val="single" w:sz="4" w:space="0" w:color="auto"/>
            </w:tcBorders>
            <w:shd w:val="clear" w:color="auto" w:fill="auto"/>
            <w:noWrap/>
            <w:vAlign w:val="center"/>
            <w:hideMark/>
          </w:tcPr>
          <w:p w14:paraId="5F7AABCF"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2.114,90</w:t>
            </w:r>
          </w:p>
        </w:tc>
        <w:tc>
          <w:tcPr>
            <w:tcW w:w="1251" w:type="dxa"/>
            <w:tcBorders>
              <w:top w:val="nil"/>
              <w:left w:val="nil"/>
              <w:bottom w:val="single" w:sz="4" w:space="0" w:color="auto"/>
              <w:right w:val="single" w:sz="4" w:space="0" w:color="auto"/>
            </w:tcBorders>
            <w:shd w:val="clear" w:color="auto" w:fill="auto"/>
            <w:noWrap/>
            <w:vAlign w:val="center"/>
            <w:hideMark/>
          </w:tcPr>
          <w:p w14:paraId="001E1592"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24.949,86</w:t>
            </w:r>
          </w:p>
        </w:tc>
        <w:tc>
          <w:tcPr>
            <w:tcW w:w="1198" w:type="dxa"/>
            <w:tcBorders>
              <w:top w:val="nil"/>
              <w:left w:val="nil"/>
              <w:bottom w:val="single" w:sz="4" w:space="0" w:color="auto"/>
              <w:right w:val="single" w:sz="4" w:space="0" w:color="auto"/>
            </w:tcBorders>
            <w:shd w:val="clear" w:color="auto" w:fill="auto"/>
            <w:noWrap/>
            <w:vAlign w:val="center"/>
            <w:hideMark/>
          </w:tcPr>
          <w:p w14:paraId="1D2E2EB3" w14:textId="77777777" w:rsidR="003F349A" w:rsidRPr="003F349A" w:rsidRDefault="003F349A" w:rsidP="003F349A">
            <w:pPr>
              <w:spacing w:after="0" w:line="240" w:lineRule="auto"/>
              <w:jc w:val="center"/>
              <w:rPr>
                <w:rFonts w:ascii="Arial" w:eastAsia="Times New Roman" w:hAnsi="Arial" w:cs="Arial"/>
                <w:color w:val="000000"/>
                <w:sz w:val="18"/>
                <w:szCs w:val="18"/>
                <w:lang w:eastAsia="nl-BE"/>
              </w:rPr>
            </w:pPr>
            <w:r w:rsidRPr="003F349A">
              <w:rPr>
                <w:rFonts w:ascii="Arial" w:eastAsia="Times New Roman" w:hAnsi="Arial" w:cs="Arial"/>
                <w:color w:val="000000"/>
                <w:sz w:val="18"/>
                <w:szCs w:val="18"/>
                <w:lang w:eastAsia="nl-BE"/>
              </w:rPr>
              <w:t>4,11%</w:t>
            </w:r>
          </w:p>
        </w:tc>
        <w:tc>
          <w:tcPr>
            <w:tcW w:w="36" w:type="dxa"/>
            <w:vAlign w:val="center"/>
            <w:hideMark/>
          </w:tcPr>
          <w:p w14:paraId="0FC24666"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r w:rsidR="003F349A" w:rsidRPr="003F349A" w14:paraId="2C269B5A" w14:textId="77777777" w:rsidTr="003F349A">
        <w:trPr>
          <w:trHeight w:val="280"/>
        </w:trPr>
        <w:tc>
          <w:tcPr>
            <w:tcW w:w="3760" w:type="dxa"/>
            <w:tcBorders>
              <w:top w:val="nil"/>
              <w:left w:val="single" w:sz="4" w:space="0" w:color="auto"/>
              <w:bottom w:val="single" w:sz="4" w:space="0" w:color="auto"/>
              <w:right w:val="single" w:sz="4" w:space="0" w:color="auto"/>
            </w:tcBorders>
            <w:shd w:val="clear" w:color="000000" w:fill="C0C0C0"/>
            <w:noWrap/>
            <w:vAlign w:val="center"/>
            <w:hideMark/>
          </w:tcPr>
          <w:p w14:paraId="23B6CBE6" w14:textId="77777777" w:rsidR="003F349A" w:rsidRPr="003F349A" w:rsidRDefault="003F349A" w:rsidP="003F349A">
            <w:pPr>
              <w:spacing w:after="0" w:line="240" w:lineRule="auto"/>
              <w:rPr>
                <w:rFonts w:ascii="Arial" w:eastAsia="Times New Roman" w:hAnsi="Arial" w:cs="Arial"/>
                <w:b/>
                <w:bCs/>
                <w:sz w:val="18"/>
                <w:szCs w:val="18"/>
                <w:lang w:eastAsia="nl-BE"/>
              </w:rPr>
            </w:pPr>
            <w:r w:rsidRPr="003F349A">
              <w:rPr>
                <w:rFonts w:ascii="Arial" w:eastAsia="Times New Roman" w:hAnsi="Arial" w:cs="Arial"/>
                <w:b/>
                <w:bCs/>
                <w:sz w:val="18"/>
                <w:szCs w:val="18"/>
                <w:lang w:eastAsia="nl-BE"/>
              </w:rPr>
              <w:t>TOTAAL</w:t>
            </w:r>
          </w:p>
        </w:tc>
        <w:tc>
          <w:tcPr>
            <w:tcW w:w="1119" w:type="dxa"/>
            <w:tcBorders>
              <w:top w:val="nil"/>
              <w:left w:val="nil"/>
              <w:bottom w:val="single" w:sz="4" w:space="0" w:color="auto"/>
              <w:right w:val="single" w:sz="4" w:space="0" w:color="auto"/>
            </w:tcBorders>
            <w:shd w:val="clear" w:color="000000" w:fill="BFBFBF"/>
            <w:noWrap/>
            <w:vAlign w:val="center"/>
            <w:hideMark/>
          </w:tcPr>
          <w:p w14:paraId="36B8F7E5"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11.719,73</w:t>
            </w:r>
          </w:p>
        </w:tc>
        <w:tc>
          <w:tcPr>
            <w:tcW w:w="1114" w:type="dxa"/>
            <w:tcBorders>
              <w:top w:val="nil"/>
              <w:left w:val="nil"/>
              <w:bottom w:val="single" w:sz="4" w:space="0" w:color="auto"/>
              <w:right w:val="single" w:sz="4" w:space="0" w:color="auto"/>
            </w:tcBorders>
            <w:shd w:val="clear" w:color="000000" w:fill="BFBFBF"/>
            <w:noWrap/>
            <w:vAlign w:val="center"/>
            <w:hideMark/>
          </w:tcPr>
          <w:p w14:paraId="710ACEA6"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145.549,41</w:t>
            </w:r>
          </w:p>
        </w:tc>
        <w:tc>
          <w:tcPr>
            <w:tcW w:w="1293" w:type="dxa"/>
            <w:tcBorders>
              <w:top w:val="nil"/>
              <w:left w:val="nil"/>
              <w:bottom w:val="single" w:sz="4" w:space="0" w:color="auto"/>
              <w:right w:val="single" w:sz="4" w:space="0" w:color="auto"/>
            </w:tcBorders>
            <w:shd w:val="clear" w:color="000000" w:fill="BFBFBF"/>
            <w:noWrap/>
            <w:vAlign w:val="center"/>
            <w:hideMark/>
          </w:tcPr>
          <w:p w14:paraId="46A6BAED"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2.509.024,83</w:t>
            </w:r>
          </w:p>
        </w:tc>
        <w:tc>
          <w:tcPr>
            <w:tcW w:w="1394" w:type="dxa"/>
            <w:tcBorders>
              <w:top w:val="nil"/>
              <w:left w:val="nil"/>
              <w:bottom w:val="single" w:sz="4" w:space="0" w:color="auto"/>
              <w:right w:val="single" w:sz="4" w:space="0" w:color="auto"/>
            </w:tcBorders>
            <w:shd w:val="clear" w:color="000000" w:fill="BFBFBF"/>
            <w:noWrap/>
            <w:vAlign w:val="center"/>
            <w:hideMark/>
          </w:tcPr>
          <w:p w14:paraId="055E036C"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8,05%</w:t>
            </w:r>
          </w:p>
        </w:tc>
        <w:tc>
          <w:tcPr>
            <w:tcW w:w="1094" w:type="dxa"/>
            <w:tcBorders>
              <w:top w:val="nil"/>
              <w:left w:val="nil"/>
              <w:bottom w:val="single" w:sz="4" w:space="0" w:color="auto"/>
              <w:right w:val="single" w:sz="4" w:space="0" w:color="auto"/>
            </w:tcBorders>
            <w:shd w:val="clear" w:color="000000" w:fill="BFBFBF"/>
            <w:noWrap/>
            <w:vAlign w:val="center"/>
            <w:hideMark/>
          </w:tcPr>
          <w:p w14:paraId="02B5FA3D"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23.585,38</w:t>
            </w:r>
          </w:p>
        </w:tc>
        <w:tc>
          <w:tcPr>
            <w:tcW w:w="1077" w:type="dxa"/>
            <w:tcBorders>
              <w:top w:val="nil"/>
              <w:left w:val="nil"/>
              <w:bottom w:val="single" w:sz="4" w:space="0" w:color="auto"/>
              <w:right w:val="single" w:sz="4" w:space="0" w:color="auto"/>
            </w:tcBorders>
            <w:shd w:val="clear" w:color="000000" w:fill="BFBFBF"/>
            <w:noWrap/>
            <w:vAlign w:val="center"/>
            <w:hideMark/>
          </w:tcPr>
          <w:p w14:paraId="1A4DABE3"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212.385,04</w:t>
            </w:r>
          </w:p>
        </w:tc>
        <w:tc>
          <w:tcPr>
            <w:tcW w:w="1251" w:type="dxa"/>
            <w:tcBorders>
              <w:top w:val="nil"/>
              <w:left w:val="nil"/>
              <w:bottom w:val="single" w:sz="4" w:space="0" w:color="auto"/>
              <w:right w:val="single" w:sz="4" w:space="0" w:color="auto"/>
            </w:tcBorders>
            <w:shd w:val="clear" w:color="000000" w:fill="BFBFBF"/>
            <w:noWrap/>
            <w:vAlign w:val="center"/>
            <w:hideMark/>
          </w:tcPr>
          <w:p w14:paraId="30C7E003"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2.393.329,84</w:t>
            </w:r>
          </w:p>
        </w:tc>
        <w:tc>
          <w:tcPr>
            <w:tcW w:w="1198" w:type="dxa"/>
            <w:tcBorders>
              <w:top w:val="nil"/>
              <w:left w:val="nil"/>
              <w:bottom w:val="single" w:sz="4" w:space="0" w:color="auto"/>
              <w:right w:val="single" w:sz="4" w:space="0" w:color="auto"/>
            </w:tcBorders>
            <w:shd w:val="clear" w:color="000000" w:fill="BFBFBF"/>
            <w:noWrap/>
            <w:vAlign w:val="center"/>
            <w:hideMark/>
          </w:tcPr>
          <w:p w14:paraId="7EE99493" w14:textId="77777777" w:rsidR="003F349A" w:rsidRPr="003F349A" w:rsidRDefault="003F349A" w:rsidP="003F349A">
            <w:pPr>
              <w:spacing w:after="0" w:line="240" w:lineRule="auto"/>
              <w:jc w:val="center"/>
              <w:rPr>
                <w:rFonts w:ascii="Arial" w:eastAsia="Times New Roman" w:hAnsi="Arial" w:cs="Arial"/>
                <w:b/>
                <w:bCs/>
                <w:color w:val="000000"/>
                <w:sz w:val="18"/>
                <w:szCs w:val="18"/>
                <w:lang w:eastAsia="nl-BE"/>
              </w:rPr>
            </w:pPr>
            <w:r w:rsidRPr="003F349A">
              <w:rPr>
                <w:rFonts w:ascii="Arial" w:eastAsia="Times New Roman" w:hAnsi="Arial" w:cs="Arial"/>
                <w:b/>
                <w:bCs/>
                <w:color w:val="000000"/>
                <w:sz w:val="18"/>
                <w:szCs w:val="18"/>
                <w:lang w:eastAsia="nl-BE"/>
              </w:rPr>
              <w:t>11,11%</w:t>
            </w:r>
          </w:p>
        </w:tc>
        <w:tc>
          <w:tcPr>
            <w:tcW w:w="36" w:type="dxa"/>
            <w:vAlign w:val="center"/>
            <w:hideMark/>
          </w:tcPr>
          <w:p w14:paraId="61F5C229" w14:textId="77777777" w:rsidR="003F349A" w:rsidRPr="003F349A" w:rsidRDefault="003F349A" w:rsidP="003F349A">
            <w:pPr>
              <w:spacing w:after="0" w:line="240" w:lineRule="auto"/>
              <w:rPr>
                <w:rFonts w:ascii="Times New Roman" w:eastAsia="Times New Roman" w:hAnsi="Times New Roman" w:cs="Times New Roman"/>
                <w:sz w:val="20"/>
                <w:szCs w:val="20"/>
                <w:lang w:eastAsia="nl-BE"/>
              </w:rPr>
            </w:pPr>
          </w:p>
        </w:tc>
      </w:tr>
    </w:tbl>
    <w:p w14:paraId="2E5557A7" w14:textId="2552A64D" w:rsidR="00F33FF4" w:rsidRDefault="00F33FF4" w:rsidP="00FC690D">
      <w:pPr>
        <w:rPr>
          <w:rFonts w:ascii="Verdana" w:hAnsi="Verdana"/>
          <w:sz w:val="20"/>
          <w:szCs w:val="20"/>
        </w:rPr>
      </w:pPr>
    </w:p>
    <w:p w14:paraId="6C33C1D9" w14:textId="77777777" w:rsidR="00272F55" w:rsidRDefault="00272F55">
      <w:pPr>
        <w:rPr>
          <w:rFonts w:ascii="Verdana" w:hAnsi="Verdana"/>
          <w:sz w:val="20"/>
          <w:szCs w:val="20"/>
        </w:rPr>
      </w:pPr>
      <w:r>
        <w:rPr>
          <w:rFonts w:ascii="Verdana" w:hAnsi="Verdana"/>
          <w:sz w:val="20"/>
          <w:szCs w:val="20"/>
        </w:rPr>
        <w:br w:type="page"/>
      </w:r>
    </w:p>
    <w:p w14:paraId="0FC79C99" w14:textId="49A742DC" w:rsidR="00FF68E2" w:rsidRDefault="00FF68E2" w:rsidP="001F2920">
      <w:pPr>
        <w:rPr>
          <w:rFonts w:ascii="Verdana" w:hAnsi="Verdana"/>
          <w:sz w:val="20"/>
          <w:szCs w:val="20"/>
        </w:rPr>
      </w:pPr>
      <w:r>
        <w:rPr>
          <w:rFonts w:ascii="Verdana" w:hAnsi="Verdana"/>
          <w:sz w:val="20"/>
          <w:szCs w:val="20"/>
        </w:rPr>
        <w:lastRenderedPageBreak/>
        <w:t xml:space="preserve">Tabel 3: </w:t>
      </w:r>
      <w:r w:rsidR="00026310">
        <w:rPr>
          <w:rFonts w:ascii="Verdana" w:hAnsi="Verdana"/>
          <w:sz w:val="20"/>
          <w:szCs w:val="20"/>
        </w:rPr>
        <w:t>Aantal ziekteda</w:t>
      </w:r>
      <w:r w:rsidR="002C7177">
        <w:rPr>
          <w:rFonts w:ascii="Verdana" w:hAnsi="Verdana"/>
          <w:sz w:val="20"/>
          <w:szCs w:val="20"/>
        </w:rPr>
        <w:t>gen en z</w:t>
      </w:r>
      <w:r>
        <w:rPr>
          <w:rFonts w:ascii="Verdana" w:hAnsi="Verdana"/>
          <w:sz w:val="20"/>
          <w:szCs w:val="20"/>
        </w:rPr>
        <w:t xml:space="preserve">iektepercentage </w:t>
      </w:r>
      <w:r w:rsidR="002C7177">
        <w:rPr>
          <w:rFonts w:ascii="Verdana" w:hAnsi="Verdana"/>
          <w:sz w:val="20"/>
          <w:szCs w:val="20"/>
        </w:rPr>
        <w:t xml:space="preserve">te wijten aan burn-out </w:t>
      </w:r>
      <w:r w:rsidR="00BF5F38">
        <w:rPr>
          <w:rFonts w:ascii="Verdana" w:hAnsi="Verdana"/>
          <w:sz w:val="20"/>
          <w:szCs w:val="20"/>
        </w:rPr>
        <w:t xml:space="preserve">per beleidsdomein </w:t>
      </w:r>
      <w:r>
        <w:rPr>
          <w:rFonts w:ascii="Verdana" w:hAnsi="Verdana"/>
          <w:sz w:val="20"/>
          <w:szCs w:val="20"/>
        </w:rPr>
        <w:t xml:space="preserve">opgesplitst naar </w:t>
      </w:r>
      <w:r w:rsidR="002C7177">
        <w:rPr>
          <w:rFonts w:ascii="Verdana" w:hAnsi="Verdana"/>
          <w:sz w:val="20"/>
          <w:szCs w:val="20"/>
        </w:rPr>
        <w:t>statuut</w:t>
      </w:r>
      <w:r>
        <w:rPr>
          <w:rFonts w:ascii="Verdana" w:hAnsi="Verdana"/>
          <w:sz w:val="20"/>
          <w:szCs w:val="20"/>
        </w:rPr>
        <w:t xml:space="preserve"> </w:t>
      </w:r>
      <w:r w:rsidR="00272F55">
        <w:rPr>
          <w:rFonts w:ascii="Verdana" w:hAnsi="Verdana"/>
          <w:sz w:val="20"/>
          <w:szCs w:val="20"/>
        </w:rPr>
        <w:t>voor het jaar</w:t>
      </w:r>
      <w:r>
        <w:rPr>
          <w:rFonts w:ascii="Verdana" w:hAnsi="Verdana"/>
          <w:sz w:val="20"/>
          <w:szCs w:val="20"/>
        </w:rPr>
        <w:t xml:space="preserve"> </w:t>
      </w:r>
      <w:r w:rsidR="002C7177">
        <w:rPr>
          <w:rFonts w:ascii="Verdana" w:hAnsi="Verdana"/>
          <w:sz w:val="20"/>
          <w:szCs w:val="20"/>
        </w:rPr>
        <w:t>2019</w:t>
      </w:r>
    </w:p>
    <w:tbl>
      <w:tblPr>
        <w:tblW w:w="13356" w:type="dxa"/>
        <w:tblCellMar>
          <w:left w:w="70" w:type="dxa"/>
          <w:right w:w="70" w:type="dxa"/>
        </w:tblCellMar>
        <w:tblLook w:val="04A0" w:firstRow="1" w:lastRow="0" w:firstColumn="1" w:lastColumn="0" w:noHBand="0" w:noVBand="1"/>
      </w:tblPr>
      <w:tblGrid>
        <w:gridCol w:w="3760"/>
        <w:gridCol w:w="1055"/>
        <w:gridCol w:w="1122"/>
        <w:gridCol w:w="1303"/>
        <w:gridCol w:w="1380"/>
        <w:gridCol w:w="987"/>
        <w:gridCol w:w="1006"/>
        <w:gridCol w:w="1308"/>
        <w:gridCol w:w="1399"/>
        <w:gridCol w:w="146"/>
      </w:tblGrid>
      <w:tr w:rsidR="00B77703" w:rsidRPr="00B77703" w14:paraId="0CE0A004" w14:textId="77777777" w:rsidTr="00B77703">
        <w:trPr>
          <w:gridAfter w:val="1"/>
          <w:wAfter w:w="36" w:type="dxa"/>
          <w:trHeight w:val="450"/>
        </w:trPr>
        <w:tc>
          <w:tcPr>
            <w:tcW w:w="376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BABFE02" w14:textId="77777777" w:rsidR="00B77703" w:rsidRPr="00B77703" w:rsidRDefault="00B77703" w:rsidP="00B77703">
            <w:pPr>
              <w:spacing w:after="0" w:line="240" w:lineRule="auto"/>
              <w:jc w:val="center"/>
              <w:rPr>
                <w:rFonts w:ascii="Arial" w:eastAsia="Times New Roman" w:hAnsi="Arial" w:cs="Arial"/>
                <w:b/>
                <w:bCs/>
                <w:color w:val="000000"/>
                <w:sz w:val="20"/>
                <w:szCs w:val="20"/>
                <w:lang w:eastAsia="nl-BE"/>
              </w:rPr>
            </w:pPr>
            <w:r w:rsidRPr="00B77703">
              <w:rPr>
                <w:rFonts w:ascii="Arial" w:eastAsia="Times New Roman" w:hAnsi="Arial" w:cs="Arial"/>
                <w:b/>
                <w:bCs/>
                <w:color w:val="000000"/>
                <w:sz w:val="20"/>
                <w:szCs w:val="20"/>
                <w:lang w:eastAsia="nl-BE"/>
              </w:rPr>
              <w:t>Beleidsdomein</w:t>
            </w:r>
          </w:p>
        </w:tc>
        <w:tc>
          <w:tcPr>
            <w:tcW w:w="4860"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603C4082"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Statutair</w:t>
            </w:r>
          </w:p>
        </w:tc>
        <w:tc>
          <w:tcPr>
            <w:tcW w:w="4700"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02839465"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Contractueel</w:t>
            </w:r>
          </w:p>
        </w:tc>
      </w:tr>
      <w:tr w:rsidR="00B77703" w:rsidRPr="00B77703" w14:paraId="2FC6A70B" w14:textId="77777777" w:rsidTr="00B77703">
        <w:trPr>
          <w:trHeight w:val="13"/>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20676B36" w14:textId="77777777" w:rsidR="00B77703" w:rsidRPr="00B77703" w:rsidRDefault="00B77703" w:rsidP="00B77703">
            <w:pPr>
              <w:spacing w:after="0" w:line="240" w:lineRule="auto"/>
              <w:rPr>
                <w:rFonts w:ascii="Arial" w:eastAsia="Times New Roman" w:hAnsi="Arial" w:cs="Arial"/>
                <w:b/>
                <w:bCs/>
                <w:color w:val="000000"/>
                <w:sz w:val="20"/>
                <w:szCs w:val="20"/>
                <w:lang w:eastAsia="nl-BE"/>
              </w:rPr>
            </w:pPr>
          </w:p>
        </w:tc>
        <w:tc>
          <w:tcPr>
            <w:tcW w:w="4860" w:type="dxa"/>
            <w:gridSpan w:val="4"/>
            <w:vMerge/>
            <w:tcBorders>
              <w:top w:val="single" w:sz="4" w:space="0" w:color="auto"/>
              <w:left w:val="single" w:sz="4" w:space="0" w:color="auto"/>
              <w:bottom w:val="single" w:sz="4" w:space="0" w:color="000000"/>
              <w:right w:val="single" w:sz="4" w:space="0" w:color="000000"/>
            </w:tcBorders>
            <w:vAlign w:val="center"/>
            <w:hideMark/>
          </w:tcPr>
          <w:p w14:paraId="3A88B21A" w14:textId="77777777" w:rsidR="00B77703" w:rsidRPr="00B77703" w:rsidRDefault="00B77703" w:rsidP="00B77703">
            <w:pPr>
              <w:spacing w:after="0" w:line="240" w:lineRule="auto"/>
              <w:rPr>
                <w:rFonts w:ascii="Arial" w:eastAsia="Times New Roman" w:hAnsi="Arial" w:cs="Arial"/>
                <w:b/>
                <w:bCs/>
                <w:color w:val="000000"/>
                <w:sz w:val="18"/>
                <w:szCs w:val="18"/>
                <w:lang w:eastAsia="nl-BE"/>
              </w:rPr>
            </w:pPr>
          </w:p>
        </w:tc>
        <w:tc>
          <w:tcPr>
            <w:tcW w:w="4700" w:type="dxa"/>
            <w:gridSpan w:val="4"/>
            <w:vMerge/>
            <w:tcBorders>
              <w:top w:val="single" w:sz="4" w:space="0" w:color="auto"/>
              <w:left w:val="single" w:sz="4" w:space="0" w:color="auto"/>
              <w:bottom w:val="single" w:sz="4" w:space="0" w:color="000000"/>
              <w:right w:val="single" w:sz="4" w:space="0" w:color="000000"/>
            </w:tcBorders>
            <w:vAlign w:val="center"/>
            <w:hideMark/>
          </w:tcPr>
          <w:p w14:paraId="29256294" w14:textId="77777777" w:rsidR="00B77703" w:rsidRPr="00B77703" w:rsidRDefault="00B77703" w:rsidP="00B77703">
            <w:pPr>
              <w:spacing w:after="0" w:line="240" w:lineRule="auto"/>
              <w:rPr>
                <w:rFonts w:ascii="Arial" w:eastAsia="Times New Roman" w:hAnsi="Arial" w:cs="Arial"/>
                <w:b/>
                <w:bCs/>
                <w:color w:val="000000"/>
                <w:sz w:val="18"/>
                <w:szCs w:val="18"/>
                <w:lang w:eastAsia="nl-BE"/>
              </w:rPr>
            </w:pPr>
          </w:p>
        </w:tc>
        <w:tc>
          <w:tcPr>
            <w:tcW w:w="36" w:type="dxa"/>
            <w:tcBorders>
              <w:top w:val="nil"/>
              <w:left w:val="nil"/>
              <w:bottom w:val="nil"/>
              <w:right w:val="nil"/>
            </w:tcBorders>
            <w:shd w:val="clear" w:color="auto" w:fill="auto"/>
            <w:noWrap/>
            <w:vAlign w:val="bottom"/>
            <w:hideMark/>
          </w:tcPr>
          <w:p w14:paraId="1A43A2BB"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p>
        </w:tc>
      </w:tr>
      <w:tr w:rsidR="00B77703" w:rsidRPr="00B77703" w14:paraId="6AE37D3D" w14:textId="77777777" w:rsidTr="00B77703">
        <w:trPr>
          <w:trHeight w:val="265"/>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730312EE" w14:textId="77777777" w:rsidR="00B77703" w:rsidRPr="00B77703" w:rsidRDefault="00B77703" w:rsidP="00B77703">
            <w:pPr>
              <w:spacing w:after="0" w:line="240" w:lineRule="auto"/>
              <w:rPr>
                <w:rFonts w:ascii="Arial" w:eastAsia="Times New Roman" w:hAnsi="Arial" w:cs="Arial"/>
                <w:b/>
                <w:bCs/>
                <w:color w:val="000000"/>
                <w:sz w:val="20"/>
                <w:szCs w:val="20"/>
                <w:lang w:eastAsia="nl-BE"/>
              </w:rPr>
            </w:pPr>
          </w:p>
        </w:tc>
        <w:tc>
          <w:tcPr>
            <w:tcW w:w="3480"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57FA2EAB"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Aantal beschikbare dagen</w:t>
            </w:r>
          </w:p>
        </w:tc>
        <w:tc>
          <w:tcPr>
            <w:tcW w:w="1380" w:type="dxa"/>
            <w:vMerge w:val="restart"/>
            <w:tcBorders>
              <w:top w:val="nil"/>
              <w:left w:val="single" w:sz="4" w:space="0" w:color="auto"/>
              <w:bottom w:val="single" w:sz="8" w:space="0" w:color="BFBFBF"/>
              <w:right w:val="single" w:sz="4" w:space="0" w:color="auto"/>
            </w:tcBorders>
            <w:shd w:val="clear" w:color="000000" w:fill="BFBFBF"/>
            <w:vAlign w:val="center"/>
            <w:hideMark/>
          </w:tcPr>
          <w:p w14:paraId="33DD39DA"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Burn-out Ziekte percentage</w:t>
            </w:r>
          </w:p>
        </w:tc>
        <w:tc>
          <w:tcPr>
            <w:tcW w:w="3301" w:type="dxa"/>
            <w:gridSpan w:val="3"/>
            <w:tcBorders>
              <w:top w:val="single" w:sz="4" w:space="0" w:color="auto"/>
              <w:left w:val="nil"/>
              <w:bottom w:val="single" w:sz="4" w:space="0" w:color="auto"/>
              <w:right w:val="single" w:sz="4" w:space="0" w:color="000000"/>
            </w:tcBorders>
            <w:shd w:val="clear" w:color="000000" w:fill="BFBFBF"/>
            <w:noWrap/>
            <w:vAlign w:val="center"/>
            <w:hideMark/>
          </w:tcPr>
          <w:p w14:paraId="490130F8"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Aantal beschikbare dagen</w:t>
            </w:r>
          </w:p>
        </w:tc>
        <w:tc>
          <w:tcPr>
            <w:tcW w:w="1399" w:type="dxa"/>
            <w:vMerge w:val="restart"/>
            <w:tcBorders>
              <w:top w:val="nil"/>
              <w:left w:val="single" w:sz="4" w:space="0" w:color="auto"/>
              <w:bottom w:val="single" w:sz="8" w:space="0" w:color="BFBFBF"/>
              <w:right w:val="single" w:sz="4" w:space="0" w:color="auto"/>
            </w:tcBorders>
            <w:shd w:val="clear" w:color="000000" w:fill="BFBFBF"/>
            <w:vAlign w:val="center"/>
            <w:hideMark/>
          </w:tcPr>
          <w:p w14:paraId="4DC06C97"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Burn-out Ziekte percentage</w:t>
            </w:r>
          </w:p>
        </w:tc>
        <w:tc>
          <w:tcPr>
            <w:tcW w:w="36" w:type="dxa"/>
            <w:vAlign w:val="center"/>
            <w:hideMark/>
          </w:tcPr>
          <w:p w14:paraId="6A12B62B"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7BEBA844" w14:textId="77777777" w:rsidTr="00B77703">
        <w:trPr>
          <w:trHeight w:val="470"/>
        </w:trPr>
        <w:tc>
          <w:tcPr>
            <w:tcW w:w="3760" w:type="dxa"/>
            <w:vMerge/>
            <w:tcBorders>
              <w:top w:val="single" w:sz="4" w:space="0" w:color="auto"/>
              <w:left w:val="single" w:sz="4" w:space="0" w:color="auto"/>
              <w:bottom w:val="single" w:sz="4" w:space="0" w:color="auto"/>
              <w:right w:val="single" w:sz="4" w:space="0" w:color="auto"/>
            </w:tcBorders>
            <w:vAlign w:val="center"/>
            <w:hideMark/>
          </w:tcPr>
          <w:p w14:paraId="34488366" w14:textId="77777777" w:rsidR="00B77703" w:rsidRPr="00B77703" w:rsidRDefault="00B77703" w:rsidP="00B77703">
            <w:pPr>
              <w:spacing w:after="0" w:line="240" w:lineRule="auto"/>
              <w:rPr>
                <w:rFonts w:ascii="Arial" w:eastAsia="Times New Roman" w:hAnsi="Arial" w:cs="Arial"/>
                <w:b/>
                <w:bCs/>
                <w:color w:val="000000"/>
                <w:sz w:val="20"/>
                <w:szCs w:val="20"/>
                <w:lang w:eastAsia="nl-BE"/>
              </w:rPr>
            </w:pPr>
          </w:p>
        </w:tc>
        <w:tc>
          <w:tcPr>
            <w:tcW w:w="1055" w:type="dxa"/>
            <w:tcBorders>
              <w:top w:val="nil"/>
              <w:left w:val="nil"/>
              <w:bottom w:val="single" w:sz="8" w:space="0" w:color="BFBFBF"/>
              <w:right w:val="single" w:sz="4" w:space="0" w:color="auto"/>
            </w:tcBorders>
            <w:shd w:val="clear" w:color="000000" w:fill="BFBFBF"/>
            <w:vAlign w:val="center"/>
            <w:hideMark/>
          </w:tcPr>
          <w:p w14:paraId="5CE5ABCE"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Ziekte- Burn-out</w:t>
            </w:r>
          </w:p>
        </w:tc>
        <w:tc>
          <w:tcPr>
            <w:tcW w:w="1122" w:type="dxa"/>
            <w:tcBorders>
              <w:top w:val="nil"/>
              <w:left w:val="nil"/>
              <w:bottom w:val="single" w:sz="8" w:space="0" w:color="BFBFBF"/>
              <w:right w:val="single" w:sz="4" w:space="0" w:color="auto"/>
            </w:tcBorders>
            <w:shd w:val="clear" w:color="000000" w:fill="BFBFBF"/>
            <w:noWrap/>
            <w:vAlign w:val="center"/>
            <w:hideMark/>
          </w:tcPr>
          <w:p w14:paraId="71FCF02C"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Ziekte</w:t>
            </w:r>
          </w:p>
        </w:tc>
        <w:tc>
          <w:tcPr>
            <w:tcW w:w="1303" w:type="dxa"/>
            <w:tcBorders>
              <w:top w:val="nil"/>
              <w:left w:val="nil"/>
              <w:bottom w:val="single" w:sz="8" w:space="0" w:color="BFBFBF"/>
              <w:right w:val="single" w:sz="4" w:space="0" w:color="auto"/>
            </w:tcBorders>
            <w:shd w:val="clear" w:color="000000" w:fill="BFBFBF"/>
            <w:noWrap/>
            <w:vAlign w:val="center"/>
            <w:hideMark/>
          </w:tcPr>
          <w:p w14:paraId="0F96CF3C"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Totaal</w:t>
            </w:r>
          </w:p>
        </w:tc>
        <w:tc>
          <w:tcPr>
            <w:tcW w:w="1380" w:type="dxa"/>
            <w:vMerge/>
            <w:tcBorders>
              <w:top w:val="nil"/>
              <w:left w:val="single" w:sz="4" w:space="0" w:color="auto"/>
              <w:bottom w:val="single" w:sz="8" w:space="0" w:color="BFBFBF"/>
              <w:right w:val="single" w:sz="4" w:space="0" w:color="auto"/>
            </w:tcBorders>
            <w:vAlign w:val="center"/>
            <w:hideMark/>
          </w:tcPr>
          <w:p w14:paraId="2798DF08" w14:textId="77777777" w:rsidR="00B77703" w:rsidRPr="00B77703" w:rsidRDefault="00B77703" w:rsidP="00B77703">
            <w:pPr>
              <w:spacing w:after="0" w:line="240" w:lineRule="auto"/>
              <w:rPr>
                <w:rFonts w:ascii="Arial" w:eastAsia="Times New Roman" w:hAnsi="Arial" w:cs="Arial"/>
                <w:b/>
                <w:bCs/>
                <w:color w:val="000000"/>
                <w:sz w:val="18"/>
                <w:szCs w:val="18"/>
                <w:lang w:eastAsia="nl-BE"/>
              </w:rPr>
            </w:pPr>
          </w:p>
        </w:tc>
        <w:tc>
          <w:tcPr>
            <w:tcW w:w="987" w:type="dxa"/>
            <w:tcBorders>
              <w:top w:val="nil"/>
              <w:left w:val="nil"/>
              <w:bottom w:val="single" w:sz="8" w:space="0" w:color="BFBFBF"/>
              <w:right w:val="single" w:sz="4" w:space="0" w:color="auto"/>
            </w:tcBorders>
            <w:shd w:val="clear" w:color="000000" w:fill="BFBFBF"/>
            <w:vAlign w:val="center"/>
            <w:hideMark/>
          </w:tcPr>
          <w:p w14:paraId="2EB0EC28"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Ziekte- Burn-out</w:t>
            </w:r>
          </w:p>
        </w:tc>
        <w:tc>
          <w:tcPr>
            <w:tcW w:w="1006" w:type="dxa"/>
            <w:tcBorders>
              <w:top w:val="nil"/>
              <w:left w:val="nil"/>
              <w:bottom w:val="single" w:sz="8" w:space="0" w:color="BFBFBF"/>
              <w:right w:val="single" w:sz="4" w:space="0" w:color="auto"/>
            </w:tcBorders>
            <w:shd w:val="clear" w:color="000000" w:fill="BFBFBF"/>
            <w:noWrap/>
            <w:vAlign w:val="center"/>
            <w:hideMark/>
          </w:tcPr>
          <w:p w14:paraId="5460817D"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Ziekte</w:t>
            </w:r>
          </w:p>
        </w:tc>
        <w:tc>
          <w:tcPr>
            <w:tcW w:w="1308" w:type="dxa"/>
            <w:tcBorders>
              <w:top w:val="nil"/>
              <w:left w:val="nil"/>
              <w:bottom w:val="single" w:sz="8" w:space="0" w:color="BFBFBF"/>
              <w:right w:val="single" w:sz="4" w:space="0" w:color="auto"/>
            </w:tcBorders>
            <w:shd w:val="clear" w:color="000000" w:fill="BFBFBF"/>
            <w:noWrap/>
            <w:vAlign w:val="center"/>
            <w:hideMark/>
          </w:tcPr>
          <w:p w14:paraId="155472C7"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Totaal</w:t>
            </w:r>
          </w:p>
        </w:tc>
        <w:tc>
          <w:tcPr>
            <w:tcW w:w="1399" w:type="dxa"/>
            <w:vMerge/>
            <w:tcBorders>
              <w:top w:val="nil"/>
              <w:left w:val="single" w:sz="4" w:space="0" w:color="auto"/>
              <w:bottom w:val="single" w:sz="8" w:space="0" w:color="BFBFBF"/>
              <w:right w:val="single" w:sz="4" w:space="0" w:color="auto"/>
            </w:tcBorders>
            <w:vAlign w:val="center"/>
            <w:hideMark/>
          </w:tcPr>
          <w:p w14:paraId="63C3F204" w14:textId="77777777" w:rsidR="00B77703" w:rsidRPr="00B77703" w:rsidRDefault="00B77703" w:rsidP="00B77703">
            <w:pPr>
              <w:spacing w:after="0" w:line="240" w:lineRule="auto"/>
              <w:rPr>
                <w:rFonts w:ascii="Arial" w:eastAsia="Times New Roman" w:hAnsi="Arial" w:cs="Arial"/>
                <w:b/>
                <w:bCs/>
                <w:color w:val="000000"/>
                <w:sz w:val="18"/>
                <w:szCs w:val="18"/>
                <w:lang w:eastAsia="nl-BE"/>
              </w:rPr>
            </w:pPr>
          </w:p>
        </w:tc>
        <w:tc>
          <w:tcPr>
            <w:tcW w:w="36" w:type="dxa"/>
            <w:vAlign w:val="center"/>
            <w:hideMark/>
          </w:tcPr>
          <w:p w14:paraId="6F28665B"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0CC1F482"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1AA3389C" w14:textId="0A68821C"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Kanselarij en Bestuur</w:t>
            </w:r>
          </w:p>
        </w:tc>
        <w:tc>
          <w:tcPr>
            <w:tcW w:w="1055" w:type="dxa"/>
            <w:tcBorders>
              <w:top w:val="nil"/>
              <w:left w:val="single" w:sz="4" w:space="0" w:color="auto"/>
              <w:bottom w:val="single" w:sz="4" w:space="0" w:color="auto"/>
              <w:right w:val="single" w:sz="4" w:space="0" w:color="auto"/>
            </w:tcBorders>
            <w:shd w:val="clear" w:color="auto" w:fill="auto"/>
            <w:noWrap/>
            <w:vAlign w:val="center"/>
            <w:hideMark/>
          </w:tcPr>
          <w:p w14:paraId="02BF6E8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3.251,63</w:t>
            </w:r>
          </w:p>
        </w:tc>
        <w:tc>
          <w:tcPr>
            <w:tcW w:w="1122" w:type="dxa"/>
            <w:tcBorders>
              <w:top w:val="nil"/>
              <w:left w:val="nil"/>
              <w:bottom w:val="single" w:sz="4" w:space="0" w:color="auto"/>
              <w:right w:val="single" w:sz="4" w:space="0" w:color="auto"/>
            </w:tcBorders>
            <w:shd w:val="clear" w:color="auto" w:fill="auto"/>
            <w:noWrap/>
            <w:vAlign w:val="center"/>
            <w:hideMark/>
          </w:tcPr>
          <w:p w14:paraId="0500BB5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28.325,49</w:t>
            </w:r>
          </w:p>
        </w:tc>
        <w:tc>
          <w:tcPr>
            <w:tcW w:w="1303" w:type="dxa"/>
            <w:tcBorders>
              <w:top w:val="nil"/>
              <w:left w:val="nil"/>
              <w:bottom w:val="single" w:sz="4" w:space="0" w:color="auto"/>
              <w:right w:val="single" w:sz="4" w:space="0" w:color="auto"/>
            </w:tcBorders>
            <w:shd w:val="clear" w:color="auto" w:fill="auto"/>
            <w:noWrap/>
            <w:vAlign w:val="center"/>
            <w:hideMark/>
          </w:tcPr>
          <w:p w14:paraId="081FC13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356.456,24</w:t>
            </w:r>
          </w:p>
        </w:tc>
        <w:tc>
          <w:tcPr>
            <w:tcW w:w="1380" w:type="dxa"/>
            <w:tcBorders>
              <w:top w:val="nil"/>
              <w:left w:val="nil"/>
              <w:bottom w:val="single" w:sz="4" w:space="0" w:color="auto"/>
              <w:right w:val="single" w:sz="4" w:space="0" w:color="auto"/>
            </w:tcBorders>
            <w:shd w:val="clear" w:color="auto" w:fill="auto"/>
            <w:noWrap/>
            <w:vAlign w:val="center"/>
            <w:hideMark/>
          </w:tcPr>
          <w:p w14:paraId="454425D3"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11,48%</w:t>
            </w:r>
          </w:p>
        </w:tc>
        <w:tc>
          <w:tcPr>
            <w:tcW w:w="987" w:type="dxa"/>
            <w:tcBorders>
              <w:top w:val="nil"/>
              <w:left w:val="nil"/>
              <w:bottom w:val="single" w:sz="4" w:space="0" w:color="auto"/>
              <w:right w:val="single" w:sz="4" w:space="0" w:color="auto"/>
            </w:tcBorders>
            <w:shd w:val="clear" w:color="auto" w:fill="auto"/>
            <w:noWrap/>
            <w:vAlign w:val="center"/>
            <w:hideMark/>
          </w:tcPr>
          <w:p w14:paraId="626BEBD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621,83</w:t>
            </w:r>
          </w:p>
        </w:tc>
        <w:tc>
          <w:tcPr>
            <w:tcW w:w="1006" w:type="dxa"/>
            <w:tcBorders>
              <w:top w:val="nil"/>
              <w:left w:val="nil"/>
              <w:bottom w:val="single" w:sz="4" w:space="0" w:color="auto"/>
              <w:right w:val="single" w:sz="4" w:space="0" w:color="auto"/>
            </w:tcBorders>
            <w:shd w:val="clear" w:color="auto" w:fill="auto"/>
            <w:noWrap/>
            <w:vAlign w:val="center"/>
            <w:hideMark/>
          </w:tcPr>
          <w:p w14:paraId="61438865"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13.336,05</w:t>
            </w:r>
          </w:p>
        </w:tc>
        <w:tc>
          <w:tcPr>
            <w:tcW w:w="1308" w:type="dxa"/>
            <w:tcBorders>
              <w:top w:val="nil"/>
              <w:left w:val="nil"/>
              <w:bottom w:val="single" w:sz="4" w:space="0" w:color="auto"/>
              <w:right w:val="single" w:sz="4" w:space="0" w:color="auto"/>
            </w:tcBorders>
            <w:shd w:val="clear" w:color="auto" w:fill="auto"/>
            <w:noWrap/>
            <w:vAlign w:val="center"/>
            <w:hideMark/>
          </w:tcPr>
          <w:p w14:paraId="76D47D1B"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150.133,03</w:t>
            </w:r>
          </w:p>
        </w:tc>
        <w:tc>
          <w:tcPr>
            <w:tcW w:w="1399" w:type="dxa"/>
            <w:tcBorders>
              <w:top w:val="nil"/>
              <w:left w:val="nil"/>
              <w:bottom w:val="single" w:sz="4" w:space="0" w:color="auto"/>
              <w:right w:val="single" w:sz="4" w:space="0" w:color="auto"/>
            </w:tcBorders>
            <w:shd w:val="clear" w:color="auto" w:fill="auto"/>
            <w:noWrap/>
            <w:vAlign w:val="center"/>
            <w:hideMark/>
          </w:tcPr>
          <w:p w14:paraId="50D05CA9"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4,66%</w:t>
            </w:r>
          </w:p>
        </w:tc>
        <w:tc>
          <w:tcPr>
            <w:tcW w:w="36" w:type="dxa"/>
            <w:vAlign w:val="center"/>
            <w:hideMark/>
          </w:tcPr>
          <w:p w14:paraId="647F8FF1"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4A1D8BBD"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07CDDE8B" w14:textId="4A21F800"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Financiën en Begroting</w:t>
            </w:r>
          </w:p>
        </w:tc>
        <w:tc>
          <w:tcPr>
            <w:tcW w:w="1055" w:type="dxa"/>
            <w:tcBorders>
              <w:top w:val="nil"/>
              <w:left w:val="nil"/>
              <w:bottom w:val="single" w:sz="4" w:space="0" w:color="auto"/>
              <w:right w:val="single" w:sz="4" w:space="0" w:color="auto"/>
            </w:tcBorders>
            <w:shd w:val="clear" w:color="auto" w:fill="auto"/>
            <w:noWrap/>
            <w:vAlign w:val="center"/>
            <w:hideMark/>
          </w:tcPr>
          <w:p w14:paraId="7FDF40A0"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1.217,50</w:t>
            </w:r>
          </w:p>
        </w:tc>
        <w:tc>
          <w:tcPr>
            <w:tcW w:w="1122" w:type="dxa"/>
            <w:tcBorders>
              <w:top w:val="nil"/>
              <w:left w:val="nil"/>
              <w:bottom w:val="single" w:sz="4" w:space="0" w:color="auto"/>
              <w:right w:val="single" w:sz="4" w:space="0" w:color="auto"/>
            </w:tcBorders>
            <w:shd w:val="clear" w:color="auto" w:fill="auto"/>
            <w:noWrap/>
            <w:vAlign w:val="center"/>
            <w:hideMark/>
          </w:tcPr>
          <w:p w14:paraId="32BF3AEE"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19.329,18</w:t>
            </w:r>
          </w:p>
        </w:tc>
        <w:tc>
          <w:tcPr>
            <w:tcW w:w="1303" w:type="dxa"/>
            <w:tcBorders>
              <w:top w:val="nil"/>
              <w:left w:val="nil"/>
              <w:bottom w:val="single" w:sz="4" w:space="0" w:color="auto"/>
              <w:right w:val="single" w:sz="4" w:space="0" w:color="auto"/>
            </w:tcBorders>
            <w:shd w:val="clear" w:color="auto" w:fill="auto"/>
            <w:noWrap/>
            <w:vAlign w:val="center"/>
            <w:hideMark/>
          </w:tcPr>
          <w:p w14:paraId="6D44793A"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236.832,08</w:t>
            </w:r>
          </w:p>
        </w:tc>
        <w:tc>
          <w:tcPr>
            <w:tcW w:w="1380" w:type="dxa"/>
            <w:tcBorders>
              <w:top w:val="nil"/>
              <w:left w:val="nil"/>
              <w:bottom w:val="single" w:sz="4" w:space="0" w:color="auto"/>
              <w:right w:val="single" w:sz="4" w:space="0" w:color="auto"/>
            </w:tcBorders>
            <w:shd w:val="clear" w:color="auto" w:fill="auto"/>
            <w:noWrap/>
            <w:vAlign w:val="center"/>
            <w:hideMark/>
          </w:tcPr>
          <w:p w14:paraId="76EB8BD2"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6,30%</w:t>
            </w:r>
          </w:p>
        </w:tc>
        <w:tc>
          <w:tcPr>
            <w:tcW w:w="987" w:type="dxa"/>
            <w:tcBorders>
              <w:top w:val="nil"/>
              <w:left w:val="nil"/>
              <w:bottom w:val="single" w:sz="4" w:space="0" w:color="auto"/>
              <w:right w:val="single" w:sz="4" w:space="0" w:color="auto"/>
            </w:tcBorders>
            <w:shd w:val="clear" w:color="auto" w:fill="auto"/>
            <w:noWrap/>
            <w:vAlign w:val="center"/>
            <w:hideMark/>
          </w:tcPr>
          <w:p w14:paraId="455FEAE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46,00</w:t>
            </w:r>
          </w:p>
        </w:tc>
        <w:tc>
          <w:tcPr>
            <w:tcW w:w="1006" w:type="dxa"/>
            <w:tcBorders>
              <w:top w:val="nil"/>
              <w:left w:val="nil"/>
              <w:bottom w:val="single" w:sz="4" w:space="0" w:color="auto"/>
              <w:right w:val="single" w:sz="4" w:space="0" w:color="auto"/>
            </w:tcBorders>
            <w:shd w:val="clear" w:color="auto" w:fill="auto"/>
            <w:noWrap/>
            <w:vAlign w:val="center"/>
            <w:hideMark/>
          </w:tcPr>
          <w:p w14:paraId="0BC38440"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4.285,53</w:t>
            </w:r>
          </w:p>
        </w:tc>
        <w:tc>
          <w:tcPr>
            <w:tcW w:w="1308" w:type="dxa"/>
            <w:tcBorders>
              <w:top w:val="nil"/>
              <w:left w:val="nil"/>
              <w:bottom w:val="single" w:sz="4" w:space="0" w:color="auto"/>
              <w:right w:val="single" w:sz="4" w:space="0" w:color="auto"/>
            </w:tcBorders>
            <w:shd w:val="clear" w:color="auto" w:fill="auto"/>
            <w:noWrap/>
            <w:vAlign w:val="center"/>
            <w:hideMark/>
          </w:tcPr>
          <w:p w14:paraId="66B5470A"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45.368,24</w:t>
            </w:r>
          </w:p>
        </w:tc>
        <w:tc>
          <w:tcPr>
            <w:tcW w:w="1399" w:type="dxa"/>
            <w:tcBorders>
              <w:top w:val="nil"/>
              <w:left w:val="nil"/>
              <w:bottom w:val="single" w:sz="4" w:space="0" w:color="auto"/>
              <w:right w:val="single" w:sz="4" w:space="0" w:color="auto"/>
            </w:tcBorders>
            <w:shd w:val="clear" w:color="auto" w:fill="auto"/>
            <w:noWrap/>
            <w:vAlign w:val="center"/>
            <w:hideMark/>
          </w:tcPr>
          <w:p w14:paraId="537348E3"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1,07%</w:t>
            </w:r>
          </w:p>
        </w:tc>
        <w:tc>
          <w:tcPr>
            <w:tcW w:w="36" w:type="dxa"/>
            <w:vAlign w:val="center"/>
            <w:hideMark/>
          </w:tcPr>
          <w:p w14:paraId="08C008C8"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7937CE78"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6A86BC81" w14:textId="50378ECA"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Internationaal Vlaanderen</w:t>
            </w:r>
          </w:p>
        </w:tc>
        <w:tc>
          <w:tcPr>
            <w:tcW w:w="1055" w:type="dxa"/>
            <w:tcBorders>
              <w:top w:val="nil"/>
              <w:left w:val="nil"/>
              <w:bottom w:val="single" w:sz="4" w:space="0" w:color="auto"/>
              <w:right w:val="single" w:sz="4" w:space="0" w:color="auto"/>
            </w:tcBorders>
            <w:shd w:val="clear" w:color="auto" w:fill="auto"/>
            <w:noWrap/>
            <w:vAlign w:val="center"/>
            <w:hideMark/>
          </w:tcPr>
          <w:p w14:paraId="4DFAA1D0"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685,75</w:t>
            </w:r>
          </w:p>
        </w:tc>
        <w:tc>
          <w:tcPr>
            <w:tcW w:w="1122" w:type="dxa"/>
            <w:tcBorders>
              <w:top w:val="nil"/>
              <w:left w:val="nil"/>
              <w:bottom w:val="single" w:sz="4" w:space="0" w:color="auto"/>
              <w:right w:val="single" w:sz="4" w:space="0" w:color="auto"/>
            </w:tcBorders>
            <w:shd w:val="clear" w:color="auto" w:fill="auto"/>
            <w:noWrap/>
            <w:vAlign w:val="center"/>
            <w:hideMark/>
          </w:tcPr>
          <w:p w14:paraId="231E998E"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4.947,86</w:t>
            </w:r>
          </w:p>
        </w:tc>
        <w:tc>
          <w:tcPr>
            <w:tcW w:w="1303" w:type="dxa"/>
            <w:tcBorders>
              <w:top w:val="nil"/>
              <w:left w:val="nil"/>
              <w:bottom w:val="single" w:sz="4" w:space="0" w:color="auto"/>
              <w:right w:val="single" w:sz="4" w:space="0" w:color="auto"/>
            </w:tcBorders>
            <w:shd w:val="clear" w:color="auto" w:fill="auto"/>
            <w:noWrap/>
            <w:vAlign w:val="center"/>
            <w:hideMark/>
          </w:tcPr>
          <w:p w14:paraId="67F5B320"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79.096,88</w:t>
            </w:r>
          </w:p>
        </w:tc>
        <w:tc>
          <w:tcPr>
            <w:tcW w:w="1380" w:type="dxa"/>
            <w:tcBorders>
              <w:top w:val="nil"/>
              <w:left w:val="nil"/>
              <w:bottom w:val="single" w:sz="4" w:space="0" w:color="auto"/>
              <w:right w:val="single" w:sz="4" w:space="0" w:color="auto"/>
            </w:tcBorders>
            <w:shd w:val="clear" w:color="auto" w:fill="auto"/>
            <w:noWrap/>
            <w:vAlign w:val="center"/>
            <w:hideMark/>
          </w:tcPr>
          <w:p w14:paraId="57E5CAF5"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13,86%</w:t>
            </w:r>
          </w:p>
        </w:tc>
        <w:tc>
          <w:tcPr>
            <w:tcW w:w="987" w:type="dxa"/>
            <w:tcBorders>
              <w:top w:val="nil"/>
              <w:left w:val="nil"/>
              <w:bottom w:val="single" w:sz="4" w:space="0" w:color="auto"/>
              <w:right w:val="single" w:sz="4" w:space="0" w:color="auto"/>
            </w:tcBorders>
            <w:shd w:val="clear" w:color="auto" w:fill="auto"/>
            <w:noWrap/>
            <w:vAlign w:val="center"/>
            <w:hideMark/>
          </w:tcPr>
          <w:p w14:paraId="25A80E45"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64,00</w:t>
            </w:r>
          </w:p>
        </w:tc>
        <w:tc>
          <w:tcPr>
            <w:tcW w:w="1006" w:type="dxa"/>
            <w:tcBorders>
              <w:top w:val="nil"/>
              <w:left w:val="nil"/>
              <w:bottom w:val="single" w:sz="4" w:space="0" w:color="auto"/>
              <w:right w:val="single" w:sz="4" w:space="0" w:color="auto"/>
            </w:tcBorders>
            <w:shd w:val="clear" w:color="auto" w:fill="auto"/>
            <w:noWrap/>
            <w:vAlign w:val="center"/>
            <w:hideMark/>
          </w:tcPr>
          <w:p w14:paraId="3B382ACF"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1.855,34</w:t>
            </w:r>
          </w:p>
        </w:tc>
        <w:tc>
          <w:tcPr>
            <w:tcW w:w="1308" w:type="dxa"/>
            <w:tcBorders>
              <w:top w:val="nil"/>
              <w:left w:val="nil"/>
              <w:bottom w:val="single" w:sz="4" w:space="0" w:color="auto"/>
              <w:right w:val="single" w:sz="4" w:space="0" w:color="auto"/>
            </w:tcBorders>
            <w:shd w:val="clear" w:color="auto" w:fill="auto"/>
            <w:noWrap/>
            <w:vAlign w:val="center"/>
            <w:hideMark/>
          </w:tcPr>
          <w:p w14:paraId="74CF1473"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38.249,51</w:t>
            </w:r>
          </w:p>
        </w:tc>
        <w:tc>
          <w:tcPr>
            <w:tcW w:w="1399" w:type="dxa"/>
            <w:tcBorders>
              <w:top w:val="nil"/>
              <w:left w:val="nil"/>
              <w:bottom w:val="single" w:sz="4" w:space="0" w:color="auto"/>
              <w:right w:val="single" w:sz="4" w:space="0" w:color="auto"/>
            </w:tcBorders>
            <w:shd w:val="clear" w:color="auto" w:fill="auto"/>
            <w:noWrap/>
            <w:vAlign w:val="center"/>
            <w:hideMark/>
          </w:tcPr>
          <w:p w14:paraId="4750640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3,45%</w:t>
            </w:r>
          </w:p>
        </w:tc>
        <w:tc>
          <w:tcPr>
            <w:tcW w:w="36" w:type="dxa"/>
            <w:vAlign w:val="center"/>
            <w:hideMark/>
          </w:tcPr>
          <w:p w14:paraId="721A623E"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1F25BD2A"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6CF8CBCD" w14:textId="7F4A2429"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Economie Wetenschap en Innovatie</w:t>
            </w:r>
          </w:p>
        </w:tc>
        <w:tc>
          <w:tcPr>
            <w:tcW w:w="1055" w:type="dxa"/>
            <w:tcBorders>
              <w:top w:val="nil"/>
              <w:left w:val="nil"/>
              <w:bottom w:val="single" w:sz="4" w:space="0" w:color="auto"/>
              <w:right w:val="single" w:sz="4" w:space="0" w:color="auto"/>
            </w:tcBorders>
            <w:shd w:val="clear" w:color="auto" w:fill="auto"/>
            <w:noWrap/>
            <w:vAlign w:val="center"/>
            <w:hideMark/>
          </w:tcPr>
          <w:p w14:paraId="1FAF5B3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570,89</w:t>
            </w:r>
          </w:p>
        </w:tc>
        <w:tc>
          <w:tcPr>
            <w:tcW w:w="1122" w:type="dxa"/>
            <w:tcBorders>
              <w:top w:val="nil"/>
              <w:left w:val="nil"/>
              <w:bottom w:val="single" w:sz="4" w:space="0" w:color="auto"/>
              <w:right w:val="single" w:sz="4" w:space="0" w:color="auto"/>
            </w:tcBorders>
            <w:shd w:val="clear" w:color="auto" w:fill="auto"/>
            <w:noWrap/>
            <w:vAlign w:val="center"/>
            <w:hideMark/>
          </w:tcPr>
          <w:p w14:paraId="254AAAB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7.683,13</w:t>
            </w:r>
          </w:p>
        </w:tc>
        <w:tc>
          <w:tcPr>
            <w:tcW w:w="1303" w:type="dxa"/>
            <w:tcBorders>
              <w:top w:val="nil"/>
              <w:left w:val="nil"/>
              <w:bottom w:val="single" w:sz="4" w:space="0" w:color="auto"/>
              <w:right w:val="single" w:sz="4" w:space="0" w:color="auto"/>
            </w:tcBorders>
            <w:shd w:val="clear" w:color="auto" w:fill="auto"/>
            <w:noWrap/>
            <w:vAlign w:val="center"/>
            <w:hideMark/>
          </w:tcPr>
          <w:p w14:paraId="3C84EE20"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108.409,37</w:t>
            </w:r>
          </w:p>
        </w:tc>
        <w:tc>
          <w:tcPr>
            <w:tcW w:w="1380" w:type="dxa"/>
            <w:tcBorders>
              <w:top w:val="nil"/>
              <w:left w:val="nil"/>
              <w:bottom w:val="single" w:sz="4" w:space="0" w:color="auto"/>
              <w:right w:val="single" w:sz="4" w:space="0" w:color="auto"/>
            </w:tcBorders>
            <w:shd w:val="clear" w:color="auto" w:fill="auto"/>
            <w:noWrap/>
            <w:vAlign w:val="center"/>
            <w:hideMark/>
          </w:tcPr>
          <w:p w14:paraId="52B016D1"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7,43%</w:t>
            </w:r>
          </w:p>
        </w:tc>
        <w:tc>
          <w:tcPr>
            <w:tcW w:w="987" w:type="dxa"/>
            <w:tcBorders>
              <w:top w:val="nil"/>
              <w:left w:val="nil"/>
              <w:bottom w:val="single" w:sz="4" w:space="0" w:color="auto"/>
              <w:right w:val="single" w:sz="4" w:space="0" w:color="auto"/>
            </w:tcBorders>
            <w:shd w:val="clear" w:color="auto" w:fill="auto"/>
            <w:noWrap/>
            <w:vAlign w:val="center"/>
            <w:hideMark/>
          </w:tcPr>
          <w:p w14:paraId="48683DEC"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262,50</w:t>
            </w:r>
          </w:p>
        </w:tc>
        <w:tc>
          <w:tcPr>
            <w:tcW w:w="1006" w:type="dxa"/>
            <w:tcBorders>
              <w:top w:val="nil"/>
              <w:left w:val="nil"/>
              <w:bottom w:val="single" w:sz="4" w:space="0" w:color="auto"/>
              <w:right w:val="single" w:sz="4" w:space="0" w:color="auto"/>
            </w:tcBorders>
            <w:shd w:val="clear" w:color="auto" w:fill="auto"/>
            <w:noWrap/>
            <w:vAlign w:val="center"/>
            <w:hideMark/>
          </w:tcPr>
          <w:p w14:paraId="621C5316"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1.737,25</w:t>
            </w:r>
          </w:p>
        </w:tc>
        <w:tc>
          <w:tcPr>
            <w:tcW w:w="1308" w:type="dxa"/>
            <w:tcBorders>
              <w:top w:val="nil"/>
              <w:left w:val="nil"/>
              <w:bottom w:val="single" w:sz="4" w:space="0" w:color="auto"/>
              <w:right w:val="single" w:sz="4" w:space="0" w:color="auto"/>
            </w:tcBorders>
            <w:shd w:val="clear" w:color="auto" w:fill="auto"/>
            <w:noWrap/>
            <w:vAlign w:val="center"/>
            <w:hideMark/>
          </w:tcPr>
          <w:p w14:paraId="73AC505A"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35.687,36</w:t>
            </w:r>
          </w:p>
        </w:tc>
        <w:tc>
          <w:tcPr>
            <w:tcW w:w="1399" w:type="dxa"/>
            <w:tcBorders>
              <w:top w:val="nil"/>
              <w:left w:val="nil"/>
              <w:bottom w:val="single" w:sz="4" w:space="0" w:color="auto"/>
              <w:right w:val="single" w:sz="4" w:space="0" w:color="auto"/>
            </w:tcBorders>
            <w:shd w:val="clear" w:color="auto" w:fill="auto"/>
            <w:noWrap/>
            <w:vAlign w:val="center"/>
            <w:hideMark/>
          </w:tcPr>
          <w:p w14:paraId="349372F9"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15,11%</w:t>
            </w:r>
          </w:p>
        </w:tc>
        <w:tc>
          <w:tcPr>
            <w:tcW w:w="36" w:type="dxa"/>
            <w:vAlign w:val="center"/>
            <w:hideMark/>
          </w:tcPr>
          <w:p w14:paraId="17AE920D"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082F179D"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05D6AFD4" w14:textId="274B392D"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Onderwijs en Vorming</w:t>
            </w:r>
          </w:p>
        </w:tc>
        <w:tc>
          <w:tcPr>
            <w:tcW w:w="1055" w:type="dxa"/>
            <w:tcBorders>
              <w:top w:val="nil"/>
              <w:left w:val="nil"/>
              <w:bottom w:val="single" w:sz="4" w:space="0" w:color="auto"/>
              <w:right w:val="single" w:sz="4" w:space="0" w:color="auto"/>
            </w:tcBorders>
            <w:shd w:val="clear" w:color="auto" w:fill="auto"/>
            <w:noWrap/>
            <w:vAlign w:val="center"/>
            <w:hideMark/>
          </w:tcPr>
          <w:p w14:paraId="18241B01"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566,25</w:t>
            </w:r>
          </w:p>
        </w:tc>
        <w:tc>
          <w:tcPr>
            <w:tcW w:w="1122" w:type="dxa"/>
            <w:tcBorders>
              <w:top w:val="nil"/>
              <w:left w:val="nil"/>
              <w:bottom w:val="single" w:sz="4" w:space="0" w:color="auto"/>
              <w:right w:val="single" w:sz="4" w:space="0" w:color="auto"/>
            </w:tcBorders>
            <w:shd w:val="clear" w:color="auto" w:fill="auto"/>
            <w:noWrap/>
            <w:vAlign w:val="center"/>
            <w:hideMark/>
          </w:tcPr>
          <w:p w14:paraId="3C2CB7A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13.058,15</w:t>
            </w:r>
          </w:p>
        </w:tc>
        <w:tc>
          <w:tcPr>
            <w:tcW w:w="1303" w:type="dxa"/>
            <w:tcBorders>
              <w:top w:val="nil"/>
              <w:left w:val="nil"/>
              <w:bottom w:val="single" w:sz="4" w:space="0" w:color="auto"/>
              <w:right w:val="single" w:sz="4" w:space="0" w:color="auto"/>
            </w:tcBorders>
            <w:shd w:val="clear" w:color="auto" w:fill="auto"/>
            <w:noWrap/>
            <w:vAlign w:val="center"/>
            <w:hideMark/>
          </w:tcPr>
          <w:p w14:paraId="1A8F382C"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171.920,26</w:t>
            </w:r>
          </w:p>
        </w:tc>
        <w:tc>
          <w:tcPr>
            <w:tcW w:w="1380" w:type="dxa"/>
            <w:tcBorders>
              <w:top w:val="nil"/>
              <w:left w:val="nil"/>
              <w:bottom w:val="single" w:sz="4" w:space="0" w:color="auto"/>
              <w:right w:val="single" w:sz="4" w:space="0" w:color="auto"/>
            </w:tcBorders>
            <w:shd w:val="clear" w:color="auto" w:fill="auto"/>
            <w:noWrap/>
            <w:vAlign w:val="center"/>
            <w:hideMark/>
          </w:tcPr>
          <w:p w14:paraId="036ABF0A"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4,34%</w:t>
            </w:r>
          </w:p>
        </w:tc>
        <w:tc>
          <w:tcPr>
            <w:tcW w:w="987" w:type="dxa"/>
            <w:tcBorders>
              <w:top w:val="nil"/>
              <w:left w:val="nil"/>
              <w:bottom w:val="single" w:sz="4" w:space="0" w:color="auto"/>
              <w:right w:val="single" w:sz="4" w:space="0" w:color="auto"/>
            </w:tcBorders>
            <w:shd w:val="clear" w:color="auto" w:fill="auto"/>
            <w:noWrap/>
            <w:vAlign w:val="center"/>
            <w:hideMark/>
          </w:tcPr>
          <w:p w14:paraId="312F87F3"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218,00</w:t>
            </w:r>
          </w:p>
        </w:tc>
        <w:tc>
          <w:tcPr>
            <w:tcW w:w="1006" w:type="dxa"/>
            <w:tcBorders>
              <w:top w:val="nil"/>
              <w:left w:val="nil"/>
              <w:bottom w:val="single" w:sz="4" w:space="0" w:color="auto"/>
              <w:right w:val="single" w:sz="4" w:space="0" w:color="auto"/>
            </w:tcBorders>
            <w:shd w:val="clear" w:color="auto" w:fill="auto"/>
            <w:noWrap/>
            <w:vAlign w:val="center"/>
            <w:hideMark/>
          </w:tcPr>
          <w:p w14:paraId="077F3A4A"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2.836,00</w:t>
            </w:r>
          </w:p>
        </w:tc>
        <w:tc>
          <w:tcPr>
            <w:tcW w:w="1308" w:type="dxa"/>
            <w:tcBorders>
              <w:top w:val="nil"/>
              <w:left w:val="nil"/>
              <w:bottom w:val="single" w:sz="4" w:space="0" w:color="auto"/>
              <w:right w:val="single" w:sz="4" w:space="0" w:color="auto"/>
            </w:tcBorders>
            <w:shd w:val="clear" w:color="auto" w:fill="auto"/>
            <w:noWrap/>
            <w:vAlign w:val="center"/>
            <w:hideMark/>
          </w:tcPr>
          <w:p w14:paraId="36EBE786"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50.837,37</w:t>
            </w:r>
          </w:p>
        </w:tc>
        <w:tc>
          <w:tcPr>
            <w:tcW w:w="1399" w:type="dxa"/>
            <w:tcBorders>
              <w:top w:val="nil"/>
              <w:left w:val="nil"/>
              <w:bottom w:val="single" w:sz="4" w:space="0" w:color="auto"/>
              <w:right w:val="single" w:sz="4" w:space="0" w:color="auto"/>
            </w:tcBorders>
            <w:shd w:val="clear" w:color="auto" w:fill="auto"/>
            <w:noWrap/>
            <w:vAlign w:val="center"/>
            <w:hideMark/>
          </w:tcPr>
          <w:p w14:paraId="131DD3D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7,69%</w:t>
            </w:r>
          </w:p>
        </w:tc>
        <w:tc>
          <w:tcPr>
            <w:tcW w:w="36" w:type="dxa"/>
            <w:vAlign w:val="center"/>
            <w:hideMark/>
          </w:tcPr>
          <w:p w14:paraId="7A541ED0"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207E304E"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11A993DE" w14:textId="29D39C3B"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Welzijn, Volksgezondheid en Gezin</w:t>
            </w:r>
          </w:p>
        </w:tc>
        <w:tc>
          <w:tcPr>
            <w:tcW w:w="1055" w:type="dxa"/>
            <w:tcBorders>
              <w:top w:val="nil"/>
              <w:left w:val="nil"/>
              <w:bottom w:val="single" w:sz="4" w:space="0" w:color="auto"/>
              <w:right w:val="single" w:sz="4" w:space="0" w:color="auto"/>
            </w:tcBorders>
            <w:shd w:val="clear" w:color="auto" w:fill="auto"/>
            <w:noWrap/>
            <w:vAlign w:val="center"/>
            <w:hideMark/>
          </w:tcPr>
          <w:p w14:paraId="319A571C"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7.096,31</w:t>
            </w:r>
          </w:p>
        </w:tc>
        <w:tc>
          <w:tcPr>
            <w:tcW w:w="1122" w:type="dxa"/>
            <w:tcBorders>
              <w:top w:val="nil"/>
              <w:left w:val="nil"/>
              <w:bottom w:val="single" w:sz="4" w:space="0" w:color="auto"/>
              <w:right w:val="single" w:sz="4" w:space="0" w:color="auto"/>
            </w:tcBorders>
            <w:shd w:val="clear" w:color="auto" w:fill="auto"/>
            <w:noWrap/>
            <w:vAlign w:val="center"/>
            <w:hideMark/>
          </w:tcPr>
          <w:p w14:paraId="090C8E23"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49.765,82</w:t>
            </w:r>
          </w:p>
        </w:tc>
        <w:tc>
          <w:tcPr>
            <w:tcW w:w="1303" w:type="dxa"/>
            <w:tcBorders>
              <w:top w:val="nil"/>
              <w:left w:val="nil"/>
              <w:bottom w:val="single" w:sz="4" w:space="0" w:color="auto"/>
              <w:right w:val="single" w:sz="4" w:space="0" w:color="auto"/>
            </w:tcBorders>
            <w:shd w:val="clear" w:color="auto" w:fill="auto"/>
            <w:noWrap/>
            <w:vAlign w:val="center"/>
            <w:hideMark/>
          </w:tcPr>
          <w:p w14:paraId="41B59AB3"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585.753,61</w:t>
            </w:r>
          </w:p>
        </w:tc>
        <w:tc>
          <w:tcPr>
            <w:tcW w:w="1380" w:type="dxa"/>
            <w:tcBorders>
              <w:top w:val="nil"/>
              <w:left w:val="nil"/>
              <w:bottom w:val="single" w:sz="4" w:space="0" w:color="auto"/>
              <w:right w:val="single" w:sz="4" w:space="0" w:color="auto"/>
            </w:tcBorders>
            <w:shd w:val="clear" w:color="auto" w:fill="auto"/>
            <w:noWrap/>
            <w:vAlign w:val="center"/>
            <w:hideMark/>
          </w:tcPr>
          <w:p w14:paraId="6EFC918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14,26%</w:t>
            </w:r>
          </w:p>
        </w:tc>
        <w:tc>
          <w:tcPr>
            <w:tcW w:w="987" w:type="dxa"/>
            <w:tcBorders>
              <w:top w:val="nil"/>
              <w:left w:val="nil"/>
              <w:bottom w:val="single" w:sz="4" w:space="0" w:color="auto"/>
              <w:right w:val="single" w:sz="4" w:space="0" w:color="auto"/>
            </w:tcBorders>
            <w:shd w:val="clear" w:color="auto" w:fill="auto"/>
            <w:noWrap/>
            <w:vAlign w:val="center"/>
            <w:hideMark/>
          </w:tcPr>
          <w:p w14:paraId="6A67D35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685,00</w:t>
            </w:r>
          </w:p>
        </w:tc>
        <w:tc>
          <w:tcPr>
            <w:tcW w:w="1006" w:type="dxa"/>
            <w:tcBorders>
              <w:top w:val="nil"/>
              <w:left w:val="nil"/>
              <w:bottom w:val="single" w:sz="4" w:space="0" w:color="auto"/>
              <w:right w:val="single" w:sz="4" w:space="0" w:color="auto"/>
            </w:tcBorders>
            <w:shd w:val="clear" w:color="auto" w:fill="auto"/>
            <w:noWrap/>
            <w:vAlign w:val="center"/>
            <w:hideMark/>
          </w:tcPr>
          <w:p w14:paraId="2C238EA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13.645,91</w:t>
            </w:r>
          </w:p>
        </w:tc>
        <w:tc>
          <w:tcPr>
            <w:tcW w:w="1308" w:type="dxa"/>
            <w:tcBorders>
              <w:top w:val="nil"/>
              <w:left w:val="nil"/>
              <w:bottom w:val="single" w:sz="4" w:space="0" w:color="auto"/>
              <w:right w:val="single" w:sz="4" w:space="0" w:color="auto"/>
            </w:tcBorders>
            <w:shd w:val="clear" w:color="auto" w:fill="auto"/>
            <w:noWrap/>
            <w:vAlign w:val="center"/>
            <w:hideMark/>
          </w:tcPr>
          <w:p w14:paraId="6B2401D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251.776,49</w:t>
            </w:r>
          </w:p>
        </w:tc>
        <w:tc>
          <w:tcPr>
            <w:tcW w:w="1399" w:type="dxa"/>
            <w:tcBorders>
              <w:top w:val="nil"/>
              <w:left w:val="nil"/>
              <w:bottom w:val="single" w:sz="4" w:space="0" w:color="auto"/>
              <w:right w:val="single" w:sz="4" w:space="0" w:color="auto"/>
            </w:tcBorders>
            <w:shd w:val="clear" w:color="auto" w:fill="auto"/>
            <w:noWrap/>
            <w:vAlign w:val="center"/>
            <w:hideMark/>
          </w:tcPr>
          <w:p w14:paraId="5F679442"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5,02%</w:t>
            </w:r>
          </w:p>
        </w:tc>
        <w:tc>
          <w:tcPr>
            <w:tcW w:w="36" w:type="dxa"/>
            <w:vAlign w:val="center"/>
            <w:hideMark/>
          </w:tcPr>
          <w:p w14:paraId="23AF8B42"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273B2472"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240FE532" w14:textId="525B742E"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Cultuur, Jeugd, Sport en Media</w:t>
            </w:r>
          </w:p>
        </w:tc>
        <w:tc>
          <w:tcPr>
            <w:tcW w:w="1055" w:type="dxa"/>
            <w:tcBorders>
              <w:top w:val="nil"/>
              <w:left w:val="nil"/>
              <w:bottom w:val="single" w:sz="4" w:space="0" w:color="auto"/>
              <w:right w:val="single" w:sz="4" w:space="0" w:color="auto"/>
            </w:tcBorders>
            <w:shd w:val="clear" w:color="auto" w:fill="auto"/>
            <w:noWrap/>
            <w:vAlign w:val="center"/>
            <w:hideMark/>
          </w:tcPr>
          <w:p w14:paraId="10D8863C"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1.804,00</w:t>
            </w:r>
          </w:p>
        </w:tc>
        <w:tc>
          <w:tcPr>
            <w:tcW w:w="1122" w:type="dxa"/>
            <w:tcBorders>
              <w:top w:val="nil"/>
              <w:left w:val="nil"/>
              <w:bottom w:val="single" w:sz="4" w:space="0" w:color="auto"/>
              <w:right w:val="single" w:sz="4" w:space="0" w:color="auto"/>
            </w:tcBorders>
            <w:shd w:val="clear" w:color="auto" w:fill="auto"/>
            <w:noWrap/>
            <w:vAlign w:val="center"/>
            <w:hideMark/>
          </w:tcPr>
          <w:p w14:paraId="5DA261D2"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16.785,10</w:t>
            </w:r>
          </w:p>
        </w:tc>
        <w:tc>
          <w:tcPr>
            <w:tcW w:w="1303" w:type="dxa"/>
            <w:tcBorders>
              <w:top w:val="nil"/>
              <w:left w:val="nil"/>
              <w:bottom w:val="single" w:sz="4" w:space="0" w:color="auto"/>
              <w:right w:val="single" w:sz="4" w:space="0" w:color="auto"/>
            </w:tcBorders>
            <w:shd w:val="clear" w:color="auto" w:fill="auto"/>
            <w:noWrap/>
            <w:vAlign w:val="center"/>
            <w:hideMark/>
          </w:tcPr>
          <w:p w14:paraId="398F8DB5"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173.114,24</w:t>
            </w:r>
          </w:p>
        </w:tc>
        <w:tc>
          <w:tcPr>
            <w:tcW w:w="1380" w:type="dxa"/>
            <w:tcBorders>
              <w:top w:val="nil"/>
              <w:left w:val="nil"/>
              <w:bottom w:val="single" w:sz="4" w:space="0" w:color="auto"/>
              <w:right w:val="single" w:sz="4" w:space="0" w:color="auto"/>
            </w:tcBorders>
            <w:shd w:val="clear" w:color="auto" w:fill="auto"/>
            <w:noWrap/>
            <w:vAlign w:val="center"/>
            <w:hideMark/>
          </w:tcPr>
          <w:p w14:paraId="533C191E"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10,75%</w:t>
            </w:r>
          </w:p>
        </w:tc>
        <w:tc>
          <w:tcPr>
            <w:tcW w:w="987" w:type="dxa"/>
            <w:tcBorders>
              <w:top w:val="nil"/>
              <w:left w:val="nil"/>
              <w:bottom w:val="single" w:sz="4" w:space="0" w:color="auto"/>
              <w:right w:val="single" w:sz="4" w:space="0" w:color="auto"/>
            </w:tcBorders>
            <w:shd w:val="clear" w:color="auto" w:fill="auto"/>
            <w:noWrap/>
            <w:vAlign w:val="center"/>
            <w:hideMark/>
          </w:tcPr>
          <w:p w14:paraId="439C6ED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398,42</w:t>
            </w:r>
          </w:p>
        </w:tc>
        <w:tc>
          <w:tcPr>
            <w:tcW w:w="1006" w:type="dxa"/>
            <w:tcBorders>
              <w:top w:val="nil"/>
              <w:left w:val="nil"/>
              <w:bottom w:val="single" w:sz="4" w:space="0" w:color="auto"/>
              <w:right w:val="single" w:sz="4" w:space="0" w:color="auto"/>
            </w:tcBorders>
            <w:shd w:val="clear" w:color="auto" w:fill="auto"/>
            <w:noWrap/>
            <w:vAlign w:val="center"/>
            <w:hideMark/>
          </w:tcPr>
          <w:p w14:paraId="6355DB6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8.146,71</w:t>
            </w:r>
          </w:p>
        </w:tc>
        <w:tc>
          <w:tcPr>
            <w:tcW w:w="1308" w:type="dxa"/>
            <w:tcBorders>
              <w:top w:val="nil"/>
              <w:left w:val="nil"/>
              <w:bottom w:val="single" w:sz="4" w:space="0" w:color="auto"/>
              <w:right w:val="single" w:sz="4" w:space="0" w:color="auto"/>
            </w:tcBorders>
            <w:shd w:val="clear" w:color="auto" w:fill="auto"/>
            <w:noWrap/>
            <w:vAlign w:val="center"/>
            <w:hideMark/>
          </w:tcPr>
          <w:p w14:paraId="6FCE73A0"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125.606,08</w:t>
            </w:r>
          </w:p>
        </w:tc>
        <w:tc>
          <w:tcPr>
            <w:tcW w:w="1399" w:type="dxa"/>
            <w:tcBorders>
              <w:top w:val="nil"/>
              <w:left w:val="nil"/>
              <w:bottom w:val="single" w:sz="4" w:space="0" w:color="auto"/>
              <w:right w:val="single" w:sz="4" w:space="0" w:color="auto"/>
            </w:tcBorders>
            <w:shd w:val="clear" w:color="auto" w:fill="auto"/>
            <w:noWrap/>
            <w:vAlign w:val="center"/>
            <w:hideMark/>
          </w:tcPr>
          <w:p w14:paraId="5E36BB55"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4,89%</w:t>
            </w:r>
          </w:p>
        </w:tc>
        <w:tc>
          <w:tcPr>
            <w:tcW w:w="36" w:type="dxa"/>
            <w:vAlign w:val="center"/>
            <w:hideMark/>
          </w:tcPr>
          <w:p w14:paraId="74BD8F9B"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4DFB0E3A"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22F1FC10" w14:textId="22ADEB11"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Werk en Sociale Economie</w:t>
            </w:r>
          </w:p>
        </w:tc>
        <w:tc>
          <w:tcPr>
            <w:tcW w:w="1055" w:type="dxa"/>
            <w:tcBorders>
              <w:top w:val="nil"/>
              <w:left w:val="nil"/>
              <w:bottom w:val="single" w:sz="4" w:space="0" w:color="auto"/>
              <w:right w:val="single" w:sz="4" w:space="0" w:color="auto"/>
            </w:tcBorders>
            <w:shd w:val="clear" w:color="auto" w:fill="auto"/>
            <w:noWrap/>
            <w:vAlign w:val="center"/>
            <w:hideMark/>
          </w:tcPr>
          <w:p w14:paraId="385FB2B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1.183,50</w:t>
            </w:r>
          </w:p>
        </w:tc>
        <w:tc>
          <w:tcPr>
            <w:tcW w:w="1122" w:type="dxa"/>
            <w:tcBorders>
              <w:top w:val="nil"/>
              <w:left w:val="nil"/>
              <w:bottom w:val="single" w:sz="4" w:space="0" w:color="auto"/>
              <w:right w:val="single" w:sz="4" w:space="0" w:color="auto"/>
            </w:tcBorders>
            <w:shd w:val="clear" w:color="auto" w:fill="auto"/>
            <w:noWrap/>
            <w:vAlign w:val="center"/>
            <w:hideMark/>
          </w:tcPr>
          <w:p w14:paraId="4A57626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6.782,50</w:t>
            </w:r>
          </w:p>
        </w:tc>
        <w:tc>
          <w:tcPr>
            <w:tcW w:w="1303" w:type="dxa"/>
            <w:tcBorders>
              <w:top w:val="nil"/>
              <w:left w:val="nil"/>
              <w:bottom w:val="single" w:sz="4" w:space="0" w:color="auto"/>
              <w:right w:val="single" w:sz="4" w:space="0" w:color="auto"/>
            </w:tcBorders>
            <w:shd w:val="clear" w:color="auto" w:fill="auto"/>
            <w:noWrap/>
            <w:vAlign w:val="center"/>
            <w:hideMark/>
          </w:tcPr>
          <w:p w14:paraId="1567006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77.016,78</w:t>
            </w:r>
          </w:p>
        </w:tc>
        <w:tc>
          <w:tcPr>
            <w:tcW w:w="1380" w:type="dxa"/>
            <w:tcBorders>
              <w:top w:val="nil"/>
              <w:left w:val="nil"/>
              <w:bottom w:val="single" w:sz="4" w:space="0" w:color="auto"/>
              <w:right w:val="single" w:sz="4" w:space="0" w:color="auto"/>
            </w:tcBorders>
            <w:shd w:val="clear" w:color="auto" w:fill="auto"/>
            <w:noWrap/>
            <w:vAlign w:val="center"/>
            <w:hideMark/>
          </w:tcPr>
          <w:p w14:paraId="2B875A5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17,45%</w:t>
            </w:r>
          </w:p>
        </w:tc>
        <w:tc>
          <w:tcPr>
            <w:tcW w:w="987" w:type="dxa"/>
            <w:tcBorders>
              <w:top w:val="nil"/>
              <w:left w:val="nil"/>
              <w:bottom w:val="single" w:sz="4" w:space="0" w:color="auto"/>
              <w:right w:val="single" w:sz="4" w:space="0" w:color="auto"/>
            </w:tcBorders>
            <w:shd w:val="clear" w:color="auto" w:fill="auto"/>
            <w:noWrap/>
            <w:vAlign w:val="center"/>
            <w:hideMark/>
          </w:tcPr>
          <w:p w14:paraId="02A19D2B"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222,00</w:t>
            </w:r>
          </w:p>
        </w:tc>
        <w:tc>
          <w:tcPr>
            <w:tcW w:w="1006" w:type="dxa"/>
            <w:tcBorders>
              <w:top w:val="nil"/>
              <w:left w:val="nil"/>
              <w:bottom w:val="single" w:sz="4" w:space="0" w:color="auto"/>
              <w:right w:val="single" w:sz="4" w:space="0" w:color="auto"/>
            </w:tcBorders>
            <w:shd w:val="clear" w:color="auto" w:fill="auto"/>
            <w:noWrap/>
            <w:vAlign w:val="center"/>
            <w:hideMark/>
          </w:tcPr>
          <w:p w14:paraId="0D171AC5"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1.757,00</w:t>
            </w:r>
          </w:p>
        </w:tc>
        <w:tc>
          <w:tcPr>
            <w:tcW w:w="1308" w:type="dxa"/>
            <w:tcBorders>
              <w:top w:val="nil"/>
              <w:left w:val="nil"/>
              <w:bottom w:val="single" w:sz="4" w:space="0" w:color="auto"/>
              <w:right w:val="single" w:sz="4" w:space="0" w:color="auto"/>
            </w:tcBorders>
            <w:shd w:val="clear" w:color="auto" w:fill="auto"/>
            <w:noWrap/>
            <w:vAlign w:val="center"/>
            <w:hideMark/>
          </w:tcPr>
          <w:p w14:paraId="4A6AA81F"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26.797,50</w:t>
            </w:r>
          </w:p>
        </w:tc>
        <w:tc>
          <w:tcPr>
            <w:tcW w:w="1399" w:type="dxa"/>
            <w:tcBorders>
              <w:top w:val="nil"/>
              <w:left w:val="nil"/>
              <w:bottom w:val="single" w:sz="4" w:space="0" w:color="auto"/>
              <w:right w:val="single" w:sz="4" w:space="0" w:color="auto"/>
            </w:tcBorders>
            <w:shd w:val="clear" w:color="auto" w:fill="auto"/>
            <w:noWrap/>
            <w:vAlign w:val="center"/>
            <w:hideMark/>
          </w:tcPr>
          <w:p w14:paraId="78C092B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12,64%</w:t>
            </w:r>
          </w:p>
        </w:tc>
        <w:tc>
          <w:tcPr>
            <w:tcW w:w="36" w:type="dxa"/>
            <w:vAlign w:val="center"/>
            <w:hideMark/>
          </w:tcPr>
          <w:p w14:paraId="0EC8F210"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719D0B5D"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335DACAD" w14:textId="05D2590D"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Landbouw en Visserij</w:t>
            </w:r>
          </w:p>
        </w:tc>
        <w:tc>
          <w:tcPr>
            <w:tcW w:w="1055" w:type="dxa"/>
            <w:tcBorders>
              <w:top w:val="nil"/>
              <w:left w:val="nil"/>
              <w:bottom w:val="single" w:sz="4" w:space="0" w:color="auto"/>
              <w:right w:val="single" w:sz="4" w:space="0" w:color="auto"/>
            </w:tcBorders>
            <w:shd w:val="clear" w:color="auto" w:fill="auto"/>
            <w:noWrap/>
            <w:vAlign w:val="center"/>
            <w:hideMark/>
          </w:tcPr>
          <w:p w14:paraId="2BB6280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805,00</w:t>
            </w:r>
          </w:p>
        </w:tc>
        <w:tc>
          <w:tcPr>
            <w:tcW w:w="1122" w:type="dxa"/>
            <w:tcBorders>
              <w:top w:val="nil"/>
              <w:left w:val="nil"/>
              <w:bottom w:val="single" w:sz="4" w:space="0" w:color="auto"/>
              <w:right w:val="single" w:sz="4" w:space="0" w:color="auto"/>
            </w:tcBorders>
            <w:shd w:val="clear" w:color="auto" w:fill="auto"/>
            <w:noWrap/>
            <w:vAlign w:val="center"/>
            <w:hideMark/>
          </w:tcPr>
          <w:p w14:paraId="0629D9A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9.373,69</w:t>
            </w:r>
          </w:p>
        </w:tc>
        <w:tc>
          <w:tcPr>
            <w:tcW w:w="1303" w:type="dxa"/>
            <w:tcBorders>
              <w:top w:val="nil"/>
              <w:left w:val="nil"/>
              <w:bottom w:val="single" w:sz="4" w:space="0" w:color="auto"/>
              <w:right w:val="single" w:sz="4" w:space="0" w:color="auto"/>
            </w:tcBorders>
            <w:shd w:val="clear" w:color="auto" w:fill="auto"/>
            <w:noWrap/>
            <w:vAlign w:val="center"/>
            <w:hideMark/>
          </w:tcPr>
          <w:p w14:paraId="0E8F97F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177.625,08</w:t>
            </w:r>
          </w:p>
        </w:tc>
        <w:tc>
          <w:tcPr>
            <w:tcW w:w="1380" w:type="dxa"/>
            <w:tcBorders>
              <w:top w:val="nil"/>
              <w:left w:val="nil"/>
              <w:bottom w:val="single" w:sz="4" w:space="0" w:color="auto"/>
              <w:right w:val="single" w:sz="4" w:space="0" w:color="auto"/>
            </w:tcBorders>
            <w:shd w:val="clear" w:color="auto" w:fill="auto"/>
            <w:noWrap/>
            <w:vAlign w:val="center"/>
            <w:hideMark/>
          </w:tcPr>
          <w:p w14:paraId="35C680DB"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8,59%</w:t>
            </w:r>
          </w:p>
        </w:tc>
        <w:tc>
          <w:tcPr>
            <w:tcW w:w="987" w:type="dxa"/>
            <w:tcBorders>
              <w:top w:val="nil"/>
              <w:left w:val="nil"/>
              <w:bottom w:val="single" w:sz="4" w:space="0" w:color="auto"/>
              <w:right w:val="single" w:sz="4" w:space="0" w:color="auto"/>
            </w:tcBorders>
            <w:shd w:val="clear" w:color="auto" w:fill="auto"/>
            <w:noWrap/>
            <w:vAlign w:val="center"/>
            <w:hideMark/>
          </w:tcPr>
          <w:p w14:paraId="1B4A110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0,00</w:t>
            </w:r>
          </w:p>
        </w:tc>
        <w:tc>
          <w:tcPr>
            <w:tcW w:w="1006" w:type="dxa"/>
            <w:tcBorders>
              <w:top w:val="nil"/>
              <w:left w:val="nil"/>
              <w:bottom w:val="single" w:sz="4" w:space="0" w:color="auto"/>
              <w:right w:val="single" w:sz="4" w:space="0" w:color="auto"/>
            </w:tcBorders>
            <w:shd w:val="clear" w:color="auto" w:fill="auto"/>
            <w:noWrap/>
            <w:vAlign w:val="center"/>
            <w:hideMark/>
          </w:tcPr>
          <w:p w14:paraId="037BE741"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1.087,00</w:t>
            </w:r>
          </w:p>
        </w:tc>
        <w:tc>
          <w:tcPr>
            <w:tcW w:w="1308" w:type="dxa"/>
            <w:tcBorders>
              <w:top w:val="nil"/>
              <w:left w:val="nil"/>
              <w:bottom w:val="single" w:sz="4" w:space="0" w:color="auto"/>
              <w:right w:val="single" w:sz="4" w:space="0" w:color="auto"/>
            </w:tcBorders>
            <w:shd w:val="clear" w:color="auto" w:fill="auto"/>
            <w:noWrap/>
            <w:vAlign w:val="center"/>
            <w:hideMark/>
          </w:tcPr>
          <w:p w14:paraId="43635472"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21.238,03</w:t>
            </w:r>
          </w:p>
        </w:tc>
        <w:tc>
          <w:tcPr>
            <w:tcW w:w="1399" w:type="dxa"/>
            <w:tcBorders>
              <w:top w:val="nil"/>
              <w:left w:val="nil"/>
              <w:bottom w:val="single" w:sz="4" w:space="0" w:color="auto"/>
              <w:right w:val="single" w:sz="4" w:space="0" w:color="auto"/>
            </w:tcBorders>
            <w:shd w:val="clear" w:color="auto" w:fill="auto"/>
            <w:noWrap/>
            <w:vAlign w:val="center"/>
            <w:hideMark/>
          </w:tcPr>
          <w:p w14:paraId="54AB7D3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0,00%</w:t>
            </w:r>
          </w:p>
        </w:tc>
        <w:tc>
          <w:tcPr>
            <w:tcW w:w="36" w:type="dxa"/>
            <w:vAlign w:val="center"/>
            <w:hideMark/>
          </w:tcPr>
          <w:p w14:paraId="51EFA516"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23FD9212"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30C9EED7" w14:textId="5B837E49"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Mobiliteit en Openbare Werken</w:t>
            </w:r>
          </w:p>
        </w:tc>
        <w:tc>
          <w:tcPr>
            <w:tcW w:w="1055" w:type="dxa"/>
            <w:tcBorders>
              <w:top w:val="nil"/>
              <w:left w:val="nil"/>
              <w:bottom w:val="single" w:sz="4" w:space="0" w:color="auto"/>
              <w:right w:val="single" w:sz="4" w:space="0" w:color="auto"/>
            </w:tcBorders>
            <w:shd w:val="clear" w:color="auto" w:fill="auto"/>
            <w:noWrap/>
            <w:vAlign w:val="center"/>
            <w:hideMark/>
          </w:tcPr>
          <w:p w14:paraId="4DDC71EA"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6.703,61</w:t>
            </w:r>
          </w:p>
        </w:tc>
        <w:tc>
          <w:tcPr>
            <w:tcW w:w="1122" w:type="dxa"/>
            <w:tcBorders>
              <w:top w:val="nil"/>
              <w:left w:val="nil"/>
              <w:bottom w:val="single" w:sz="4" w:space="0" w:color="auto"/>
              <w:right w:val="single" w:sz="4" w:space="0" w:color="auto"/>
            </w:tcBorders>
            <w:shd w:val="clear" w:color="auto" w:fill="auto"/>
            <w:noWrap/>
            <w:vAlign w:val="center"/>
            <w:hideMark/>
          </w:tcPr>
          <w:p w14:paraId="1D0B069C"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78.289,91</w:t>
            </w:r>
          </w:p>
        </w:tc>
        <w:tc>
          <w:tcPr>
            <w:tcW w:w="1303" w:type="dxa"/>
            <w:tcBorders>
              <w:top w:val="nil"/>
              <w:left w:val="nil"/>
              <w:bottom w:val="single" w:sz="4" w:space="0" w:color="auto"/>
              <w:right w:val="single" w:sz="4" w:space="0" w:color="auto"/>
            </w:tcBorders>
            <w:shd w:val="clear" w:color="auto" w:fill="auto"/>
            <w:noWrap/>
            <w:vAlign w:val="center"/>
            <w:hideMark/>
          </w:tcPr>
          <w:p w14:paraId="4B09580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1.029.246,32</w:t>
            </w:r>
          </w:p>
        </w:tc>
        <w:tc>
          <w:tcPr>
            <w:tcW w:w="1380" w:type="dxa"/>
            <w:tcBorders>
              <w:top w:val="nil"/>
              <w:left w:val="nil"/>
              <w:bottom w:val="single" w:sz="4" w:space="0" w:color="auto"/>
              <w:right w:val="single" w:sz="4" w:space="0" w:color="auto"/>
            </w:tcBorders>
            <w:shd w:val="clear" w:color="auto" w:fill="auto"/>
            <w:noWrap/>
            <w:vAlign w:val="center"/>
            <w:hideMark/>
          </w:tcPr>
          <w:p w14:paraId="4082D7B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8,56%</w:t>
            </w:r>
          </w:p>
        </w:tc>
        <w:tc>
          <w:tcPr>
            <w:tcW w:w="987" w:type="dxa"/>
            <w:tcBorders>
              <w:top w:val="nil"/>
              <w:left w:val="nil"/>
              <w:bottom w:val="single" w:sz="4" w:space="0" w:color="auto"/>
              <w:right w:val="single" w:sz="4" w:space="0" w:color="auto"/>
            </w:tcBorders>
            <w:shd w:val="clear" w:color="auto" w:fill="auto"/>
            <w:noWrap/>
            <w:vAlign w:val="center"/>
            <w:hideMark/>
          </w:tcPr>
          <w:p w14:paraId="769A52C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269,50</w:t>
            </w:r>
          </w:p>
        </w:tc>
        <w:tc>
          <w:tcPr>
            <w:tcW w:w="1006" w:type="dxa"/>
            <w:tcBorders>
              <w:top w:val="nil"/>
              <w:left w:val="nil"/>
              <w:bottom w:val="single" w:sz="4" w:space="0" w:color="auto"/>
              <w:right w:val="single" w:sz="4" w:space="0" w:color="auto"/>
            </w:tcBorders>
            <w:shd w:val="clear" w:color="auto" w:fill="auto"/>
            <w:noWrap/>
            <w:vAlign w:val="center"/>
            <w:hideMark/>
          </w:tcPr>
          <w:p w14:paraId="1966B18E"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6.195,69</w:t>
            </w:r>
          </w:p>
        </w:tc>
        <w:tc>
          <w:tcPr>
            <w:tcW w:w="1308" w:type="dxa"/>
            <w:tcBorders>
              <w:top w:val="nil"/>
              <w:left w:val="nil"/>
              <w:bottom w:val="single" w:sz="4" w:space="0" w:color="auto"/>
              <w:right w:val="single" w:sz="4" w:space="0" w:color="auto"/>
            </w:tcBorders>
            <w:shd w:val="clear" w:color="auto" w:fill="auto"/>
            <w:noWrap/>
            <w:vAlign w:val="center"/>
            <w:hideMark/>
          </w:tcPr>
          <w:p w14:paraId="13B64179"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113.516,99</w:t>
            </w:r>
          </w:p>
        </w:tc>
        <w:tc>
          <w:tcPr>
            <w:tcW w:w="1399" w:type="dxa"/>
            <w:tcBorders>
              <w:top w:val="nil"/>
              <w:left w:val="nil"/>
              <w:bottom w:val="single" w:sz="4" w:space="0" w:color="auto"/>
              <w:right w:val="single" w:sz="4" w:space="0" w:color="auto"/>
            </w:tcBorders>
            <w:shd w:val="clear" w:color="auto" w:fill="auto"/>
            <w:noWrap/>
            <w:vAlign w:val="center"/>
            <w:hideMark/>
          </w:tcPr>
          <w:p w14:paraId="51FA6AD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4,35%</w:t>
            </w:r>
          </w:p>
        </w:tc>
        <w:tc>
          <w:tcPr>
            <w:tcW w:w="36" w:type="dxa"/>
            <w:vAlign w:val="center"/>
            <w:hideMark/>
          </w:tcPr>
          <w:p w14:paraId="0EE28B10"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626ADCFE"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51D98B4A" w14:textId="2ABAE092"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Omgeving</w:t>
            </w:r>
          </w:p>
        </w:tc>
        <w:tc>
          <w:tcPr>
            <w:tcW w:w="1055" w:type="dxa"/>
            <w:tcBorders>
              <w:top w:val="nil"/>
              <w:left w:val="nil"/>
              <w:bottom w:val="single" w:sz="4" w:space="0" w:color="auto"/>
              <w:right w:val="single" w:sz="4" w:space="0" w:color="auto"/>
            </w:tcBorders>
            <w:shd w:val="clear" w:color="auto" w:fill="auto"/>
            <w:noWrap/>
            <w:vAlign w:val="center"/>
            <w:hideMark/>
          </w:tcPr>
          <w:p w14:paraId="21C16C0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8.224,92</w:t>
            </w:r>
          </w:p>
        </w:tc>
        <w:tc>
          <w:tcPr>
            <w:tcW w:w="1122" w:type="dxa"/>
            <w:tcBorders>
              <w:top w:val="nil"/>
              <w:left w:val="nil"/>
              <w:bottom w:val="single" w:sz="4" w:space="0" w:color="auto"/>
              <w:right w:val="single" w:sz="4" w:space="0" w:color="auto"/>
            </w:tcBorders>
            <w:shd w:val="clear" w:color="auto" w:fill="auto"/>
            <w:noWrap/>
            <w:vAlign w:val="center"/>
            <w:hideMark/>
          </w:tcPr>
          <w:p w14:paraId="145B0438"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55.839,14</w:t>
            </w:r>
          </w:p>
        </w:tc>
        <w:tc>
          <w:tcPr>
            <w:tcW w:w="1303" w:type="dxa"/>
            <w:tcBorders>
              <w:top w:val="nil"/>
              <w:left w:val="nil"/>
              <w:bottom w:val="single" w:sz="4" w:space="0" w:color="auto"/>
              <w:right w:val="single" w:sz="4" w:space="0" w:color="auto"/>
            </w:tcBorders>
            <w:shd w:val="clear" w:color="auto" w:fill="auto"/>
            <w:noWrap/>
            <w:vAlign w:val="center"/>
            <w:hideMark/>
          </w:tcPr>
          <w:p w14:paraId="02BD957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822.086,14</w:t>
            </w:r>
          </w:p>
        </w:tc>
        <w:tc>
          <w:tcPr>
            <w:tcW w:w="1380" w:type="dxa"/>
            <w:tcBorders>
              <w:top w:val="nil"/>
              <w:left w:val="nil"/>
              <w:bottom w:val="single" w:sz="4" w:space="0" w:color="auto"/>
              <w:right w:val="single" w:sz="4" w:space="0" w:color="auto"/>
            </w:tcBorders>
            <w:shd w:val="clear" w:color="auto" w:fill="auto"/>
            <w:noWrap/>
            <w:vAlign w:val="center"/>
            <w:hideMark/>
          </w:tcPr>
          <w:p w14:paraId="3E1C984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14,73%</w:t>
            </w:r>
          </w:p>
        </w:tc>
        <w:tc>
          <w:tcPr>
            <w:tcW w:w="987" w:type="dxa"/>
            <w:tcBorders>
              <w:top w:val="nil"/>
              <w:left w:val="nil"/>
              <w:bottom w:val="single" w:sz="4" w:space="0" w:color="auto"/>
              <w:right w:val="single" w:sz="4" w:space="0" w:color="auto"/>
            </w:tcBorders>
            <w:shd w:val="clear" w:color="auto" w:fill="auto"/>
            <w:noWrap/>
            <w:vAlign w:val="center"/>
            <w:hideMark/>
          </w:tcPr>
          <w:p w14:paraId="6A0ABAA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321,50</w:t>
            </w:r>
          </w:p>
        </w:tc>
        <w:tc>
          <w:tcPr>
            <w:tcW w:w="1006" w:type="dxa"/>
            <w:tcBorders>
              <w:top w:val="nil"/>
              <w:left w:val="nil"/>
              <w:bottom w:val="single" w:sz="4" w:space="0" w:color="auto"/>
              <w:right w:val="single" w:sz="4" w:space="0" w:color="auto"/>
            </w:tcBorders>
            <w:shd w:val="clear" w:color="auto" w:fill="auto"/>
            <w:noWrap/>
            <w:vAlign w:val="center"/>
            <w:hideMark/>
          </w:tcPr>
          <w:p w14:paraId="38A787DD"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10.163,59</w:t>
            </w:r>
          </w:p>
        </w:tc>
        <w:tc>
          <w:tcPr>
            <w:tcW w:w="1308" w:type="dxa"/>
            <w:tcBorders>
              <w:top w:val="nil"/>
              <w:left w:val="nil"/>
              <w:bottom w:val="single" w:sz="4" w:space="0" w:color="auto"/>
              <w:right w:val="single" w:sz="4" w:space="0" w:color="auto"/>
            </w:tcBorders>
            <w:shd w:val="clear" w:color="auto" w:fill="auto"/>
            <w:noWrap/>
            <w:vAlign w:val="center"/>
            <w:hideMark/>
          </w:tcPr>
          <w:p w14:paraId="0E13F20B"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182.337,73</w:t>
            </w:r>
          </w:p>
        </w:tc>
        <w:tc>
          <w:tcPr>
            <w:tcW w:w="1399" w:type="dxa"/>
            <w:tcBorders>
              <w:top w:val="nil"/>
              <w:left w:val="nil"/>
              <w:bottom w:val="single" w:sz="4" w:space="0" w:color="auto"/>
              <w:right w:val="single" w:sz="4" w:space="0" w:color="auto"/>
            </w:tcBorders>
            <w:shd w:val="clear" w:color="auto" w:fill="auto"/>
            <w:noWrap/>
            <w:vAlign w:val="center"/>
            <w:hideMark/>
          </w:tcPr>
          <w:p w14:paraId="2E3951C9"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3,16%</w:t>
            </w:r>
          </w:p>
        </w:tc>
        <w:tc>
          <w:tcPr>
            <w:tcW w:w="36" w:type="dxa"/>
            <w:vAlign w:val="center"/>
            <w:hideMark/>
          </w:tcPr>
          <w:p w14:paraId="680351ED"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0A9227E5" w14:textId="77777777" w:rsidTr="00B77703">
        <w:trPr>
          <w:trHeight w:val="280"/>
        </w:trPr>
        <w:tc>
          <w:tcPr>
            <w:tcW w:w="3760" w:type="dxa"/>
            <w:tcBorders>
              <w:top w:val="nil"/>
              <w:left w:val="single" w:sz="4" w:space="0" w:color="auto"/>
              <w:bottom w:val="single" w:sz="4" w:space="0" w:color="auto"/>
              <w:right w:val="single" w:sz="4" w:space="0" w:color="auto"/>
            </w:tcBorders>
            <w:shd w:val="clear" w:color="auto" w:fill="auto"/>
            <w:noWrap/>
            <w:hideMark/>
          </w:tcPr>
          <w:p w14:paraId="38ACEBB1" w14:textId="77777777" w:rsidR="00B77703" w:rsidRPr="00B77703" w:rsidRDefault="00B77703" w:rsidP="00B77703">
            <w:pPr>
              <w:spacing w:after="0" w:line="240" w:lineRule="auto"/>
              <w:rPr>
                <w:rFonts w:ascii="Arial" w:eastAsia="Times New Roman" w:hAnsi="Arial" w:cs="Arial"/>
                <w:color w:val="000000"/>
                <w:sz w:val="20"/>
                <w:szCs w:val="20"/>
                <w:lang w:eastAsia="nl-BE"/>
              </w:rPr>
            </w:pPr>
            <w:r w:rsidRPr="00B77703">
              <w:rPr>
                <w:rFonts w:ascii="Arial" w:eastAsia="Times New Roman" w:hAnsi="Arial" w:cs="Arial"/>
                <w:color w:val="000000"/>
                <w:sz w:val="20"/>
                <w:szCs w:val="20"/>
                <w:lang w:eastAsia="nl-BE"/>
              </w:rPr>
              <w:t>Geen</w:t>
            </w:r>
          </w:p>
        </w:tc>
        <w:tc>
          <w:tcPr>
            <w:tcW w:w="1055" w:type="dxa"/>
            <w:tcBorders>
              <w:top w:val="nil"/>
              <w:left w:val="nil"/>
              <w:bottom w:val="single" w:sz="4" w:space="0" w:color="auto"/>
              <w:right w:val="single" w:sz="4" w:space="0" w:color="auto"/>
            </w:tcBorders>
            <w:shd w:val="clear" w:color="auto" w:fill="auto"/>
            <w:noWrap/>
            <w:vAlign w:val="center"/>
            <w:hideMark/>
          </w:tcPr>
          <w:p w14:paraId="5CDAC2F6"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87,00</w:t>
            </w:r>
          </w:p>
        </w:tc>
        <w:tc>
          <w:tcPr>
            <w:tcW w:w="1122" w:type="dxa"/>
            <w:tcBorders>
              <w:top w:val="nil"/>
              <w:left w:val="nil"/>
              <w:bottom w:val="single" w:sz="4" w:space="0" w:color="auto"/>
              <w:right w:val="single" w:sz="4" w:space="0" w:color="auto"/>
            </w:tcBorders>
            <w:shd w:val="clear" w:color="auto" w:fill="auto"/>
            <w:noWrap/>
            <w:vAlign w:val="center"/>
            <w:hideMark/>
          </w:tcPr>
          <w:p w14:paraId="4F763327"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1.988,50</w:t>
            </w:r>
          </w:p>
        </w:tc>
        <w:tc>
          <w:tcPr>
            <w:tcW w:w="1303" w:type="dxa"/>
            <w:tcBorders>
              <w:top w:val="nil"/>
              <w:left w:val="nil"/>
              <w:bottom w:val="single" w:sz="4" w:space="0" w:color="auto"/>
              <w:right w:val="single" w:sz="4" w:space="0" w:color="auto"/>
            </w:tcBorders>
            <w:shd w:val="clear" w:color="auto" w:fill="auto"/>
            <w:noWrap/>
            <w:vAlign w:val="center"/>
            <w:hideMark/>
          </w:tcPr>
          <w:p w14:paraId="04954C91"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32.362,50</w:t>
            </w:r>
          </w:p>
        </w:tc>
        <w:tc>
          <w:tcPr>
            <w:tcW w:w="1380" w:type="dxa"/>
            <w:tcBorders>
              <w:top w:val="nil"/>
              <w:left w:val="nil"/>
              <w:bottom w:val="single" w:sz="4" w:space="0" w:color="auto"/>
              <w:right w:val="single" w:sz="4" w:space="0" w:color="auto"/>
            </w:tcBorders>
            <w:shd w:val="clear" w:color="auto" w:fill="auto"/>
            <w:noWrap/>
            <w:vAlign w:val="center"/>
            <w:hideMark/>
          </w:tcPr>
          <w:p w14:paraId="6EA711A4"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4,38%</w:t>
            </w:r>
          </w:p>
        </w:tc>
        <w:tc>
          <w:tcPr>
            <w:tcW w:w="987" w:type="dxa"/>
            <w:tcBorders>
              <w:top w:val="nil"/>
              <w:left w:val="nil"/>
              <w:bottom w:val="single" w:sz="4" w:space="0" w:color="auto"/>
              <w:right w:val="single" w:sz="4" w:space="0" w:color="auto"/>
            </w:tcBorders>
            <w:shd w:val="clear" w:color="auto" w:fill="auto"/>
            <w:noWrap/>
            <w:vAlign w:val="center"/>
            <w:hideMark/>
          </w:tcPr>
          <w:p w14:paraId="1A5CBEE9"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0,00</w:t>
            </w:r>
          </w:p>
        </w:tc>
        <w:tc>
          <w:tcPr>
            <w:tcW w:w="1006" w:type="dxa"/>
            <w:tcBorders>
              <w:top w:val="nil"/>
              <w:left w:val="nil"/>
              <w:bottom w:val="single" w:sz="4" w:space="0" w:color="auto"/>
              <w:right w:val="single" w:sz="4" w:space="0" w:color="auto"/>
            </w:tcBorders>
            <w:shd w:val="clear" w:color="auto" w:fill="auto"/>
            <w:noWrap/>
            <w:vAlign w:val="center"/>
            <w:hideMark/>
          </w:tcPr>
          <w:p w14:paraId="7314ADB5"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719,90</w:t>
            </w:r>
          </w:p>
        </w:tc>
        <w:tc>
          <w:tcPr>
            <w:tcW w:w="1308" w:type="dxa"/>
            <w:tcBorders>
              <w:top w:val="nil"/>
              <w:left w:val="nil"/>
              <w:bottom w:val="single" w:sz="4" w:space="0" w:color="auto"/>
              <w:right w:val="single" w:sz="4" w:space="0" w:color="auto"/>
            </w:tcBorders>
            <w:shd w:val="clear" w:color="auto" w:fill="auto"/>
            <w:noWrap/>
            <w:vAlign w:val="center"/>
            <w:hideMark/>
          </w:tcPr>
          <w:p w14:paraId="7B58FA60"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10.886,86</w:t>
            </w:r>
          </w:p>
        </w:tc>
        <w:tc>
          <w:tcPr>
            <w:tcW w:w="1399" w:type="dxa"/>
            <w:tcBorders>
              <w:top w:val="nil"/>
              <w:left w:val="nil"/>
              <w:bottom w:val="single" w:sz="4" w:space="0" w:color="auto"/>
              <w:right w:val="single" w:sz="4" w:space="0" w:color="auto"/>
            </w:tcBorders>
            <w:shd w:val="clear" w:color="auto" w:fill="auto"/>
            <w:noWrap/>
            <w:vAlign w:val="center"/>
            <w:hideMark/>
          </w:tcPr>
          <w:p w14:paraId="1F8A3E5F" w14:textId="77777777" w:rsidR="00B77703" w:rsidRPr="00B77703" w:rsidRDefault="00B77703" w:rsidP="00B77703">
            <w:pPr>
              <w:spacing w:after="0" w:line="240" w:lineRule="auto"/>
              <w:jc w:val="center"/>
              <w:rPr>
                <w:rFonts w:ascii="Arial" w:eastAsia="Times New Roman" w:hAnsi="Arial" w:cs="Arial"/>
                <w:color w:val="000000"/>
                <w:sz w:val="18"/>
                <w:szCs w:val="18"/>
                <w:lang w:eastAsia="nl-BE"/>
              </w:rPr>
            </w:pPr>
            <w:r w:rsidRPr="00B77703">
              <w:rPr>
                <w:rFonts w:ascii="Arial" w:eastAsia="Times New Roman" w:hAnsi="Arial" w:cs="Arial"/>
                <w:color w:val="000000"/>
                <w:sz w:val="18"/>
                <w:szCs w:val="18"/>
                <w:lang w:eastAsia="nl-BE"/>
              </w:rPr>
              <w:t>0,00%</w:t>
            </w:r>
          </w:p>
        </w:tc>
        <w:tc>
          <w:tcPr>
            <w:tcW w:w="36" w:type="dxa"/>
            <w:vAlign w:val="center"/>
            <w:hideMark/>
          </w:tcPr>
          <w:p w14:paraId="158781FB"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r w:rsidR="00B77703" w:rsidRPr="00B77703" w14:paraId="2C67F541" w14:textId="77777777" w:rsidTr="00B77703">
        <w:trPr>
          <w:trHeight w:val="280"/>
        </w:trPr>
        <w:tc>
          <w:tcPr>
            <w:tcW w:w="3760" w:type="dxa"/>
            <w:tcBorders>
              <w:top w:val="nil"/>
              <w:left w:val="single" w:sz="4" w:space="0" w:color="auto"/>
              <w:bottom w:val="single" w:sz="4" w:space="0" w:color="auto"/>
              <w:right w:val="single" w:sz="4" w:space="0" w:color="auto"/>
            </w:tcBorders>
            <w:shd w:val="clear" w:color="000000" w:fill="C0C0C0"/>
            <w:noWrap/>
            <w:vAlign w:val="center"/>
            <w:hideMark/>
          </w:tcPr>
          <w:p w14:paraId="24112807" w14:textId="77777777" w:rsidR="00B77703" w:rsidRPr="00B77703" w:rsidRDefault="00B77703" w:rsidP="00B77703">
            <w:pPr>
              <w:spacing w:after="0" w:line="240" w:lineRule="auto"/>
              <w:rPr>
                <w:rFonts w:ascii="Arial" w:eastAsia="Times New Roman" w:hAnsi="Arial" w:cs="Arial"/>
                <w:b/>
                <w:bCs/>
                <w:sz w:val="18"/>
                <w:szCs w:val="18"/>
                <w:lang w:eastAsia="nl-BE"/>
              </w:rPr>
            </w:pPr>
            <w:r w:rsidRPr="00B77703">
              <w:rPr>
                <w:rFonts w:ascii="Arial" w:eastAsia="Times New Roman" w:hAnsi="Arial" w:cs="Arial"/>
                <w:b/>
                <w:bCs/>
                <w:sz w:val="18"/>
                <w:szCs w:val="18"/>
                <w:lang w:eastAsia="nl-BE"/>
              </w:rPr>
              <w:t>TOTAAL</w:t>
            </w:r>
          </w:p>
        </w:tc>
        <w:tc>
          <w:tcPr>
            <w:tcW w:w="1055" w:type="dxa"/>
            <w:tcBorders>
              <w:top w:val="nil"/>
              <w:left w:val="nil"/>
              <w:bottom w:val="single" w:sz="4" w:space="0" w:color="auto"/>
              <w:right w:val="single" w:sz="4" w:space="0" w:color="auto"/>
            </w:tcBorders>
            <w:shd w:val="clear" w:color="000000" w:fill="BFBFBF"/>
            <w:noWrap/>
            <w:vAlign w:val="center"/>
            <w:hideMark/>
          </w:tcPr>
          <w:p w14:paraId="413951FC"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32.196,36</w:t>
            </w:r>
          </w:p>
        </w:tc>
        <w:tc>
          <w:tcPr>
            <w:tcW w:w="1122" w:type="dxa"/>
            <w:tcBorders>
              <w:top w:val="nil"/>
              <w:left w:val="nil"/>
              <w:bottom w:val="single" w:sz="4" w:space="0" w:color="auto"/>
              <w:right w:val="single" w:sz="4" w:space="0" w:color="auto"/>
            </w:tcBorders>
            <w:shd w:val="clear" w:color="000000" w:fill="BFBFBF"/>
            <w:noWrap/>
            <w:vAlign w:val="center"/>
            <w:hideMark/>
          </w:tcPr>
          <w:p w14:paraId="4F0B084A"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292.168,48</w:t>
            </w:r>
          </w:p>
        </w:tc>
        <w:tc>
          <w:tcPr>
            <w:tcW w:w="1303" w:type="dxa"/>
            <w:tcBorders>
              <w:top w:val="nil"/>
              <w:left w:val="nil"/>
              <w:bottom w:val="single" w:sz="4" w:space="0" w:color="auto"/>
              <w:right w:val="single" w:sz="4" w:space="0" w:color="auto"/>
            </w:tcBorders>
            <w:shd w:val="clear" w:color="000000" w:fill="BFBFBF"/>
            <w:noWrap/>
            <w:vAlign w:val="center"/>
            <w:hideMark/>
          </w:tcPr>
          <w:p w14:paraId="7549CD41"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3.849.919,49</w:t>
            </w:r>
          </w:p>
        </w:tc>
        <w:tc>
          <w:tcPr>
            <w:tcW w:w="1380" w:type="dxa"/>
            <w:tcBorders>
              <w:top w:val="nil"/>
              <w:left w:val="nil"/>
              <w:bottom w:val="single" w:sz="4" w:space="0" w:color="auto"/>
              <w:right w:val="single" w:sz="4" w:space="0" w:color="auto"/>
            </w:tcBorders>
            <w:shd w:val="clear" w:color="000000" w:fill="BFBFBF"/>
            <w:noWrap/>
            <w:vAlign w:val="center"/>
            <w:hideMark/>
          </w:tcPr>
          <w:p w14:paraId="2B5436AB"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11,02%</w:t>
            </w:r>
          </w:p>
        </w:tc>
        <w:tc>
          <w:tcPr>
            <w:tcW w:w="987" w:type="dxa"/>
            <w:tcBorders>
              <w:top w:val="nil"/>
              <w:left w:val="nil"/>
              <w:bottom w:val="single" w:sz="4" w:space="0" w:color="auto"/>
              <w:right w:val="single" w:sz="4" w:space="0" w:color="auto"/>
            </w:tcBorders>
            <w:shd w:val="clear" w:color="000000" w:fill="BFBFBF"/>
            <w:noWrap/>
            <w:vAlign w:val="center"/>
            <w:hideMark/>
          </w:tcPr>
          <w:p w14:paraId="58C201EE"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3.108,75</w:t>
            </w:r>
          </w:p>
        </w:tc>
        <w:tc>
          <w:tcPr>
            <w:tcW w:w="1006" w:type="dxa"/>
            <w:tcBorders>
              <w:top w:val="nil"/>
              <w:left w:val="nil"/>
              <w:bottom w:val="single" w:sz="4" w:space="0" w:color="auto"/>
              <w:right w:val="single" w:sz="4" w:space="0" w:color="auto"/>
            </w:tcBorders>
            <w:shd w:val="clear" w:color="000000" w:fill="BFBFBF"/>
            <w:noWrap/>
            <w:vAlign w:val="center"/>
            <w:hideMark/>
          </w:tcPr>
          <w:p w14:paraId="25D0F010"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65.765,97</w:t>
            </w:r>
          </w:p>
        </w:tc>
        <w:tc>
          <w:tcPr>
            <w:tcW w:w="1308" w:type="dxa"/>
            <w:tcBorders>
              <w:top w:val="nil"/>
              <w:left w:val="nil"/>
              <w:bottom w:val="single" w:sz="4" w:space="0" w:color="auto"/>
              <w:right w:val="single" w:sz="4" w:space="0" w:color="auto"/>
            </w:tcBorders>
            <w:shd w:val="clear" w:color="000000" w:fill="BFBFBF"/>
            <w:noWrap/>
            <w:vAlign w:val="center"/>
            <w:hideMark/>
          </w:tcPr>
          <w:p w14:paraId="5B965F2A"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1.052.435,18</w:t>
            </w:r>
          </w:p>
        </w:tc>
        <w:tc>
          <w:tcPr>
            <w:tcW w:w="1399" w:type="dxa"/>
            <w:tcBorders>
              <w:top w:val="nil"/>
              <w:left w:val="nil"/>
              <w:bottom w:val="single" w:sz="4" w:space="0" w:color="auto"/>
              <w:right w:val="single" w:sz="4" w:space="0" w:color="auto"/>
            </w:tcBorders>
            <w:shd w:val="clear" w:color="000000" w:fill="BFBFBF"/>
            <w:noWrap/>
            <w:vAlign w:val="center"/>
            <w:hideMark/>
          </w:tcPr>
          <w:p w14:paraId="32CDC7CB" w14:textId="77777777" w:rsidR="00B77703" w:rsidRPr="00B77703" w:rsidRDefault="00B77703" w:rsidP="00B77703">
            <w:pPr>
              <w:spacing w:after="0" w:line="240" w:lineRule="auto"/>
              <w:jc w:val="center"/>
              <w:rPr>
                <w:rFonts w:ascii="Arial" w:eastAsia="Times New Roman" w:hAnsi="Arial" w:cs="Arial"/>
                <w:b/>
                <w:bCs/>
                <w:color w:val="000000"/>
                <w:sz w:val="18"/>
                <w:szCs w:val="18"/>
                <w:lang w:eastAsia="nl-BE"/>
              </w:rPr>
            </w:pPr>
            <w:r w:rsidRPr="00B77703">
              <w:rPr>
                <w:rFonts w:ascii="Arial" w:eastAsia="Times New Roman" w:hAnsi="Arial" w:cs="Arial"/>
                <w:b/>
                <w:bCs/>
                <w:color w:val="000000"/>
                <w:sz w:val="18"/>
                <w:szCs w:val="18"/>
                <w:lang w:eastAsia="nl-BE"/>
              </w:rPr>
              <w:t>4,73%</w:t>
            </w:r>
          </w:p>
        </w:tc>
        <w:tc>
          <w:tcPr>
            <w:tcW w:w="36" w:type="dxa"/>
            <w:vAlign w:val="center"/>
            <w:hideMark/>
          </w:tcPr>
          <w:p w14:paraId="1B76820D" w14:textId="77777777" w:rsidR="00B77703" w:rsidRPr="00B77703" w:rsidRDefault="00B77703" w:rsidP="00B77703">
            <w:pPr>
              <w:spacing w:after="0" w:line="240" w:lineRule="auto"/>
              <w:rPr>
                <w:rFonts w:ascii="Times New Roman" w:eastAsia="Times New Roman" w:hAnsi="Times New Roman" w:cs="Times New Roman"/>
                <w:sz w:val="20"/>
                <w:szCs w:val="20"/>
                <w:lang w:eastAsia="nl-BE"/>
              </w:rPr>
            </w:pPr>
          </w:p>
        </w:tc>
      </w:tr>
    </w:tbl>
    <w:p w14:paraId="05970531" w14:textId="77777777" w:rsidR="002C7177" w:rsidRDefault="002C7177" w:rsidP="001F2920">
      <w:pPr>
        <w:rPr>
          <w:rFonts w:ascii="Verdana" w:hAnsi="Verdana"/>
          <w:sz w:val="20"/>
          <w:szCs w:val="20"/>
        </w:rPr>
      </w:pPr>
    </w:p>
    <w:p w14:paraId="574BE890" w14:textId="77777777" w:rsidR="008972A5" w:rsidRDefault="008972A5">
      <w:pPr>
        <w:rPr>
          <w:rFonts w:ascii="Verdana" w:hAnsi="Verdana"/>
          <w:sz w:val="20"/>
          <w:szCs w:val="20"/>
        </w:rPr>
      </w:pPr>
      <w:bookmarkStart w:id="3" w:name="_Hlk66357770"/>
      <w:r>
        <w:rPr>
          <w:rFonts w:ascii="Verdana" w:hAnsi="Verdana"/>
          <w:sz w:val="20"/>
          <w:szCs w:val="20"/>
        </w:rPr>
        <w:br w:type="page"/>
      </w:r>
    </w:p>
    <w:p w14:paraId="5EE0C01D" w14:textId="5352D59A" w:rsidR="00272F55" w:rsidRDefault="00F633B6" w:rsidP="00D4341D">
      <w:pPr>
        <w:rPr>
          <w:rFonts w:ascii="Verdana" w:hAnsi="Verdana"/>
          <w:sz w:val="20"/>
          <w:szCs w:val="20"/>
        </w:rPr>
      </w:pPr>
      <w:r w:rsidRPr="007B348F">
        <w:rPr>
          <w:noProof/>
        </w:rPr>
        <w:lastRenderedPageBreak/>
        <w:drawing>
          <wp:anchor distT="0" distB="0" distL="114300" distR="114300" simplePos="0" relativeHeight="251658240" behindDoc="0" locked="0" layoutInCell="1" allowOverlap="1" wp14:anchorId="6791BA42" wp14:editId="54FEEBD7">
            <wp:simplePos x="0" y="0"/>
            <wp:positionH relativeFrom="column">
              <wp:posOffset>-762000</wp:posOffset>
            </wp:positionH>
            <wp:positionV relativeFrom="paragraph">
              <wp:posOffset>271145</wp:posOffset>
            </wp:positionV>
            <wp:extent cx="10408285" cy="2162175"/>
            <wp:effectExtent l="0" t="0" r="0"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28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41D">
        <w:rPr>
          <w:rFonts w:ascii="Verdana" w:hAnsi="Verdana"/>
          <w:sz w:val="20"/>
          <w:szCs w:val="20"/>
        </w:rPr>
        <w:t xml:space="preserve">Tabel 4: </w:t>
      </w:r>
      <w:r w:rsidR="00272F55">
        <w:rPr>
          <w:rFonts w:ascii="Verdana" w:hAnsi="Verdana"/>
          <w:sz w:val="20"/>
          <w:szCs w:val="20"/>
        </w:rPr>
        <w:t xml:space="preserve">Aantal ziektedagen en ziektepercentage te wijten aan burn-out per beleidsdomein opgesplitst naar </w:t>
      </w:r>
      <w:r w:rsidR="00FD47E9">
        <w:rPr>
          <w:rFonts w:ascii="Verdana" w:hAnsi="Verdana"/>
          <w:sz w:val="20"/>
          <w:szCs w:val="20"/>
        </w:rPr>
        <w:t>niveau</w:t>
      </w:r>
      <w:r w:rsidR="00272F55">
        <w:rPr>
          <w:rFonts w:ascii="Verdana" w:hAnsi="Verdana"/>
          <w:sz w:val="20"/>
          <w:szCs w:val="20"/>
        </w:rPr>
        <w:t xml:space="preserve"> voor het jaar 2019</w:t>
      </w:r>
    </w:p>
    <w:p w14:paraId="03EACE80" w14:textId="1769DD13" w:rsidR="00496303" w:rsidRDefault="00496303" w:rsidP="00D4341D">
      <w:pPr>
        <w:rPr>
          <w:rFonts w:ascii="Verdana" w:hAnsi="Verdana"/>
          <w:sz w:val="20"/>
          <w:szCs w:val="20"/>
        </w:rPr>
      </w:pPr>
    </w:p>
    <w:bookmarkEnd w:id="3"/>
    <w:p w14:paraId="04B7BF03" w14:textId="77777777" w:rsidR="005F2297" w:rsidRDefault="005F2297">
      <w:pPr>
        <w:rPr>
          <w:rFonts w:ascii="Verdana" w:hAnsi="Verdana"/>
          <w:sz w:val="20"/>
          <w:szCs w:val="20"/>
        </w:rPr>
      </w:pPr>
      <w:r>
        <w:rPr>
          <w:rFonts w:ascii="Verdana" w:hAnsi="Verdana"/>
          <w:sz w:val="20"/>
          <w:szCs w:val="20"/>
        </w:rPr>
        <w:br w:type="page"/>
      </w:r>
    </w:p>
    <w:p w14:paraId="74DF81D7" w14:textId="0B8BEBD7" w:rsidR="001F2920" w:rsidRDefault="001F2920" w:rsidP="00A67985">
      <w:pPr>
        <w:spacing w:before="160"/>
        <w:rPr>
          <w:rFonts w:ascii="Verdana" w:hAnsi="Verdana"/>
          <w:sz w:val="20"/>
          <w:szCs w:val="20"/>
        </w:rPr>
      </w:pPr>
      <w:r>
        <w:rPr>
          <w:rFonts w:ascii="Verdana" w:hAnsi="Verdana"/>
          <w:sz w:val="20"/>
          <w:szCs w:val="20"/>
        </w:rPr>
        <w:lastRenderedPageBreak/>
        <w:t xml:space="preserve">Tabel </w:t>
      </w:r>
      <w:r w:rsidR="00A67985">
        <w:rPr>
          <w:rFonts w:ascii="Verdana" w:hAnsi="Verdana"/>
          <w:sz w:val="20"/>
          <w:szCs w:val="20"/>
        </w:rPr>
        <w:t>5</w:t>
      </w:r>
      <w:r>
        <w:rPr>
          <w:rFonts w:ascii="Verdana" w:hAnsi="Verdana"/>
          <w:sz w:val="20"/>
          <w:szCs w:val="20"/>
        </w:rPr>
        <w:t xml:space="preserve">: </w:t>
      </w:r>
      <w:r w:rsidR="009D4DB7">
        <w:rPr>
          <w:rFonts w:ascii="Verdana" w:hAnsi="Verdana"/>
          <w:sz w:val="20"/>
          <w:szCs w:val="20"/>
        </w:rPr>
        <w:t>Aantal ziektedagen en ziektepercentage te wijten aan burn-out per beleidsdomein opgesplitst naar leeftijd</w:t>
      </w:r>
      <w:r w:rsidR="00F633B6">
        <w:rPr>
          <w:rFonts w:ascii="Verdana" w:hAnsi="Verdana"/>
          <w:sz w:val="20"/>
          <w:szCs w:val="20"/>
        </w:rPr>
        <w:t>scategorie</w:t>
      </w:r>
      <w:r w:rsidR="009D4DB7">
        <w:rPr>
          <w:rFonts w:ascii="Verdana" w:hAnsi="Verdana"/>
          <w:sz w:val="20"/>
          <w:szCs w:val="20"/>
        </w:rPr>
        <w:t xml:space="preserve"> voor het jaar 2019</w:t>
      </w:r>
    </w:p>
    <w:p w14:paraId="07FFB41F" w14:textId="5A09BDDB" w:rsidR="00B23032" w:rsidRDefault="00A44A53">
      <w:pPr>
        <w:rPr>
          <w:rFonts w:ascii="Verdana" w:hAnsi="Verdana"/>
          <w:sz w:val="20"/>
          <w:szCs w:val="20"/>
        </w:rPr>
      </w:pPr>
      <w:r w:rsidRPr="00A44A53">
        <w:rPr>
          <w:noProof/>
        </w:rPr>
        <w:drawing>
          <wp:inline distT="0" distB="0" distL="0" distR="0" wp14:anchorId="12EC8F2F" wp14:editId="0BF529E3">
            <wp:extent cx="8892540" cy="2317750"/>
            <wp:effectExtent l="0" t="0" r="381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2317750"/>
                    </a:xfrm>
                    <a:prstGeom prst="rect">
                      <a:avLst/>
                    </a:prstGeom>
                    <a:noFill/>
                    <a:ln>
                      <a:noFill/>
                    </a:ln>
                  </pic:spPr>
                </pic:pic>
              </a:graphicData>
            </a:graphic>
          </wp:inline>
        </w:drawing>
      </w:r>
    </w:p>
    <w:p w14:paraId="42C550BA" w14:textId="77777777" w:rsidR="001A5A9F" w:rsidRDefault="001A5A9F">
      <w:pPr>
        <w:rPr>
          <w:rFonts w:ascii="Verdana" w:hAnsi="Verdana"/>
          <w:sz w:val="20"/>
          <w:szCs w:val="20"/>
        </w:rPr>
      </w:pPr>
    </w:p>
    <w:p w14:paraId="5339E763" w14:textId="6BD272CF" w:rsidR="005F2297" w:rsidRDefault="00CD42B1">
      <w:pPr>
        <w:rPr>
          <w:rFonts w:ascii="Verdana" w:hAnsi="Verdana"/>
          <w:sz w:val="20"/>
          <w:szCs w:val="20"/>
        </w:rPr>
      </w:pPr>
      <w:r w:rsidRPr="00CD42B1">
        <w:rPr>
          <w:noProof/>
        </w:rPr>
        <w:drawing>
          <wp:inline distT="0" distB="0" distL="0" distR="0" wp14:anchorId="2F6CAF02" wp14:editId="3E36A07E">
            <wp:extent cx="8892540" cy="2292350"/>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2292350"/>
                    </a:xfrm>
                    <a:prstGeom prst="rect">
                      <a:avLst/>
                    </a:prstGeom>
                    <a:noFill/>
                    <a:ln>
                      <a:noFill/>
                    </a:ln>
                  </pic:spPr>
                </pic:pic>
              </a:graphicData>
            </a:graphic>
          </wp:inline>
        </w:drawing>
      </w:r>
    </w:p>
    <w:p w14:paraId="06DF18AE" w14:textId="0DA2D03A" w:rsidR="008E71D8" w:rsidRDefault="001A5A9F">
      <w:pPr>
        <w:rPr>
          <w:rFonts w:ascii="Verdana" w:hAnsi="Verdana"/>
          <w:sz w:val="20"/>
          <w:szCs w:val="20"/>
        </w:rPr>
      </w:pPr>
      <w:r w:rsidRPr="001A5A9F">
        <w:rPr>
          <w:noProof/>
        </w:rPr>
        <w:lastRenderedPageBreak/>
        <w:drawing>
          <wp:inline distT="0" distB="0" distL="0" distR="0" wp14:anchorId="642085D2" wp14:editId="0A3623D8">
            <wp:extent cx="8892540" cy="2329815"/>
            <wp:effectExtent l="0" t="0" r="381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2329815"/>
                    </a:xfrm>
                    <a:prstGeom prst="rect">
                      <a:avLst/>
                    </a:prstGeom>
                    <a:noFill/>
                    <a:ln>
                      <a:noFill/>
                    </a:ln>
                  </pic:spPr>
                </pic:pic>
              </a:graphicData>
            </a:graphic>
          </wp:inline>
        </w:drawing>
      </w:r>
    </w:p>
    <w:sectPr w:rsidR="008E71D8" w:rsidSect="00091C7E">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C724F" w14:textId="77777777" w:rsidR="00914B1C" w:rsidRDefault="00914B1C" w:rsidP="00091C7E">
      <w:pPr>
        <w:spacing w:after="0" w:line="240" w:lineRule="auto"/>
      </w:pPr>
      <w:r>
        <w:separator/>
      </w:r>
    </w:p>
  </w:endnote>
  <w:endnote w:type="continuationSeparator" w:id="0">
    <w:p w14:paraId="32B30CB5" w14:textId="77777777" w:rsidR="00914B1C" w:rsidRDefault="00914B1C" w:rsidP="0009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F410" w14:textId="77777777" w:rsidR="00B75ECB" w:rsidRDefault="00B75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88985"/>
      <w:docPartObj>
        <w:docPartGallery w:val="Page Numbers (Bottom of Page)"/>
        <w:docPartUnique/>
      </w:docPartObj>
    </w:sdtPr>
    <w:sdtEndPr/>
    <w:sdtContent>
      <w:p w14:paraId="740946C6" w14:textId="77777777" w:rsidR="00091C7E" w:rsidRDefault="00091C7E">
        <w:pPr>
          <w:pStyle w:val="Voettekst"/>
          <w:jc w:val="center"/>
        </w:pPr>
        <w:r>
          <w:fldChar w:fldCharType="begin"/>
        </w:r>
        <w:r>
          <w:instrText>PAGE   \* MERGEFORMAT</w:instrText>
        </w:r>
        <w:r>
          <w:fldChar w:fldCharType="separate"/>
        </w:r>
        <w:r>
          <w:rPr>
            <w:lang w:val="nl-NL"/>
          </w:rPr>
          <w:t>2</w:t>
        </w:r>
        <w:r>
          <w:fldChar w:fldCharType="end"/>
        </w:r>
      </w:p>
    </w:sdtContent>
  </w:sdt>
  <w:p w14:paraId="22ED0694" w14:textId="77777777" w:rsidR="00091C7E" w:rsidRDefault="00091C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93D9" w14:textId="77777777" w:rsidR="00B75ECB" w:rsidRDefault="00B75E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CE42B" w14:textId="77777777" w:rsidR="00914B1C" w:rsidRDefault="00914B1C" w:rsidP="00091C7E">
      <w:pPr>
        <w:spacing w:after="0" w:line="240" w:lineRule="auto"/>
      </w:pPr>
      <w:r>
        <w:separator/>
      </w:r>
    </w:p>
  </w:footnote>
  <w:footnote w:type="continuationSeparator" w:id="0">
    <w:p w14:paraId="73E9FD96" w14:textId="77777777" w:rsidR="00914B1C" w:rsidRDefault="00914B1C" w:rsidP="0009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6771" w14:textId="77777777" w:rsidR="00B75ECB" w:rsidRDefault="00B75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1EEB" w14:textId="77777777" w:rsidR="00B75ECB" w:rsidRDefault="00B75E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E1DEC" w14:textId="77777777" w:rsidR="00B75ECB" w:rsidRDefault="00B75EC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7E"/>
    <w:rsid w:val="0001495A"/>
    <w:rsid w:val="00026310"/>
    <w:rsid w:val="00075B62"/>
    <w:rsid w:val="00080909"/>
    <w:rsid w:val="000835B0"/>
    <w:rsid w:val="00091C7E"/>
    <w:rsid w:val="000A6C1E"/>
    <w:rsid w:val="000B2A6E"/>
    <w:rsid w:val="001247CD"/>
    <w:rsid w:val="00132EC6"/>
    <w:rsid w:val="00155B27"/>
    <w:rsid w:val="001609EA"/>
    <w:rsid w:val="001A5A9F"/>
    <w:rsid w:val="001B035A"/>
    <w:rsid w:val="001B72EB"/>
    <w:rsid w:val="001E7837"/>
    <w:rsid w:val="001F2920"/>
    <w:rsid w:val="001F52DF"/>
    <w:rsid w:val="00243B4C"/>
    <w:rsid w:val="00253E23"/>
    <w:rsid w:val="00272F55"/>
    <w:rsid w:val="002A6842"/>
    <w:rsid w:val="002B7E6D"/>
    <w:rsid w:val="002C7177"/>
    <w:rsid w:val="002D3CB4"/>
    <w:rsid w:val="0030726E"/>
    <w:rsid w:val="00324B0F"/>
    <w:rsid w:val="00331733"/>
    <w:rsid w:val="00335CB4"/>
    <w:rsid w:val="003423CA"/>
    <w:rsid w:val="003C002A"/>
    <w:rsid w:val="003C4ADD"/>
    <w:rsid w:val="003D5AC8"/>
    <w:rsid w:val="003F349A"/>
    <w:rsid w:val="003F7C9F"/>
    <w:rsid w:val="0040195F"/>
    <w:rsid w:val="0043529B"/>
    <w:rsid w:val="00496303"/>
    <w:rsid w:val="004A7176"/>
    <w:rsid w:val="004B43A8"/>
    <w:rsid w:val="004C73B9"/>
    <w:rsid w:val="00552740"/>
    <w:rsid w:val="005578F2"/>
    <w:rsid w:val="005639B3"/>
    <w:rsid w:val="00594AAC"/>
    <w:rsid w:val="005A1B66"/>
    <w:rsid w:val="005B0C62"/>
    <w:rsid w:val="005B27ED"/>
    <w:rsid w:val="005B4EFC"/>
    <w:rsid w:val="005C6C1F"/>
    <w:rsid w:val="005D4E5D"/>
    <w:rsid w:val="005F2297"/>
    <w:rsid w:val="005F2D10"/>
    <w:rsid w:val="00602A02"/>
    <w:rsid w:val="00651992"/>
    <w:rsid w:val="0069373A"/>
    <w:rsid w:val="0069578C"/>
    <w:rsid w:val="006D3B95"/>
    <w:rsid w:val="007050D8"/>
    <w:rsid w:val="00711FCB"/>
    <w:rsid w:val="0075473D"/>
    <w:rsid w:val="007735DB"/>
    <w:rsid w:val="007B3009"/>
    <w:rsid w:val="007B348F"/>
    <w:rsid w:val="007E6813"/>
    <w:rsid w:val="007E6A0D"/>
    <w:rsid w:val="00865441"/>
    <w:rsid w:val="008972A5"/>
    <w:rsid w:val="008A2E90"/>
    <w:rsid w:val="008B2352"/>
    <w:rsid w:val="008E71D8"/>
    <w:rsid w:val="008F2F79"/>
    <w:rsid w:val="00900CF5"/>
    <w:rsid w:val="00914B1C"/>
    <w:rsid w:val="009C1909"/>
    <w:rsid w:val="009D4DB7"/>
    <w:rsid w:val="009F4F9C"/>
    <w:rsid w:val="00A0325E"/>
    <w:rsid w:val="00A44A53"/>
    <w:rsid w:val="00A67985"/>
    <w:rsid w:val="00B12D9F"/>
    <w:rsid w:val="00B12ED3"/>
    <w:rsid w:val="00B23032"/>
    <w:rsid w:val="00B4557E"/>
    <w:rsid w:val="00B70C49"/>
    <w:rsid w:val="00B75ECB"/>
    <w:rsid w:val="00B77703"/>
    <w:rsid w:val="00BC644E"/>
    <w:rsid w:val="00BD70EE"/>
    <w:rsid w:val="00BF5F38"/>
    <w:rsid w:val="00C239DB"/>
    <w:rsid w:val="00C51D0F"/>
    <w:rsid w:val="00C617B0"/>
    <w:rsid w:val="00C83318"/>
    <w:rsid w:val="00C84B0B"/>
    <w:rsid w:val="00C9748D"/>
    <w:rsid w:val="00CB112A"/>
    <w:rsid w:val="00CC4E00"/>
    <w:rsid w:val="00CD42B1"/>
    <w:rsid w:val="00CF3965"/>
    <w:rsid w:val="00CF68BF"/>
    <w:rsid w:val="00D05903"/>
    <w:rsid w:val="00D318B8"/>
    <w:rsid w:val="00D34BD3"/>
    <w:rsid w:val="00D4341D"/>
    <w:rsid w:val="00D51870"/>
    <w:rsid w:val="00D711FD"/>
    <w:rsid w:val="00DA069C"/>
    <w:rsid w:val="00DB2913"/>
    <w:rsid w:val="00DC5A15"/>
    <w:rsid w:val="00DD2259"/>
    <w:rsid w:val="00DD3E2F"/>
    <w:rsid w:val="00E25B1F"/>
    <w:rsid w:val="00E26743"/>
    <w:rsid w:val="00E27C3C"/>
    <w:rsid w:val="00E94F75"/>
    <w:rsid w:val="00EA33AC"/>
    <w:rsid w:val="00EB41B9"/>
    <w:rsid w:val="00F33FF4"/>
    <w:rsid w:val="00F5151F"/>
    <w:rsid w:val="00F633B6"/>
    <w:rsid w:val="00FC690D"/>
    <w:rsid w:val="00FD47E9"/>
    <w:rsid w:val="00FF6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91523"/>
  <w15:chartTrackingRefBased/>
  <w15:docId w15:val="{285EBBB2-3277-46DB-B02F-6D76F385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C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C7E"/>
  </w:style>
  <w:style w:type="paragraph" w:styleId="Voettekst">
    <w:name w:val="footer"/>
    <w:basedOn w:val="Standaard"/>
    <w:link w:val="VoettekstChar"/>
    <w:uiPriority w:val="99"/>
    <w:unhideWhenUsed/>
    <w:rsid w:val="00091C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C7E"/>
  </w:style>
  <w:style w:type="paragraph" w:styleId="Voetnoottekst">
    <w:name w:val="footnote text"/>
    <w:basedOn w:val="Standaard"/>
    <w:link w:val="VoetnoottekstChar"/>
    <w:uiPriority w:val="99"/>
    <w:semiHidden/>
    <w:unhideWhenUsed/>
    <w:rsid w:val="00E267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6743"/>
    <w:rPr>
      <w:sz w:val="20"/>
      <w:szCs w:val="20"/>
    </w:rPr>
  </w:style>
  <w:style w:type="character" w:styleId="Voetnootmarkering">
    <w:name w:val="footnote reference"/>
    <w:basedOn w:val="Standaardalinea-lettertype"/>
    <w:uiPriority w:val="99"/>
    <w:semiHidden/>
    <w:unhideWhenUsed/>
    <w:rsid w:val="00E26743"/>
    <w:rPr>
      <w:vertAlign w:val="superscript"/>
    </w:rPr>
  </w:style>
  <w:style w:type="paragraph" w:customStyle="1" w:styleId="Default">
    <w:name w:val="Default"/>
    <w:rsid w:val="00E2674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3C4A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4ADD"/>
    <w:rPr>
      <w:rFonts w:ascii="Segoe UI" w:hAnsi="Segoe UI" w:cs="Segoe UI"/>
      <w:sz w:val="18"/>
      <w:szCs w:val="18"/>
    </w:rPr>
  </w:style>
  <w:style w:type="character" w:styleId="Verwijzingopmerking">
    <w:name w:val="annotation reference"/>
    <w:basedOn w:val="Standaardalinea-lettertype"/>
    <w:semiHidden/>
    <w:unhideWhenUsed/>
    <w:rsid w:val="007735DB"/>
    <w:rPr>
      <w:sz w:val="16"/>
      <w:szCs w:val="16"/>
    </w:rPr>
  </w:style>
  <w:style w:type="paragraph" w:styleId="Tekstopmerking">
    <w:name w:val="annotation text"/>
    <w:basedOn w:val="Standaard"/>
    <w:link w:val="TekstopmerkingChar"/>
    <w:semiHidden/>
    <w:unhideWhenUsed/>
    <w:rsid w:val="007735DB"/>
    <w:pPr>
      <w:spacing w:after="0" w:line="240" w:lineRule="auto"/>
      <w:jc w:val="both"/>
    </w:pPr>
    <w:rPr>
      <w:rFonts w:ascii="Verdana" w:eastAsia="Times New Roman" w:hAnsi="Verdana" w:cs="Times New Roman"/>
      <w:sz w:val="20"/>
      <w:szCs w:val="20"/>
      <w:lang w:val="nl-NL" w:eastAsia="nl-NL"/>
    </w:rPr>
  </w:style>
  <w:style w:type="character" w:customStyle="1" w:styleId="TekstopmerkingChar">
    <w:name w:val="Tekst opmerking Char"/>
    <w:basedOn w:val="Standaardalinea-lettertype"/>
    <w:link w:val="Tekstopmerking"/>
    <w:semiHidden/>
    <w:rsid w:val="007735DB"/>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5D4E5D"/>
    <w:pPr>
      <w:spacing w:after="160"/>
      <w:jc w:val="left"/>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5D4E5D"/>
    <w:rPr>
      <w:rFonts w:ascii="Verdana" w:eastAsia="Times New Roman" w:hAnsi="Verdana"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7053">
      <w:bodyDiv w:val="1"/>
      <w:marLeft w:val="0"/>
      <w:marRight w:val="0"/>
      <w:marTop w:val="0"/>
      <w:marBottom w:val="0"/>
      <w:divBdr>
        <w:top w:val="none" w:sz="0" w:space="0" w:color="auto"/>
        <w:left w:val="none" w:sz="0" w:space="0" w:color="auto"/>
        <w:bottom w:val="none" w:sz="0" w:space="0" w:color="auto"/>
        <w:right w:val="none" w:sz="0" w:space="0" w:color="auto"/>
      </w:divBdr>
    </w:div>
    <w:div w:id="430203305">
      <w:bodyDiv w:val="1"/>
      <w:marLeft w:val="0"/>
      <w:marRight w:val="0"/>
      <w:marTop w:val="0"/>
      <w:marBottom w:val="0"/>
      <w:divBdr>
        <w:top w:val="none" w:sz="0" w:space="0" w:color="auto"/>
        <w:left w:val="none" w:sz="0" w:space="0" w:color="auto"/>
        <w:bottom w:val="none" w:sz="0" w:space="0" w:color="auto"/>
        <w:right w:val="none" w:sz="0" w:space="0" w:color="auto"/>
      </w:divBdr>
    </w:div>
    <w:div w:id="750350526">
      <w:bodyDiv w:val="1"/>
      <w:marLeft w:val="0"/>
      <w:marRight w:val="0"/>
      <w:marTop w:val="0"/>
      <w:marBottom w:val="0"/>
      <w:divBdr>
        <w:top w:val="none" w:sz="0" w:space="0" w:color="auto"/>
        <w:left w:val="none" w:sz="0" w:space="0" w:color="auto"/>
        <w:bottom w:val="none" w:sz="0" w:space="0" w:color="auto"/>
        <w:right w:val="none" w:sz="0" w:space="0" w:color="auto"/>
      </w:divBdr>
    </w:div>
    <w:div w:id="779103589">
      <w:bodyDiv w:val="1"/>
      <w:marLeft w:val="0"/>
      <w:marRight w:val="0"/>
      <w:marTop w:val="0"/>
      <w:marBottom w:val="0"/>
      <w:divBdr>
        <w:top w:val="none" w:sz="0" w:space="0" w:color="auto"/>
        <w:left w:val="none" w:sz="0" w:space="0" w:color="auto"/>
        <w:bottom w:val="none" w:sz="0" w:space="0" w:color="auto"/>
        <w:right w:val="none" w:sz="0" w:space="0" w:color="auto"/>
      </w:divBdr>
    </w:div>
    <w:div w:id="868301137">
      <w:bodyDiv w:val="1"/>
      <w:marLeft w:val="0"/>
      <w:marRight w:val="0"/>
      <w:marTop w:val="0"/>
      <w:marBottom w:val="0"/>
      <w:divBdr>
        <w:top w:val="none" w:sz="0" w:space="0" w:color="auto"/>
        <w:left w:val="none" w:sz="0" w:space="0" w:color="auto"/>
        <w:bottom w:val="none" w:sz="0" w:space="0" w:color="auto"/>
        <w:right w:val="none" w:sz="0" w:space="0" w:color="auto"/>
      </w:divBdr>
    </w:div>
    <w:div w:id="1025792852">
      <w:bodyDiv w:val="1"/>
      <w:marLeft w:val="0"/>
      <w:marRight w:val="0"/>
      <w:marTop w:val="0"/>
      <w:marBottom w:val="0"/>
      <w:divBdr>
        <w:top w:val="none" w:sz="0" w:space="0" w:color="auto"/>
        <w:left w:val="none" w:sz="0" w:space="0" w:color="auto"/>
        <w:bottom w:val="none" w:sz="0" w:space="0" w:color="auto"/>
        <w:right w:val="none" w:sz="0" w:space="0" w:color="auto"/>
      </w:divBdr>
    </w:div>
    <w:div w:id="1571883780">
      <w:bodyDiv w:val="1"/>
      <w:marLeft w:val="0"/>
      <w:marRight w:val="0"/>
      <w:marTop w:val="0"/>
      <w:marBottom w:val="0"/>
      <w:divBdr>
        <w:top w:val="none" w:sz="0" w:space="0" w:color="auto"/>
        <w:left w:val="none" w:sz="0" w:space="0" w:color="auto"/>
        <w:bottom w:val="none" w:sz="0" w:space="0" w:color="auto"/>
        <w:right w:val="none" w:sz="0" w:space="0" w:color="auto"/>
      </w:divBdr>
    </w:div>
    <w:div w:id="1706059721">
      <w:bodyDiv w:val="1"/>
      <w:marLeft w:val="0"/>
      <w:marRight w:val="0"/>
      <w:marTop w:val="0"/>
      <w:marBottom w:val="0"/>
      <w:divBdr>
        <w:top w:val="none" w:sz="0" w:space="0" w:color="auto"/>
        <w:left w:val="none" w:sz="0" w:space="0" w:color="auto"/>
        <w:bottom w:val="none" w:sz="0" w:space="0" w:color="auto"/>
        <w:right w:val="none" w:sz="0" w:space="0" w:color="auto"/>
      </w:divBdr>
    </w:div>
    <w:div w:id="1730960831">
      <w:bodyDiv w:val="1"/>
      <w:marLeft w:val="0"/>
      <w:marRight w:val="0"/>
      <w:marTop w:val="0"/>
      <w:marBottom w:val="0"/>
      <w:divBdr>
        <w:top w:val="none" w:sz="0" w:space="0" w:color="auto"/>
        <w:left w:val="none" w:sz="0" w:space="0" w:color="auto"/>
        <w:bottom w:val="none" w:sz="0" w:space="0" w:color="auto"/>
        <w:right w:val="none" w:sz="0" w:space="0" w:color="auto"/>
      </w:divBdr>
    </w:div>
    <w:div w:id="1788502047">
      <w:bodyDiv w:val="1"/>
      <w:marLeft w:val="0"/>
      <w:marRight w:val="0"/>
      <w:marTop w:val="0"/>
      <w:marBottom w:val="0"/>
      <w:divBdr>
        <w:top w:val="none" w:sz="0" w:space="0" w:color="auto"/>
        <w:left w:val="none" w:sz="0" w:space="0" w:color="auto"/>
        <w:bottom w:val="none" w:sz="0" w:space="0" w:color="auto"/>
        <w:right w:val="none" w:sz="0" w:space="0" w:color="auto"/>
      </w:divBdr>
    </w:div>
    <w:div w:id="20645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535d4830a91e3d63d8dff081d696330d">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2e19d1154c96648e38e93448ca4a3f7c"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enumeration value="Demir"/>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 xmlns="3301dedf-b972-4f3e-ad53-365b955a2e53">SV 201-300</Categorie>
    <SubSubCategorie xmlns="3301dedf-b972-4f3e-ad53-365b955a2e53">gecoördineerd</SubSubCategorie>
    <Legislatuur xmlns="5a174038-70d1-4bd0-a73d-419d63be8671">2019-2024</Legislatuur>
    <SubCategorie xmlns="3301dedf-b972-4f3e-ad53-365b955a2e53">JJ SV 211 / BS SV 208 / BD SV 112 / BW SV 504</SubCategorie>
    <Actueel_x003f_ xmlns="5a174038-70d1-4bd0-a73d-419d63be8671">true</Actueel_x003f_>
    <Minister xmlns="5a174038-70d1-4bd0-a73d-419d63be8671">Somers</Minister>
    <Weergave xmlns="5a174038-70d1-4bd0-a73d-419d63be8671">2020-2021</Weergave>
    <_dlc_DocId xmlns="f2018528-1da4-41c7-8a42-759687759166">HFBID-2109892079-7490</_dlc_DocId>
    <_dlc_DocIdUrl xmlns="f2018528-1da4-41c7-8a42-759687759166">
      <Url>https://vlaamseoverheid.sharepoint.com/sites/afb/Beleid/_layouts/15/DocIdRedir.aspx?ID=HFBID-2109892079-7490</Url>
      <Description>HFBID-2109892079-7490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776A9-14F8-40AB-ABFD-9CF7DFD2ACEB}">
  <ds:schemaRefs>
    <ds:schemaRef ds:uri="http://schemas.openxmlformats.org/officeDocument/2006/bibliography"/>
  </ds:schemaRefs>
</ds:datastoreItem>
</file>

<file path=customXml/itemProps2.xml><?xml version="1.0" encoding="utf-8"?>
<ds:datastoreItem xmlns:ds="http://schemas.openxmlformats.org/officeDocument/2006/customXml" ds:itemID="{4FE1F79A-42B9-4F0F-9C6D-B5F0F5ED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7B794-23E5-436D-A1D3-0CAF7072C36B}">
  <ds:schemaRefs>
    <ds:schemaRef ds:uri="http://schemas.microsoft.com/office/2006/metadata/properties"/>
    <ds:schemaRef ds:uri="http://schemas.microsoft.com/office/infopath/2007/PartnerControls"/>
    <ds:schemaRef ds:uri="3301dedf-b972-4f3e-ad53-365b955a2e53"/>
    <ds:schemaRef ds:uri="5a174038-70d1-4bd0-a73d-419d63be8671"/>
    <ds:schemaRef ds:uri="f2018528-1da4-41c7-8a42-759687759166"/>
  </ds:schemaRefs>
</ds:datastoreItem>
</file>

<file path=customXml/itemProps4.xml><?xml version="1.0" encoding="utf-8"?>
<ds:datastoreItem xmlns:ds="http://schemas.openxmlformats.org/officeDocument/2006/customXml" ds:itemID="{7D58CE08-A014-4F83-AEA2-0F5A0F4C7FF7}">
  <ds:schemaRefs>
    <ds:schemaRef ds:uri="http://schemas.microsoft.com/sharepoint/events"/>
  </ds:schemaRefs>
</ds:datastoreItem>
</file>

<file path=customXml/itemProps5.xml><?xml version="1.0" encoding="utf-8"?>
<ds:datastoreItem xmlns:ds="http://schemas.openxmlformats.org/officeDocument/2006/customXml" ds:itemID="{B281D098-1759-4207-8E30-210ADF9B2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833</Words>
  <Characters>4585</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Vanderheyden Griet</dc:creator>
  <cp:keywords/>
  <dc:description/>
  <cp:lastModifiedBy>Slootmans Ronny</cp:lastModifiedBy>
  <cp:revision>2</cp:revision>
  <dcterms:created xsi:type="dcterms:W3CDTF">2021-03-18T13:40:00Z</dcterms:created>
  <dcterms:modified xsi:type="dcterms:W3CDTF">2021-03-18T13:40:00Z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5c8b51f5-4b85-47c5-ba60-3fb7d4302a31</vt:lpwstr>
  </property>
</Properties>
</file>