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F128" w14:textId="0F2D475A" w:rsidR="00E445B2" w:rsidRDefault="00E445B2" w:rsidP="00F51FD8">
      <w:pPr>
        <w:pStyle w:val="Nummering"/>
        <w:numPr>
          <w:ilvl w:val="0"/>
          <w:numId w:val="0"/>
        </w:numPr>
        <w:ind w:left="425" w:hanging="425"/>
        <w:rPr>
          <w:rFonts w:ascii="Times New Roman" w:hAnsi="Times New Roman"/>
          <w:lang w:val="nl-BE"/>
        </w:rPr>
      </w:pPr>
    </w:p>
    <w:p w14:paraId="57170B0E" w14:textId="2A0FFD3E" w:rsidR="00F51FD8" w:rsidRDefault="00F51FD8" w:rsidP="00F51FD8">
      <w:pPr>
        <w:pStyle w:val="Nummering"/>
        <w:numPr>
          <w:ilvl w:val="0"/>
          <w:numId w:val="0"/>
        </w:numPr>
        <w:ind w:left="425" w:hanging="425"/>
        <w:rPr>
          <w:rFonts w:ascii="Times New Roman" w:hAnsi="Times New Roman"/>
          <w:lang w:val="nl-BE"/>
        </w:rPr>
      </w:pPr>
    </w:p>
    <w:p w14:paraId="4272EF3E" w14:textId="4E50EE72" w:rsidR="00F51FD8" w:rsidRDefault="00F51FD8" w:rsidP="00F51FD8">
      <w:pPr>
        <w:pStyle w:val="Nummering"/>
        <w:numPr>
          <w:ilvl w:val="0"/>
          <w:numId w:val="0"/>
        </w:numPr>
        <w:ind w:left="425" w:hanging="425"/>
        <w:rPr>
          <w:rFonts w:ascii="Times New Roman" w:hAnsi="Times New Roman"/>
          <w:lang w:val="nl-BE"/>
        </w:rPr>
      </w:pPr>
    </w:p>
    <w:p w14:paraId="11D86BDA" w14:textId="6D096708" w:rsidR="00F51FD8" w:rsidRPr="00F51FD8" w:rsidRDefault="00F51FD8" w:rsidP="00F51FD8">
      <w:pPr>
        <w:pStyle w:val="Nummering"/>
        <w:numPr>
          <w:ilvl w:val="0"/>
          <w:numId w:val="0"/>
        </w:numPr>
        <w:ind w:left="425" w:hanging="425"/>
        <w:rPr>
          <w:rFonts w:asciiTheme="minorHAnsi" w:hAnsiTheme="minorHAnsi" w:cstheme="minorHAnsi"/>
          <w:b/>
          <w:bCs/>
          <w:sz w:val="24"/>
          <w:szCs w:val="32"/>
          <w:lang w:val="nl-BE"/>
        </w:rPr>
      </w:pPr>
      <w:r w:rsidRPr="00F51FD8">
        <w:rPr>
          <w:rFonts w:asciiTheme="minorHAnsi" w:hAnsiTheme="minorHAnsi" w:cstheme="minorHAnsi"/>
          <w:b/>
          <w:bCs/>
          <w:sz w:val="24"/>
          <w:szCs w:val="32"/>
          <w:lang w:val="nl-BE"/>
        </w:rPr>
        <w:t>2. Bijlage 2</w:t>
      </w:r>
    </w:p>
    <w:p w14:paraId="72C95ED5" w14:textId="77777777" w:rsidR="00C0053F" w:rsidRPr="00623BC2" w:rsidRDefault="00C0053F" w:rsidP="00F51FD8">
      <w:pPr>
        <w:pStyle w:val="Nummering"/>
        <w:numPr>
          <w:ilvl w:val="0"/>
          <w:numId w:val="0"/>
        </w:numPr>
        <w:ind w:left="425" w:hanging="425"/>
        <w:rPr>
          <w:rFonts w:ascii="Times New Roman" w:hAnsi="Times New Roman"/>
          <w:lang w:val="nl-BE"/>
        </w:rPr>
      </w:pPr>
    </w:p>
    <w:p w14:paraId="5FB7FB00" w14:textId="32480A04" w:rsidR="00623BC2" w:rsidRDefault="00C0053F" w:rsidP="00623BC2">
      <w:pPr>
        <w:pStyle w:val="Nummering"/>
        <w:numPr>
          <w:ilvl w:val="0"/>
          <w:numId w:val="0"/>
        </w:numPr>
        <w:ind w:left="425" w:hanging="425"/>
        <w:rPr>
          <w:rFonts w:eastAsia="Verdana"/>
          <w:lang w:val="nl-BE"/>
        </w:rPr>
      </w:pPr>
      <w:r>
        <w:rPr>
          <w:rFonts w:eastAsia="Verdana"/>
          <w:lang w:val="nl-BE"/>
        </w:rPr>
        <w:t>Leader Meetjesland</w:t>
      </w:r>
    </w:p>
    <w:p w14:paraId="10B50004" w14:textId="233384D4" w:rsidR="00C0053F" w:rsidRDefault="00C0053F" w:rsidP="00623BC2">
      <w:pPr>
        <w:pStyle w:val="Nummering"/>
        <w:numPr>
          <w:ilvl w:val="0"/>
          <w:numId w:val="0"/>
        </w:numPr>
        <w:ind w:left="425" w:hanging="425"/>
        <w:rPr>
          <w:rFonts w:eastAsia="Verdana"/>
          <w:lang w:val="nl-BE"/>
        </w:rPr>
      </w:pPr>
      <w:r>
        <w:rPr>
          <w:rFonts w:eastAsia="Verdana"/>
          <w:lang w:val="nl-BE"/>
        </w:rPr>
        <w:t>In het Leadergebied Meetjesland werden 8 projectaanvragen ingediend. Zes daarvan werden goedgekeurd en staan beschreven in bijlage 1. De andere 2 werden onontvankelijk verklaard of afgekeurd.</w:t>
      </w:r>
    </w:p>
    <w:tbl>
      <w:tblPr>
        <w:tblStyle w:val="Tabelraster"/>
        <w:tblW w:w="5000" w:type="pct"/>
        <w:tblLook w:val="04A0" w:firstRow="1" w:lastRow="0" w:firstColumn="1" w:lastColumn="0" w:noHBand="0" w:noVBand="1"/>
      </w:tblPr>
      <w:tblGrid>
        <w:gridCol w:w="1409"/>
        <w:gridCol w:w="1745"/>
        <w:gridCol w:w="2984"/>
        <w:gridCol w:w="2922"/>
      </w:tblGrid>
      <w:tr w:rsidR="00C0053F" w14:paraId="6B89CA37" w14:textId="77777777" w:rsidTr="00C0053F">
        <w:tc>
          <w:tcPr>
            <w:tcW w:w="891" w:type="pct"/>
          </w:tcPr>
          <w:p w14:paraId="72CC0E2E" w14:textId="67D3E6BA" w:rsidR="00C0053F" w:rsidRPr="00C0053F" w:rsidRDefault="00C0053F" w:rsidP="00623BC2">
            <w:pPr>
              <w:pStyle w:val="Nummering"/>
              <w:numPr>
                <w:ilvl w:val="0"/>
                <w:numId w:val="0"/>
              </w:numPr>
              <w:rPr>
                <w:rFonts w:eastAsia="Verdana"/>
                <w:sz w:val="16"/>
                <w:szCs w:val="20"/>
                <w:lang w:val="nl-BE"/>
              </w:rPr>
            </w:pPr>
            <w:r w:rsidRPr="00C0053F">
              <w:rPr>
                <w:rFonts w:eastAsia="Verdana"/>
                <w:sz w:val="16"/>
                <w:szCs w:val="20"/>
                <w:lang w:val="nl-BE"/>
              </w:rPr>
              <w:t>Project</w:t>
            </w:r>
          </w:p>
        </w:tc>
        <w:tc>
          <w:tcPr>
            <w:tcW w:w="624" w:type="pct"/>
          </w:tcPr>
          <w:p w14:paraId="1948F452" w14:textId="55484006" w:rsidR="00C0053F" w:rsidRPr="00C0053F" w:rsidRDefault="00C0053F" w:rsidP="00623BC2">
            <w:pPr>
              <w:pStyle w:val="Nummering"/>
              <w:numPr>
                <w:ilvl w:val="0"/>
                <w:numId w:val="0"/>
              </w:numPr>
              <w:rPr>
                <w:rFonts w:eastAsia="Verdana"/>
                <w:sz w:val="16"/>
                <w:szCs w:val="20"/>
                <w:lang w:val="nl-BE"/>
              </w:rPr>
            </w:pPr>
            <w:r w:rsidRPr="00C0053F">
              <w:rPr>
                <w:rFonts w:eastAsia="Verdana"/>
                <w:sz w:val="16"/>
                <w:szCs w:val="20"/>
                <w:lang w:val="nl-BE"/>
              </w:rPr>
              <w:t>Promotor</w:t>
            </w:r>
          </w:p>
        </w:tc>
        <w:tc>
          <w:tcPr>
            <w:tcW w:w="1760" w:type="pct"/>
          </w:tcPr>
          <w:p w14:paraId="1ED1C023" w14:textId="7FD6A121" w:rsidR="00C0053F" w:rsidRPr="00C0053F" w:rsidRDefault="00C0053F" w:rsidP="00623BC2">
            <w:pPr>
              <w:pStyle w:val="Nummering"/>
              <w:numPr>
                <w:ilvl w:val="0"/>
                <w:numId w:val="0"/>
              </w:numPr>
              <w:rPr>
                <w:rFonts w:eastAsia="Verdana"/>
                <w:sz w:val="16"/>
                <w:szCs w:val="20"/>
                <w:lang w:val="nl-BE"/>
              </w:rPr>
            </w:pPr>
            <w:r w:rsidRPr="00C0053F">
              <w:rPr>
                <w:rFonts w:eastAsia="Verdana"/>
                <w:sz w:val="16"/>
                <w:szCs w:val="20"/>
                <w:lang w:val="nl-BE"/>
              </w:rPr>
              <w:t>Doelstellingen</w:t>
            </w:r>
          </w:p>
        </w:tc>
        <w:tc>
          <w:tcPr>
            <w:tcW w:w="1725" w:type="pct"/>
          </w:tcPr>
          <w:p w14:paraId="6FC4CA17" w14:textId="2A04C4DD" w:rsidR="00C0053F" w:rsidRPr="00C0053F" w:rsidRDefault="00C0053F" w:rsidP="00623BC2">
            <w:pPr>
              <w:pStyle w:val="Nummering"/>
              <w:numPr>
                <w:ilvl w:val="0"/>
                <w:numId w:val="0"/>
              </w:numPr>
              <w:rPr>
                <w:rFonts w:eastAsia="Verdana"/>
                <w:sz w:val="16"/>
                <w:szCs w:val="20"/>
                <w:lang w:val="nl-BE"/>
              </w:rPr>
            </w:pPr>
            <w:r w:rsidRPr="00C0053F">
              <w:rPr>
                <w:rFonts w:eastAsia="Verdana"/>
                <w:sz w:val="16"/>
                <w:szCs w:val="20"/>
                <w:lang w:val="nl-BE"/>
              </w:rPr>
              <w:t>Reden van afkeuren</w:t>
            </w:r>
          </w:p>
        </w:tc>
      </w:tr>
      <w:tr w:rsidR="00C0053F" w14:paraId="6F0DD7DF" w14:textId="77777777" w:rsidTr="00C0053F">
        <w:tc>
          <w:tcPr>
            <w:tcW w:w="891" w:type="pct"/>
          </w:tcPr>
          <w:p w14:paraId="201F958C" w14:textId="60DD991B" w:rsidR="00C0053F" w:rsidRPr="00C0053F" w:rsidRDefault="00C0053F" w:rsidP="00623BC2">
            <w:pPr>
              <w:pStyle w:val="Nummering"/>
              <w:numPr>
                <w:ilvl w:val="0"/>
                <w:numId w:val="0"/>
              </w:numPr>
              <w:rPr>
                <w:rFonts w:eastAsia="Verdana"/>
                <w:sz w:val="16"/>
                <w:szCs w:val="20"/>
                <w:lang w:val="nl-BE"/>
              </w:rPr>
            </w:pPr>
            <w:r>
              <w:rPr>
                <w:rFonts w:eastAsia="Verdana"/>
                <w:sz w:val="16"/>
                <w:szCs w:val="20"/>
                <w:lang w:val="nl-BE"/>
              </w:rPr>
              <w:t xml:space="preserve">Reconstructie van </w:t>
            </w:r>
            <w:proofErr w:type="spellStart"/>
            <w:r>
              <w:rPr>
                <w:rFonts w:eastAsia="Verdana"/>
                <w:sz w:val="16"/>
                <w:szCs w:val="20"/>
                <w:lang w:val="nl-BE"/>
              </w:rPr>
              <w:t>Rabot</w:t>
            </w:r>
            <w:proofErr w:type="spellEnd"/>
            <w:r>
              <w:rPr>
                <w:rFonts w:eastAsia="Verdana"/>
                <w:sz w:val="16"/>
                <w:szCs w:val="20"/>
                <w:lang w:val="nl-BE"/>
              </w:rPr>
              <w:t xml:space="preserve"> en hub van creativiteit op 750-jarige attractieve Lieve</w:t>
            </w:r>
          </w:p>
        </w:tc>
        <w:tc>
          <w:tcPr>
            <w:tcW w:w="624" w:type="pct"/>
          </w:tcPr>
          <w:p w14:paraId="76B8CF2F" w14:textId="59FE2D11" w:rsidR="00C0053F" w:rsidRPr="00C0053F" w:rsidRDefault="00C0053F" w:rsidP="00623BC2">
            <w:pPr>
              <w:pStyle w:val="Nummering"/>
              <w:numPr>
                <w:ilvl w:val="0"/>
                <w:numId w:val="0"/>
              </w:numPr>
              <w:rPr>
                <w:rFonts w:eastAsia="Verdana"/>
                <w:sz w:val="16"/>
                <w:szCs w:val="20"/>
                <w:lang w:val="nl-BE"/>
              </w:rPr>
            </w:pPr>
            <w:r>
              <w:rPr>
                <w:rFonts w:eastAsia="Verdana"/>
                <w:sz w:val="16"/>
                <w:szCs w:val="20"/>
                <w:lang w:val="nl-BE"/>
              </w:rPr>
              <w:t xml:space="preserve">Gemeente </w:t>
            </w:r>
            <w:proofErr w:type="spellStart"/>
            <w:r>
              <w:rPr>
                <w:rFonts w:eastAsia="Verdana"/>
                <w:sz w:val="16"/>
                <w:szCs w:val="20"/>
                <w:lang w:val="nl-BE"/>
              </w:rPr>
              <w:t>Lievegem</w:t>
            </w:r>
            <w:proofErr w:type="spellEnd"/>
          </w:p>
        </w:tc>
        <w:tc>
          <w:tcPr>
            <w:tcW w:w="1760" w:type="pct"/>
          </w:tcPr>
          <w:p w14:paraId="2AF1282D" w14:textId="31EB8AFC" w:rsidR="00C0053F" w:rsidRPr="00C0053F" w:rsidRDefault="00C0053F" w:rsidP="00C0053F">
            <w:pPr>
              <w:pStyle w:val="Nummering"/>
              <w:numPr>
                <w:ilvl w:val="0"/>
                <w:numId w:val="0"/>
              </w:numPr>
              <w:spacing w:line="276" w:lineRule="auto"/>
              <w:rPr>
                <w:rFonts w:eastAsia="Verdana"/>
                <w:sz w:val="16"/>
                <w:szCs w:val="20"/>
                <w:lang w:val="nl-BE"/>
              </w:rPr>
            </w:pPr>
            <w:r w:rsidRPr="00C0053F">
              <w:rPr>
                <w:rFonts w:eastAsia="Verdana"/>
                <w:sz w:val="16"/>
                <w:szCs w:val="20"/>
                <w:lang w:val="nl-BE"/>
              </w:rPr>
              <w:t xml:space="preserve">Mét de </w:t>
            </w:r>
            <w:proofErr w:type="spellStart"/>
            <w:r w:rsidRPr="00C0053F">
              <w:rPr>
                <w:rFonts w:eastAsia="Verdana"/>
                <w:sz w:val="16"/>
                <w:szCs w:val="20"/>
                <w:lang w:val="nl-BE"/>
              </w:rPr>
              <w:t>Lievegemnaren</w:t>
            </w:r>
            <w:proofErr w:type="spellEnd"/>
            <w:r w:rsidRPr="00C0053F">
              <w:rPr>
                <w:rFonts w:eastAsia="Verdana"/>
                <w:sz w:val="16"/>
                <w:szCs w:val="20"/>
                <w:lang w:val="nl-BE"/>
              </w:rPr>
              <w:t xml:space="preserve"> wil de gemeente een participatief project opzetten, van een plan tot de bouw van een </w:t>
            </w:r>
            <w:proofErr w:type="spellStart"/>
            <w:r w:rsidRPr="00C0053F">
              <w:rPr>
                <w:rFonts w:eastAsia="Verdana"/>
                <w:sz w:val="16"/>
                <w:szCs w:val="20"/>
                <w:lang w:val="nl-BE"/>
              </w:rPr>
              <w:t>rabot</w:t>
            </w:r>
            <w:proofErr w:type="spellEnd"/>
            <w:r w:rsidRPr="00C0053F">
              <w:rPr>
                <w:rFonts w:eastAsia="Verdana"/>
                <w:sz w:val="16"/>
                <w:szCs w:val="20"/>
                <w:lang w:val="nl-BE"/>
              </w:rPr>
              <w:t xml:space="preserve"> langs De Lieve, het oudste kanaal in Europa. Het meest authentieke deel van De Lieve bevindt zich namelijk op het grondgebied van Lievegem. Men zoekt samenwerking met scholen, met de creatieve ondersteuning en onderbouw van lokale creatieve krachten, leerlingen en docenten van de Kunstacademie en leerlingen en docenten van een technische school. In dit participatief project wil men vorm geven aan zowel de reconstructie van het </w:t>
            </w:r>
            <w:proofErr w:type="spellStart"/>
            <w:r w:rsidRPr="00C0053F">
              <w:rPr>
                <w:rFonts w:eastAsia="Verdana"/>
                <w:sz w:val="16"/>
                <w:szCs w:val="20"/>
                <w:lang w:val="nl-BE"/>
              </w:rPr>
              <w:t>rabot</w:t>
            </w:r>
            <w:proofErr w:type="spellEnd"/>
            <w:r w:rsidRPr="00C0053F">
              <w:rPr>
                <w:rFonts w:eastAsia="Verdana"/>
                <w:sz w:val="16"/>
                <w:szCs w:val="20"/>
                <w:lang w:val="nl-BE"/>
              </w:rPr>
              <w:t>, als aan de creatieve inkleding van het Lieve-traject onderweg naar de nieuwe attractiepool. Er zal tevens aandacht geschonken worden aan de waterproblematiek via een educatief luik.</w:t>
            </w:r>
          </w:p>
        </w:tc>
        <w:tc>
          <w:tcPr>
            <w:tcW w:w="1725" w:type="pct"/>
          </w:tcPr>
          <w:p w14:paraId="07BE206D" w14:textId="77777777" w:rsidR="00C0053F" w:rsidRPr="00C0053F" w:rsidRDefault="00C0053F" w:rsidP="00C0053F">
            <w:pPr>
              <w:pStyle w:val="Nummering"/>
              <w:numPr>
                <w:ilvl w:val="0"/>
                <w:numId w:val="0"/>
              </w:numPr>
              <w:rPr>
                <w:rFonts w:eastAsia="Verdana"/>
                <w:sz w:val="16"/>
                <w:szCs w:val="20"/>
                <w:lang w:val="nl-BE"/>
              </w:rPr>
            </w:pPr>
            <w:r w:rsidRPr="00C0053F">
              <w:rPr>
                <w:rFonts w:eastAsia="Verdana"/>
                <w:sz w:val="16"/>
                <w:szCs w:val="20"/>
                <w:lang w:val="nl-BE"/>
              </w:rPr>
              <w:t>De Plaatselijke Groep Meetjesland besliste op 17/12/2020 om het project af te keuren op basis van wijzigingen doorgevoerd door de promotor na het verstrijken van de deadline.</w:t>
            </w:r>
          </w:p>
          <w:p w14:paraId="23EEAE18" w14:textId="77777777" w:rsidR="00C0053F" w:rsidRPr="00C0053F" w:rsidRDefault="00C0053F" w:rsidP="00C0053F">
            <w:pPr>
              <w:pStyle w:val="Nummering"/>
              <w:numPr>
                <w:ilvl w:val="0"/>
                <w:numId w:val="0"/>
              </w:numPr>
              <w:rPr>
                <w:rFonts w:eastAsia="Verdana"/>
                <w:sz w:val="16"/>
                <w:szCs w:val="20"/>
                <w:lang w:val="nl-BE"/>
              </w:rPr>
            </w:pPr>
            <w:r w:rsidRPr="00C0053F">
              <w:rPr>
                <w:rFonts w:eastAsia="Verdana"/>
                <w:sz w:val="16"/>
                <w:szCs w:val="20"/>
                <w:lang w:val="nl-BE"/>
              </w:rPr>
              <w:t>Dit project kan niet beoordeeld worden volgens de normale procedure. Na de lezersgroep werden vragen gesteld bij de haalbaarheid van de begroting (te laag begroot) en de uitwerking van bepaalde inhoudelijke aspecten (participatief traject, uitvoering werken, communicatieluik) van het project.</w:t>
            </w:r>
          </w:p>
          <w:p w14:paraId="1699A6EA" w14:textId="77777777" w:rsidR="00C0053F" w:rsidRPr="00C0053F" w:rsidRDefault="00C0053F" w:rsidP="00C0053F">
            <w:pPr>
              <w:pStyle w:val="Nummering"/>
              <w:numPr>
                <w:ilvl w:val="0"/>
                <w:numId w:val="0"/>
              </w:numPr>
              <w:rPr>
                <w:rFonts w:eastAsia="Verdana"/>
                <w:sz w:val="16"/>
                <w:szCs w:val="20"/>
                <w:lang w:val="nl-BE"/>
              </w:rPr>
            </w:pPr>
            <w:r w:rsidRPr="00C0053F">
              <w:rPr>
                <w:rFonts w:eastAsia="Verdana"/>
                <w:sz w:val="16"/>
                <w:szCs w:val="20"/>
                <w:lang w:val="nl-BE"/>
              </w:rPr>
              <w:t xml:space="preserve">De promotor heeft voor de deadline van de definitieve indiening enkele zaken verduidelijkt. Daarnaast is het project geagendeerd op het schepencollege van </w:t>
            </w:r>
            <w:proofErr w:type="spellStart"/>
            <w:r w:rsidRPr="00C0053F">
              <w:rPr>
                <w:rFonts w:eastAsia="Verdana"/>
                <w:sz w:val="16"/>
                <w:szCs w:val="20"/>
                <w:lang w:val="nl-BE"/>
              </w:rPr>
              <w:t>Lievegem</w:t>
            </w:r>
            <w:proofErr w:type="spellEnd"/>
            <w:r w:rsidRPr="00C0053F">
              <w:rPr>
                <w:rFonts w:eastAsia="Verdana"/>
                <w:sz w:val="16"/>
                <w:szCs w:val="20"/>
                <w:lang w:val="nl-BE"/>
              </w:rPr>
              <w:t xml:space="preserve"> om het engagement te doen blijken. Het college heeft echter beslist om het totaalbudget te verminderen van 60.000€ naar 45.000€. Dit was niet op vraag van de PG en gebeurde na het verlopen van de deadline.</w:t>
            </w:r>
          </w:p>
          <w:p w14:paraId="1FA50A78" w14:textId="77777777" w:rsidR="00C0053F" w:rsidRPr="00C0053F" w:rsidRDefault="00C0053F" w:rsidP="00C0053F">
            <w:pPr>
              <w:pStyle w:val="Nummering"/>
              <w:numPr>
                <w:ilvl w:val="0"/>
                <w:numId w:val="0"/>
              </w:numPr>
              <w:rPr>
                <w:rFonts w:eastAsia="Verdana"/>
                <w:sz w:val="16"/>
                <w:szCs w:val="20"/>
                <w:lang w:val="nl-BE"/>
              </w:rPr>
            </w:pPr>
            <w:r w:rsidRPr="00C0053F">
              <w:rPr>
                <w:rFonts w:eastAsia="Verdana"/>
                <w:sz w:val="16"/>
                <w:szCs w:val="20"/>
                <w:lang w:val="nl-BE"/>
              </w:rPr>
              <w:t>De PG stelt dat het project door deze eenzijdig doorgevoerde budgetwijziging niet meer kan beoordeeld worden zoals het oorspronkelijk is ingediend.</w:t>
            </w:r>
          </w:p>
          <w:p w14:paraId="009F019F" w14:textId="1625F254" w:rsidR="00C0053F" w:rsidRPr="00C0053F" w:rsidRDefault="00C0053F" w:rsidP="00C0053F">
            <w:pPr>
              <w:pStyle w:val="Nummering"/>
              <w:numPr>
                <w:ilvl w:val="0"/>
                <w:numId w:val="0"/>
              </w:numPr>
              <w:rPr>
                <w:rFonts w:eastAsia="Verdana"/>
                <w:sz w:val="16"/>
                <w:szCs w:val="20"/>
                <w:lang w:val="nl-BE"/>
              </w:rPr>
            </w:pPr>
            <w:r w:rsidRPr="00C0053F">
              <w:rPr>
                <w:rFonts w:eastAsia="Verdana"/>
                <w:sz w:val="16"/>
                <w:szCs w:val="20"/>
                <w:lang w:val="nl-BE"/>
              </w:rPr>
              <w:t>De afkeuring gebeurt niet om inhoudelijke redenen want het projectidee wordt wel als waardevol aanschouwd.</w:t>
            </w:r>
          </w:p>
        </w:tc>
      </w:tr>
      <w:tr w:rsidR="00C0053F" w14:paraId="564FB987" w14:textId="77777777" w:rsidTr="00C0053F">
        <w:tc>
          <w:tcPr>
            <w:tcW w:w="891" w:type="pct"/>
          </w:tcPr>
          <w:p w14:paraId="011F7F2D" w14:textId="0F4D3101" w:rsidR="00C0053F" w:rsidRPr="00C0053F" w:rsidRDefault="00C0053F" w:rsidP="00623BC2">
            <w:pPr>
              <w:pStyle w:val="Nummering"/>
              <w:numPr>
                <w:ilvl w:val="0"/>
                <w:numId w:val="0"/>
              </w:numPr>
              <w:rPr>
                <w:rFonts w:eastAsia="Verdana"/>
                <w:sz w:val="16"/>
                <w:szCs w:val="20"/>
                <w:lang w:val="nl-BE"/>
              </w:rPr>
            </w:pPr>
            <w:r>
              <w:rPr>
                <w:rFonts w:eastAsia="Verdana"/>
                <w:sz w:val="16"/>
                <w:szCs w:val="20"/>
                <w:lang w:val="nl-BE"/>
              </w:rPr>
              <w:t>Landbouwers ondersteunen in het realiseren van oplossingen voor rationeel waterbeheer</w:t>
            </w:r>
          </w:p>
        </w:tc>
        <w:tc>
          <w:tcPr>
            <w:tcW w:w="624" w:type="pct"/>
          </w:tcPr>
          <w:p w14:paraId="305E956D" w14:textId="0C4A9F99" w:rsidR="00C0053F" w:rsidRPr="00C0053F" w:rsidRDefault="00C0053F" w:rsidP="00623BC2">
            <w:pPr>
              <w:pStyle w:val="Nummering"/>
              <w:numPr>
                <w:ilvl w:val="0"/>
                <w:numId w:val="0"/>
              </w:numPr>
              <w:rPr>
                <w:rFonts w:eastAsia="Verdana"/>
                <w:sz w:val="16"/>
                <w:szCs w:val="20"/>
                <w:lang w:val="nl-BE"/>
              </w:rPr>
            </w:pPr>
            <w:r>
              <w:rPr>
                <w:rFonts w:eastAsia="Verdana"/>
                <w:sz w:val="16"/>
                <w:szCs w:val="20"/>
                <w:lang w:val="nl-BE"/>
              </w:rPr>
              <w:t xml:space="preserve">Intergemeentelijke vereniging </w:t>
            </w:r>
            <w:proofErr w:type="spellStart"/>
            <w:r>
              <w:rPr>
                <w:rFonts w:eastAsia="Verdana"/>
                <w:sz w:val="16"/>
                <w:szCs w:val="20"/>
                <w:lang w:val="nl-BE"/>
              </w:rPr>
              <w:t>Veneco</w:t>
            </w:r>
            <w:proofErr w:type="spellEnd"/>
          </w:p>
        </w:tc>
        <w:tc>
          <w:tcPr>
            <w:tcW w:w="1760" w:type="pct"/>
          </w:tcPr>
          <w:p w14:paraId="157A13A5" w14:textId="77777777" w:rsidR="00C0053F" w:rsidRPr="00C0053F" w:rsidRDefault="00C0053F" w:rsidP="00C0053F">
            <w:pPr>
              <w:pStyle w:val="Nummering"/>
              <w:numPr>
                <w:ilvl w:val="0"/>
                <w:numId w:val="0"/>
              </w:numPr>
              <w:spacing w:line="276" w:lineRule="auto"/>
              <w:rPr>
                <w:rFonts w:eastAsia="Verdana"/>
                <w:sz w:val="16"/>
                <w:szCs w:val="20"/>
                <w:lang w:val="nl-BE"/>
              </w:rPr>
            </w:pPr>
            <w:r w:rsidRPr="00C0053F">
              <w:rPr>
                <w:rFonts w:eastAsia="Verdana"/>
                <w:sz w:val="16"/>
                <w:szCs w:val="20"/>
                <w:lang w:val="nl-BE"/>
              </w:rPr>
              <w:t xml:space="preserve">De </w:t>
            </w:r>
            <w:proofErr w:type="spellStart"/>
            <w:r w:rsidRPr="00C0053F">
              <w:rPr>
                <w:rFonts w:eastAsia="Verdana"/>
                <w:sz w:val="16"/>
                <w:szCs w:val="20"/>
                <w:lang w:val="nl-BE"/>
              </w:rPr>
              <w:t>Meetjeslandse</w:t>
            </w:r>
            <w:proofErr w:type="spellEnd"/>
            <w:r w:rsidRPr="00C0053F">
              <w:rPr>
                <w:rFonts w:eastAsia="Verdana"/>
                <w:sz w:val="16"/>
                <w:szCs w:val="20"/>
                <w:lang w:val="nl-BE"/>
              </w:rPr>
              <w:t xml:space="preserve"> landbouwsector heeft de voorbije jaren ernstig geleden onder de droogteproblematiek. Het regionaal </w:t>
            </w:r>
            <w:proofErr w:type="spellStart"/>
            <w:r w:rsidRPr="00C0053F">
              <w:rPr>
                <w:rFonts w:eastAsia="Verdana"/>
                <w:sz w:val="16"/>
                <w:szCs w:val="20"/>
                <w:lang w:val="nl-BE"/>
              </w:rPr>
              <w:t>Meetjeslandse</w:t>
            </w:r>
            <w:proofErr w:type="spellEnd"/>
            <w:r w:rsidRPr="00C0053F">
              <w:rPr>
                <w:rFonts w:eastAsia="Verdana"/>
                <w:sz w:val="16"/>
                <w:szCs w:val="20"/>
                <w:lang w:val="nl-BE"/>
              </w:rPr>
              <w:t xml:space="preserve"> klimaatadaptatieplan toont aan dat de effecten van de klimaatverandering in de komende decennia nog zullen toenemen en dat dit ernstige negatieve </w:t>
            </w:r>
            <w:r w:rsidRPr="00C0053F">
              <w:rPr>
                <w:rFonts w:eastAsia="Verdana"/>
                <w:sz w:val="16"/>
                <w:szCs w:val="20"/>
                <w:lang w:val="nl-BE"/>
              </w:rPr>
              <w:lastRenderedPageBreak/>
              <w:t>gevolgen voor de landbouwsector met zich mee zal brengen.</w:t>
            </w:r>
          </w:p>
          <w:p w14:paraId="075066B4" w14:textId="77777777" w:rsidR="00C0053F" w:rsidRPr="00C0053F" w:rsidRDefault="00C0053F" w:rsidP="00C0053F">
            <w:pPr>
              <w:pStyle w:val="Nummering"/>
              <w:numPr>
                <w:ilvl w:val="0"/>
                <w:numId w:val="0"/>
              </w:numPr>
              <w:spacing w:line="276" w:lineRule="auto"/>
              <w:rPr>
                <w:rFonts w:eastAsia="Verdana"/>
                <w:sz w:val="16"/>
                <w:szCs w:val="20"/>
                <w:lang w:val="nl-BE"/>
              </w:rPr>
            </w:pPr>
            <w:r w:rsidRPr="00C0053F">
              <w:rPr>
                <w:rFonts w:eastAsia="Verdana"/>
                <w:sz w:val="16"/>
                <w:szCs w:val="20"/>
                <w:lang w:val="nl-BE"/>
              </w:rPr>
              <w:t xml:space="preserve">Via dit project willen de projectpartners de </w:t>
            </w:r>
            <w:proofErr w:type="spellStart"/>
            <w:r w:rsidRPr="00C0053F">
              <w:rPr>
                <w:rFonts w:eastAsia="Verdana"/>
                <w:sz w:val="16"/>
                <w:szCs w:val="20"/>
                <w:lang w:val="nl-BE"/>
              </w:rPr>
              <w:t>Meetjeslandse</w:t>
            </w:r>
            <w:proofErr w:type="spellEnd"/>
            <w:r w:rsidRPr="00C0053F">
              <w:rPr>
                <w:rFonts w:eastAsia="Verdana"/>
                <w:sz w:val="16"/>
                <w:szCs w:val="20"/>
                <w:lang w:val="nl-BE"/>
              </w:rPr>
              <w:t xml:space="preserve"> landbouwers ondersteunen en begeleiden in hun zoektocht naar een rationeler watergebruik, zodat hun kansen vergroten om een duurzame en succesvolle onderneming uit te bouwen. </w:t>
            </w:r>
          </w:p>
          <w:p w14:paraId="3280BEFD" w14:textId="77777777" w:rsidR="00C0053F" w:rsidRPr="00C0053F" w:rsidRDefault="00C0053F" w:rsidP="00C0053F">
            <w:pPr>
              <w:pStyle w:val="Nummering"/>
              <w:numPr>
                <w:ilvl w:val="0"/>
                <w:numId w:val="0"/>
              </w:numPr>
              <w:spacing w:line="276" w:lineRule="auto"/>
              <w:rPr>
                <w:rFonts w:eastAsia="Verdana"/>
                <w:sz w:val="16"/>
                <w:szCs w:val="20"/>
                <w:lang w:val="nl-BE"/>
              </w:rPr>
            </w:pPr>
            <w:r w:rsidRPr="00C0053F">
              <w:rPr>
                <w:rFonts w:eastAsia="Verdana"/>
                <w:sz w:val="16"/>
                <w:szCs w:val="20"/>
                <w:lang w:val="nl-BE"/>
              </w:rPr>
              <w:t xml:space="preserve">Binnen het project zullen 4 jonge, startende landbouwers en 4 ervaren landbouwers, vertrekkende van een waterscan voor hun bedrijf, samen een begeleidingstraject doorlopen. De kennis en ervaring die uit deze begeleidingstrajecten voortvloeit, wordt via een lerend netwerk (kennisdelingsmomenten, </w:t>
            </w:r>
            <w:proofErr w:type="spellStart"/>
            <w:r w:rsidRPr="00C0053F">
              <w:rPr>
                <w:rFonts w:eastAsia="Verdana"/>
                <w:sz w:val="16"/>
                <w:szCs w:val="20"/>
                <w:lang w:val="nl-BE"/>
              </w:rPr>
              <w:t>webtool</w:t>
            </w:r>
            <w:proofErr w:type="spellEnd"/>
            <w:r w:rsidRPr="00C0053F">
              <w:rPr>
                <w:rFonts w:eastAsia="Verdana"/>
                <w:sz w:val="16"/>
                <w:szCs w:val="20"/>
                <w:lang w:val="nl-BE"/>
              </w:rPr>
              <w:t>, bedrijfsbezoeken) gedeeld met de ruimere Oost-Vlaamse landbouwsector.</w:t>
            </w:r>
          </w:p>
          <w:p w14:paraId="3797334B" w14:textId="102BC136" w:rsidR="00C0053F" w:rsidRPr="00C0053F" w:rsidRDefault="00C0053F" w:rsidP="00C0053F">
            <w:pPr>
              <w:pStyle w:val="Nummering"/>
              <w:numPr>
                <w:ilvl w:val="0"/>
                <w:numId w:val="0"/>
              </w:numPr>
              <w:spacing w:line="276" w:lineRule="auto"/>
              <w:rPr>
                <w:rFonts w:eastAsia="Verdana"/>
                <w:sz w:val="16"/>
                <w:szCs w:val="20"/>
                <w:lang w:val="nl-BE"/>
              </w:rPr>
            </w:pPr>
            <w:r w:rsidRPr="00C0053F">
              <w:rPr>
                <w:rFonts w:eastAsia="Verdana"/>
                <w:sz w:val="16"/>
                <w:szCs w:val="20"/>
                <w:lang w:val="nl-BE"/>
              </w:rPr>
              <w:t xml:space="preserve">Daarnaast worden via de analyse van de waterscans “complexe” projecten </w:t>
            </w:r>
            <w:proofErr w:type="spellStart"/>
            <w:r w:rsidRPr="00C0053F">
              <w:rPr>
                <w:rFonts w:eastAsia="Verdana"/>
                <w:sz w:val="16"/>
                <w:szCs w:val="20"/>
                <w:lang w:val="nl-BE"/>
              </w:rPr>
              <w:t>opgelijst</w:t>
            </w:r>
            <w:proofErr w:type="spellEnd"/>
            <w:r w:rsidRPr="00C0053F">
              <w:rPr>
                <w:rFonts w:eastAsia="Verdana"/>
                <w:sz w:val="16"/>
                <w:szCs w:val="20"/>
                <w:lang w:val="nl-BE"/>
              </w:rPr>
              <w:t xml:space="preserve"> en </w:t>
            </w:r>
            <w:proofErr w:type="spellStart"/>
            <w:r w:rsidRPr="00C0053F">
              <w:rPr>
                <w:rFonts w:eastAsia="Verdana"/>
                <w:sz w:val="16"/>
                <w:szCs w:val="20"/>
                <w:lang w:val="nl-BE"/>
              </w:rPr>
              <w:t>toegeleid</w:t>
            </w:r>
            <w:proofErr w:type="spellEnd"/>
            <w:r w:rsidRPr="00C0053F">
              <w:rPr>
                <w:rFonts w:eastAsia="Verdana"/>
                <w:sz w:val="16"/>
                <w:szCs w:val="20"/>
                <w:lang w:val="nl-BE"/>
              </w:rPr>
              <w:t xml:space="preserve"> naar organisaties die deze projecten kunnen opstarten of ondersteunen.</w:t>
            </w:r>
          </w:p>
        </w:tc>
        <w:tc>
          <w:tcPr>
            <w:tcW w:w="1725" w:type="pct"/>
          </w:tcPr>
          <w:p w14:paraId="26351390" w14:textId="77777777" w:rsidR="00310B0D" w:rsidRPr="00310B0D" w:rsidRDefault="00310B0D" w:rsidP="00310B0D">
            <w:pPr>
              <w:pStyle w:val="Nummering"/>
              <w:numPr>
                <w:ilvl w:val="0"/>
                <w:numId w:val="0"/>
              </w:numPr>
              <w:rPr>
                <w:rFonts w:eastAsia="Verdana"/>
                <w:sz w:val="16"/>
                <w:szCs w:val="20"/>
                <w:lang w:val="nl-BE"/>
              </w:rPr>
            </w:pPr>
            <w:r w:rsidRPr="00310B0D">
              <w:rPr>
                <w:rFonts w:eastAsia="Verdana"/>
                <w:sz w:val="16"/>
                <w:szCs w:val="20"/>
                <w:lang w:val="nl-BE"/>
              </w:rPr>
              <w:lastRenderedPageBreak/>
              <w:t xml:space="preserve">De Plaatselijke Groep Meetjesland besliste op 17/12/2020 om het project af te keuren op basis van het advies van de Technische Werkgroep: De technische werkgroep beoordeelt het onderwerp van dit project als erg waardevol voor de regio. Desondanks wordt het project niet ontvankelijk verklaard omdat het onderwerp niet rechtstreeks onder de Lokale </w:t>
            </w:r>
            <w:r w:rsidRPr="00310B0D">
              <w:rPr>
                <w:rFonts w:eastAsia="Verdana"/>
                <w:sz w:val="16"/>
                <w:szCs w:val="20"/>
                <w:lang w:val="nl-BE"/>
              </w:rPr>
              <w:lastRenderedPageBreak/>
              <w:t>Ontwikkelingsstrategie valt. Het project gaat in hoofdzaak om waterbeheer op landbouwbedrijven, wat volgens het LOS niet gesubsidieerd kan worden met LEADER-middelen. De promotor betrekt er weliswaar vier jonge en rurale ondernemers bij, zodat het project onder thema 3 (jonge en rurale ondernemers) uit het LOS kan vallen.</w:t>
            </w:r>
          </w:p>
          <w:p w14:paraId="68EFEC26" w14:textId="3D22EA0C" w:rsidR="00310B0D" w:rsidRPr="00310B0D" w:rsidRDefault="00310B0D" w:rsidP="00310B0D">
            <w:pPr>
              <w:pStyle w:val="Nummering"/>
              <w:numPr>
                <w:ilvl w:val="0"/>
                <w:numId w:val="0"/>
              </w:numPr>
              <w:rPr>
                <w:rFonts w:eastAsia="Verdana"/>
                <w:sz w:val="16"/>
                <w:szCs w:val="20"/>
                <w:lang w:val="nl-BE"/>
              </w:rPr>
            </w:pPr>
            <w:r w:rsidRPr="00310B0D">
              <w:rPr>
                <w:rFonts w:eastAsia="Verdana"/>
                <w:sz w:val="16"/>
                <w:szCs w:val="20"/>
                <w:lang w:val="nl-BE"/>
              </w:rPr>
              <w:t>De promotor is hiervan op de hoogte gebracht voor de aanmelding van het project. Bij de aanmelding kreeg de promotor volgende opmerking mee:</w:t>
            </w:r>
            <w:r>
              <w:rPr>
                <w:rFonts w:eastAsia="Verdana"/>
                <w:sz w:val="16"/>
                <w:szCs w:val="20"/>
                <w:lang w:val="nl-BE"/>
              </w:rPr>
              <w:t xml:space="preserve"> de</w:t>
            </w:r>
            <w:r w:rsidRPr="00310B0D">
              <w:rPr>
                <w:rFonts w:eastAsia="Verdana"/>
                <w:sz w:val="16"/>
                <w:szCs w:val="20"/>
                <w:lang w:val="nl-BE"/>
              </w:rPr>
              <w:t xml:space="preserve"> PG erkent het belang van de problematiek. De opmerking wordt wel gemaakt dat de hoofddoelstelling van het project</w:t>
            </w:r>
            <w:r>
              <w:rPr>
                <w:rFonts w:eastAsia="Verdana"/>
                <w:sz w:val="16"/>
                <w:szCs w:val="20"/>
                <w:lang w:val="nl-BE"/>
              </w:rPr>
              <w:t xml:space="preserve"> </w:t>
            </w:r>
            <w:r w:rsidRPr="00310B0D">
              <w:rPr>
                <w:rFonts w:eastAsia="Verdana"/>
                <w:sz w:val="16"/>
                <w:szCs w:val="20"/>
                <w:lang w:val="nl-BE"/>
              </w:rPr>
              <w:t>waterbeleid is en dit niet binnen het LOS past. Door het project te richten op jonge landbouwers wordt dit omzeild maar het blijft in de eerste plaats een project rond waterbeheer. Bijkomend wordt dit thema al opgenomen door de provinciale diensten Water en Landbouw en Platteland.</w:t>
            </w:r>
          </w:p>
          <w:p w14:paraId="3E97882B" w14:textId="5981AC75" w:rsidR="00C0053F" w:rsidRPr="00C0053F" w:rsidRDefault="00310B0D" w:rsidP="00310B0D">
            <w:pPr>
              <w:pStyle w:val="Nummering"/>
              <w:numPr>
                <w:ilvl w:val="0"/>
                <w:numId w:val="0"/>
              </w:numPr>
              <w:rPr>
                <w:rFonts w:eastAsia="Verdana"/>
                <w:sz w:val="16"/>
                <w:szCs w:val="20"/>
                <w:lang w:val="nl-BE"/>
              </w:rPr>
            </w:pPr>
            <w:r w:rsidRPr="00310B0D">
              <w:rPr>
                <w:rFonts w:eastAsia="Verdana"/>
                <w:sz w:val="16"/>
                <w:szCs w:val="20"/>
                <w:lang w:val="nl-BE"/>
              </w:rPr>
              <w:t>De technische werkgroep oordeelt dat de promotor niet voldoende tegemoet komt aan deze opmerking. Het betrekken van vier jonge en rurale ondernemers wordt niet aanzien als voldoende om aan te sluiten bij thema 3 van het LOS.</w:t>
            </w:r>
            <w:r>
              <w:rPr>
                <w:rFonts w:eastAsia="Verdana"/>
                <w:sz w:val="16"/>
                <w:szCs w:val="20"/>
                <w:lang w:val="nl-BE"/>
              </w:rPr>
              <w:t>’</w:t>
            </w:r>
          </w:p>
        </w:tc>
      </w:tr>
    </w:tbl>
    <w:p w14:paraId="0A7B8658" w14:textId="5EC1EC94" w:rsidR="00C0053F" w:rsidRDefault="00C0053F" w:rsidP="00623BC2">
      <w:pPr>
        <w:pStyle w:val="Nummering"/>
        <w:numPr>
          <w:ilvl w:val="0"/>
          <w:numId w:val="0"/>
        </w:numPr>
        <w:ind w:left="425" w:hanging="425"/>
        <w:rPr>
          <w:rFonts w:ascii="Times New Roman" w:hAnsi="Times New Roman"/>
          <w:lang w:val="nl-BE"/>
        </w:rPr>
      </w:pPr>
    </w:p>
    <w:p w14:paraId="509DCF11" w14:textId="3C65271C" w:rsidR="00310B0D" w:rsidRPr="00310B0D" w:rsidRDefault="00310B0D" w:rsidP="00623BC2">
      <w:pPr>
        <w:pStyle w:val="Nummering"/>
        <w:numPr>
          <w:ilvl w:val="0"/>
          <w:numId w:val="0"/>
        </w:numPr>
        <w:ind w:left="425" w:hanging="425"/>
        <w:rPr>
          <w:rFonts w:eastAsia="Verdana"/>
          <w:lang w:val="nl-BE"/>
        </w:rPr>
      </w:pPr>
      <w:r w:rsidRPr="00310B0D">
        <w:rPr>
          <w:rFonts w:eastAsia="Verdana"/>
          <w:lang w:val="nl-BE"/>
        </w:rPr>
        <w:t>Leader Grensregio Waasland</w:t>
      </w:r>
    </w:p>
    <w:p w14:paraId="290C8D79" w14:textId="79996FC7" w:rsidR="00310B0D" w:rsidRDefault="00310B0D" w:rsidP="00310B0D">
      <w:pPr>
        <w:pStyle w:val="Nummering"/>
        <w:numPr>
          <w:ilvl w:val="0"/>
          <w:numId w:val="0"/>
        </w:numPr>
        <w:ind w:left="425" w:hanging="425"/>
        <w:rPr>
          <w:rFonts w:eastAsia="Verdana"/>
          <w:lang w:val="nl-BE"/>
        </w:rPr>
      </w:pPr>
      <w:r>
        <w:rPr>
          <w:rFonts w:eastAsia="Verdana"/>
          <w:lang w:val="nl-BE"/>
        </w:rPr>
        <w:t xml:space="preserve">In het Leadergebied </w:t>
      </w:r>
      <w:r w:rsidR="00162850">
        <w:rPr>
          <w:rFonts w:eastAsia="Verdana"/>
          <w:lang w:val="nl-BE"/>
        </w:rPr>
        <w:t>Grensregio Waasland</w:t>
      </w:r>
      <w:r>
        <w:rPr>
          <w:rFonts w:eastAsia="Verdana"/>
          <w:lang w:val="nl-BE"/>
        </w:rPr>
        <w:t xml:space="preserve"> werden 2 projectaanvragen ingediend. Een daarvan werd goedgekeurd en staan beschreven in bijlage 1. Het andere project werd afgekeurd.</w:t>
      </w:r>
    </w:p>
    <w:tbl>
      <w:tblPr>
        <w:tblStyle w:val="Tabelraster"/>
        <w:tblW w:w="0" w:type="auto"/>
        <w:tblLook w:val="04A0" w:firstRow="1" w:lastRow="0" w:firstColumn="1" w:lastColumn="0" w:noHBand="0" w:noVBand="1"/>
      </w:tblPr>
      <w:tblGrid>
        <w:gridCol w:w="826"/>
        <w:gridCol w:w="1153"/>
        <w:gridCol w:w="3763"/>
        <w:gridCol w:w="3318"/>
      </w:tblGrid>
      <w:tr w:rsidR="00310B0D" w14:paraId="7072BA5E" w14:textId="77777777" w:rsidTr="00310B0D">
        <w:tc>
          <w:tcPr>
            <w:tcW w:w="0" w:type="auto"/>
          </w:tcPr>
          <w:p w14:paraId="01991B7C" w14:textId="542D6D4C" w:rsidR="00310B0D" w:rsidRPr="00310B0D" w:rsidRDefault="00310B0D" w:rsidP="00623BC2">
            <w:pPr>
              <w:pStyle w:val="Nummering"/>
              <w:numPr>
                <w:ilvl w:val="0"/>
                <w:numId w:val="0"/>
              </w:numPr>
              <w:rPr>
                <w:rFonts w:eastAsia="Verdana"/>
                <w:sz w:val="16"/>
                <w:szCs w:val="20"/>
                <w:lang w:val="nl-BE"/>
              </w:rPr>
            </w:pPr>
            <w:r w:rsidRPr="00310B0D">
              <w:rPr>
                <w:rFonts w:eastAsia="Verdana"/>
                <w:sz w:val="16"/>
                <w:szCs w:val="20"/>
                <w:lang w:val="nl-BE"/>
              </w:rPr>
              <w:t>Project</w:t>
            </w:r>
          </w:p>
        </w:tc>
        <w:tc>
          <w:tcPr>
            <w:tcW w:w="0" w:type="auto"/>
          </w:tcPr>
          <w:p w14:paraId="69C0107A" w14:textId="2442F132" w:rsidR="00310B0D" w:rsidRPr="00310B0D" w:rsidRDefault="00310B0D" w:rsidP="00623BC2">
            <w:pPr>
              <w:pStyle w:val="Nummering"/>
              <w:numPr>
                <w:ilvl w:val="0"/>
                <w:numId w:val="0"/>
              </w:numPr>
              <w:rPr>
                <w:rFonts w:eastAsia="Verdana"/>
                <w:sz w:val="16"/>
                <w:szCs w:val="20"/>
                <w:lang w:val="nl-BE"/>
              </w:rPr>
            </w:pPr>
            <w:r w:rsidRPr="00310B0D">
              <w:rPr>
                <w:rFonts w:eastAsia="Verdana"/>
                <w:sz w:val="16"/>
                <w:szCs w:val="20"/>
                <w:lang w:val="nl-BE"/>
              </w:rPr>
              <w:t>Promotor</w:t>
            </w:r>
          </w:p>
        </w:tc>
        <w:tc>
          <w:tcPr>
            <w:tcW w:w="0" w:type="auto"/>
          </w:tcPr>
          <w:p w14:paraId="08450D83" w14:textId="2F865E47" w:rsidR="00310B0D" w:rsidRPr="00310B0D" w:rsidRDefault="00310B0D" w:rsidP="00623BC2">
            <w:pPr>
              <w:pStyle w:val="Nummering"/>
              <w:numPr>
                <w:ilvl w:val="0"/>
                <w:numId w:val="0"/>
              </w:numPr>
              <w:rPr>
                <w:rFonts w:eastAsia="Verdana"/>
                <w:sz w:val="16"/>
                <w:szCs w:val="20"/>
                <w:lang w:val="nl-BE"/>
              </w:rPr>
            </w:pPr>
            <w:r w:rsidRPr="00310B0D">
              <w:rPr>
                <w:rFonts w:eastAsia="Verdana"/>
                <w:sz w:val="16"/>
                <w:szCs w:val="20"/>
                <w:lang w:val="nl-BE"/>
              </w:rPr>
              <w:t>Doelstelling</w:t>
            </w:r>
          </w:p>
        </w:tc>
        <w:tc>
          <w:tcPr>
            <w:tcW w:w="0" w:type="auto"/>
          </w:tcPr>
          <w:p w14:paraId="5C241CD3" w14:textId="34F8DB5B" w:rsidR="00310B0D" w:rsidRPr="00310B0D" w:rsidRDefault="00310B0D" w:rsidP="00623BC2">
            <w:pPr>
              <w:pStyle w:val="Nummering"/>
              <w:numPr>
                <w:ilvl w:val="0"/>
                <w:numId w:val="0"/>
              </w:numPr>
              <w:rPr>
                <w:rFonts w:eastAsia="Verdana"/>
                <w:sz w:val="16"/>
                <w:szCs w:val="20"/>
                <w:lang w:val="nl-BE"/>
              </w:rPr>
            </w:pPr>
            <w:r w:rsidRPr="00310B0D">
              <w:rPr>
                <w:rFonts w:eastAsia="Verdana"/>
                <w:sz w:val="16"/>
                <w:szCs w:val="20"/>
                <w:lang w:val="nl-BE"/>
              </w:rPr>
              <w:t>Reden van afkeur</w:t>
            </w:r>
            <w:r w:rsidR="00162850">
              <w:rPr>
                <w:rFonts w:eastAsia="Verdana"/>
                <w:sz w:val="16"/>
                <w:szCs w:val="20"/>
                <w:lang w:val="nl-BE"/>
              </w:rPr>
              <w:t>en</w:t>
            </w:r>
          </w:p>
        </w:tc>
      </w:tr>
      <w:tr w:rsidR="00310B0D" w14:paraId="7D7220A0" w14:textId="77777777" w:rsidTr="00310B0D">
        <w:tc>
          <w:tcPr>
            <w:tcW w:w="0" w:type="auto"/>
          </w:tcPr>
          <w:p w14:paraId="7C64A1AE" w14:textId="2B1FB7D2" w:rsidR="00310B0D" w:rsidRPr="00310B0D" w:rsidRDefault="00310B0D" w:rsidP="00623BC2">
            <w:pPr>
              <w:pStyle w:val="Nummering"/>
              <w:numPr>
                <w:ilvl w:val="0"/>
                <w:numId w:val="0"/>
              </w:numPr>
              <w:rPr>
                <w:rFonts w:eastAsia="Verdana"/>
                <w:sz w:val="16"/>
                <w:szCs w:val="20"/>
                <w:lang w:val="nl-BE"/>
              </w:rPr>
            </w:pPr>
            <w:r w:rsidRPr="00310B0D">
              <w:rPr>
                <w:rFonts w:eastAsia="Verdana"/>
                <w:sz w:val="16"/>
                <w:szCs w:val="20"/>
                <w:lang w:val="nl-BE"/>
              </w:rPr>
              <w:t>Beestig leren</w:t>
            </w:r>
          </w:p>
        </w:tc>
        <w:tc>
          <w:tcPr>
            <w:tcW w:w="0" w:type="auto"/>
          </w:tcPr>
          <w:p w14:paraId="3B9B8207" w14:textId="0F96040B" w:rsidR="00310B0D" w:rsidRPr="00310B0D" w:rsidRDefault="00310B0D" w:rsidP="00623BC2">
            <w:pPr>
              <w:pStyle w:val="Nummering"/>
              <w:numPr>
                <w:ilvl w:val="0"/>
                <w:numId w:val="0"/>
              </w:numPr>
              <w:rPr>
                <w:rFonts w:eastAsia="Verdana"/>
                <w:sz w:val="16"/>
                <w:szCs w:val="20"/>
                <w:lang w:val="nl-BE"/>
              </w:rPr>
            </w:pPr>
            <w:r w:rsidRPr="00310B0D">
              <w:rPr>
                <w:rFonts w:eastAsia="Verdana"/>
                <w:sz w:val="16"/>
                <w:szCs w:val="20"/>
                <w:lang w:val="nl-BE"/>
              </w:rPr>
              <w:t>Hogeschool Gent</w:t>
            </w:r>
          </w:p>
        </w:tc>
        <w:tc>
          <w:tcPr>
            <w:tcW w:w="0" w:type="auto"/>
          </w:tcPr>
          <w:p w14:paraId="57D81D16" w14:textId="072CA98B" w:rsidR="00310B0D" w:rsidRPr="00310B0D" w:rsidRDefault="00310B0D" w:rsidP="00310B0D">
            <w:pPr>
              <w:pStyle w:val="Nummering"/>
              <w:numPr>
                <w:ilvl w:val="0"/>
                <w:numId w:val="0"/>
              </w:numPr>
              <w:spacing w:line="276" w:lineRule="auto"/>
              <w:rPr>
                <w:rFonts w:eastAsia="Verdana"/>
                <w:sz w:val="16"/>
                <w:szCs w:val="20"/>
                <w:lang w:val="nl-BE"/>
              </w:rPr>
            </w:pPr>
            <w:r w:rsidRPr="00310B0D">
              <w:rPr>
                <w:rFonts w:eastAsia="Verdana"/>
                <w:sz w:val="16"/>
                <w:szCs w:val="20"/>
                <w:lang w:val="nl-BE"/>
              </w:rPr>
              <w:t xml:space="preserve">Beestig leren is een </w:t>
            </w:r>
            <w:proofErr w:type="spellStart"/>
            <w:r w:rsidRPr="00310B0D">
              <w:rPr>
                <w:rFonts w:eastAsia="Verdana"/>
                <w:sz w:val="16"/>
                <w:szCs w:val="20"/>
                <w:lang w:val="nl-BE"/>
              </w:rPr>
              <w:t>cocreatief</w:t>
            </w:r>
            <w:proofErr w:type="spellEnd"/>
            <w:r w:rsidRPr="00310B0D">
              <w:rPr>
                <w:rFonts w:eastAsia="Verdana"/>
                <w:sz w:val="16"/>
                <w:szCs w:val="20"/>
                <w:lang w:val="nl-BE"/>
              </w:rPr>
              <w:t xml:space="preserve"> landbouweducatieproject tussen </w:t>
            </w:r>
            <w:proofErr w:type="spellStart"/>
            <w:r w:rsidRPr="00310B0D">
              <w:rPr>
                <w:rFonts w:eastAsia="Verdana"/>
                <w:sz w:val="16"/>
                <w:szCs w:val="20"/>
                <w:lang w:val="nl-BE"/>
              </w:rPr>
              <w:t>Wase</w:t>
            </w:r>
            <w:proofErr w:type="spellEnd"/>
            <w:r w:rsidRPr="00310B0D">
              <w:rPr>
                <w:rFonts w:eastAsia="Verdana"/>
                <w:sz w:val="16"/>
                <w:szCs w:val="20"/>
                <w:lang w:val="nl-BE"/>
              </w:rPr>
              <w:t xml:space="preserve"> landbouwers, leerkrachten én kinderen, begeleid door hogescholen en </w:t>
            </w:r>
            <w:proofErr w:type="spellStart"/>
            <w:r w:rsidRPr="00310B0D">
              <w:rPr>
                <w:rFonts w:eastAsia="Verdana"/>
                <w:sz w:val="16"/>
                <w:szCs w:val="20"/>
                <w:lang w:val="nl-BE"/>
              </w:rPr>
              <w:t>onderwijsexperten</w:t>
            </w:r>
            <w:proofErr w:type="spellEnd"/>
            <w:r w:rsidRPr="00310B0D">
              <w:rPr>
                <w:rFonts w:eastAsia="Verdana"/>
                <w:sz w:val="16"/>
                <w:szCs w:val="20"/>
                <w:lang w:val="nl-BE"/>
              </w:rPr>
              <w:t xml:space="preserve">. Beestig leren wil kinderen tussen 8 en 12 jaar informeren over het gedrag en de behoeften van landbouwdieren, en hen in contact brengen met landbouwbedrijven uit hun directe omgeving. Door interactieve didactische methoden in te zetten zullen kinderen zelf de inspanningen die gebeuren om aan deze behoeften tegemoet te komen kunnen ervaren. Dit vergroot het vertrouwen tussen landbouwer en buurtbewoner en de sociale cohesie in plattelandsgemeenschappen, verbetert het imago van de dierlijke sector, en maakt duurzame landbouwinitiatieven toegankelijker. Concreet ontwikkelt dit </w:t>
            </w:r>
            <w:r w:rsidRPr="00310B0D">
              <w:rPr>
                <w:rFonts w:eastAsia="Verdana"/>
                <w:sz w:val="16"/>
                <w:szCs w:val="20"/>
                <w:lang w:val="nl-BE"/>
              </w:rPr>
              <w:lastRenderedPageBreak/>
              <w:t>project minstens 5 aantrekkelijke, activerende educatieve pakketten die onmiddellijk ingezet kunnen worden op een landbouwbedrijf of in de klas.</w:t>
            </w:r>
          </w:p>
        </w:tc>
        <w:tc>
          <w:tcPr>
            <w:tcW w:w="0" w:type="auto"/>
          </w:tcPr>
          <w:p w14:paraId="1D579986" w14:textId="146433AD" w:rsidR="00310B0D" w:rsidRPr="00310B0D" w:rsidRDefault="00310B0D" w:rsidP="00162850">
            <w:pPr>
              <w:pStyle w:val="Nummering"/>
              <w:numPr>
                <w:ilvl w:val="0"/>
                <w:numId w:val="0"/>
              </w:numPr>
              <w:spacing w:line="276" w:lineRule="auto"/>
              <w:rPr>
                <w:rFonts w:eastAsia="Verdana"/>
                <w:sz w:val="16"/>
                <w:szCs w:val="20"/>
                <w:lang w:val="nl-BE"/>
              </w:rPr>
            </w:pPr>
            <w:r w:rsidRPr="00310B0D">
              <w:rPr>
                <w:rFonts w:eastAsia="Verdana"/>
                <w:sz w:val="16"/>
                <w:szCs w:val="20"/>
                <w:lang w:val="nl-BE"/>
              </w:rPr>
              <w:lastRenderedPageBreak/>
              <w:t xml:space="preserve">De Plaatselijke Groep Grensregio Waasland besliste op 18/12/2020 om </w:t>
            </w:r>
            <w:r w:rsidR="009274D3">
              <w:rPr>
                <w:rFonts w:eastAsia="Verdana"/>
                <w:sz w:val="16"/>
                <w:szCs w:val="20"/>
                <w:lang w:val="nl-BE"/>
              </w:rPr>
              <w:t>het</w:t>
            </w:r>
            <w:r w:rsidRPr="00310B0D">
              <w:rPr>
                <w:rFonts w:eastAsia="Verdana"/>
                <w:sz w:val="16"/>
                <w:szCs w:val="20"/>
                <w:lang w:val="nl-BE"/>
              </w:rPr>
              <w:t xml:space="preserve"> project af te keuren op basis van de toegekende scores. De motivering luidt als volgt: Op vlak van gebiedsgerichtheid schiet de promotor sterk te kort, ondanks dat dit probleem reeds na de aanmelding aangekaart werd. In lijn met beslissingen bij de vorige projectoproepen vanuit de Plaatselijke Groep, is het belangrijk voor promotoren met een projectvoorstel om grondig te onderzoeken of er genoeg interesse is in de Grensregio Waasland. Dit gebeurde niet bij dit project.</w:t>
            </w:r>
          </w:p>
          <w:p w14:paraId="18E0A6F7" w14:textId="195ECFB2" w:rsidR="00310B0D" w:rsidRPr="00310B0D" w:rsidRDefault="00310B0D" w:rsidP="00162850">
            <w:pPr>
              <w:pStyle w:val="Nummering"/>
              <w:numPr>
                <w:ilvl w:val="0"/>
                <w:numId w:val="0"/>
              </w:numPr>
              <w:spacing w:line="276" w:lineRule="auto"/>
              <w:rPr>
                <w:rFonts w:eastAsia="Verdana"/>
                <w:sz w:val="16"/>
                <w:szCs w:val="20"/>
                <w:lang w:val="nl-BE"/>
              </w:rPr>
            </w:pPr>
            <w:r w:rsidRPr="00310B0D">
              <w:rPr>
                <w:rFonts w:eastAsia="Verdana"/>
                <w:sz w:val="16"/>
                <w:szCs w:val="20"/>
                <w:lang w:val="nl-BE"/>
              </w:rPr>
              <w:t xml:space="preserve">Omdat het niet realistisch </w:t>
            </w:r>
            <w:r w:rsidR="009274D3">
              <w:rPr>
                <w:rFonts w:eastAsia="Verdana"/>
                <w:sz w:val="16"/>
                <w:szCs w:val="20"/>
                <w:lang w:val="nl-BE"/>
              </w:rPr>
              <w:t>i</w:t>
            </w:r>
            <w:r w:rsidRPr="00310B0D">
              <w:rPr>
                <w:rFonts w:eastAsia="Verdana"/>
                <w:sz w:val="16"/>
                <w:szCs w:val="20"/>
                <w:lang w:val="nl-BE"/>
              </w:rPr>
              <w:t xml:space="preserve">s dat de promotor dit onderzoek nog kan </w:t>
            </w:r>
            <w:r w:rsidRPr="00310B0D">
              <w:rPr>
                <w:rFonts w:eastAsia="Verdana"/>
                <w:sz w:val="16"/>
                <w:szCs w:val="20"/>
                <w:lang w:val="nl-BE"/>
              </w:rPr>
              <w:lastRenderedPageBreak/>
              <w:t>voeren voor de beslissingsvergadering, gaf de Plaatselijke Groep dit project geen kans om te herwerken binnen deze oproep. Door de sterke mondelinge verdediging van het project wordt</w:t>
            </w:r>
            <w:r w:rsidR="00162850">
              <w:rPr>
                <w:rFonts w:eastAsia="Verdana"/>
                <w:sz w:val="16"/>
                <w:szCs w:val="20"/>
                <w:lang w:val="nl-BE"/>
              </w:rPr>
              <w:t xml:space="preserve"> </w:t>
            </w:r>
            <w:r w:rsidRPr="00310B0D">
              <w:rPr>
                <w:rFonts w:eastAsia="Verdana"/>
                <w:sz w:val="16"/>
                <w:szCs w:val="20"/>
                <w:lang w:val="nl-BE"/>
              </w:rPr>
              <w:t>voorgesteld aan de kandidaat</w:t>
            </w:r>
            <w:r w:rsidR="00162850">
              <w:rPr>
                <w:rFonts w:eastAsia="Verdana"/>
                <w:sz w:val="16"/>
                <w:szCs w:val="20"/>
                <w:lang w:val="nl-BE"/>
              </w:rPr>
              <w:t xml:space="preserve"> </w:t>
            </w:r>
            <w:r w:rsidRPr="00310B0D">
              <w:rPr>
                <w:rFonts w:eastAsia="Verdana"/>
                <w:sz w:val="16"/>
                <w:szCs w:val="20"/>
                <w:lang w:val="nl-BE"/>
              </w:rPr>
              <w:t>promotor om dit project alsnog in een volgende oproep in te dienen.</w:t>
            </w:r>
          </w:p>
        </w:tc>
      </w:tr>
    </w:tbl>
    <w:p w14:paraId="0F9A2F12" w14:textId="4D430C74" w:rsidR="00310B0D" w:rsidRDefault="00310B0D" w:rsidP="00623BC2">
      <w:pPr>
        <w:pStyle w:val="Nummering"/>
        <w:numPr>
          <w:ilvl w:val="0"/>
          <w:numId w:val="0"/>
        </w:numPr>
        <w:ind w:left="425" w:hanging="425"/>
        <w:rPr>
          <w:rFonts w:ascii="Times New Roman" w:hAnsi="Times New Roman"/>
          <w:lang w:val="nl-BE"/>
        </w:rPr>
      </w:pPr>
    </w:p>
    <w:p w14:paraId="0E877456" w14:textId="7891C8BA" w:rsidR="00162850" w:rsidRPr="00310B0D" w:rsidRDefault="00162850" w:rsidP="00162850">
      <w:pPr>
        <w:pStyle w:val="Nummering"/>
        <w:numPr>
          <w:ilvl w:val="0"/>
          <w:numId w:val="0"/>
        </w:numPr>
        <w:ind w:left="425" w:hanging="425"/>
        <w:rPr>
          <w:rFonts w:eastAsia="Verdana"/>
          <w:lang w:val="nl-BE"/>
        </w:rPr>
      </w:pPr>
      <w:r w:rsidRPr="00310B0D">
        <w:rPr>
          <w:rFonts w:eastAsia="Verdana"/>
          <w:lang w:val="nl-BE"/>
        </w:rPr>
        <w:t xml:space="preserve">Leader </w:t>
      </w:r>
      <w:r>
        <w:rPr>
          <w:rFonts w:eastAsia="Verdana"/>
          <w:lang w:val="nl-BE"/>
        </w:rPr>
        <w:t>Vlaamse Ardennen</w:t>
      </w:r>
    </w:p>
    <w:p w14:paraId="7D86AECD" w14:textId="65C8253F" w:rsidR="00162850" w:rsidRDefault="00162850" w:rsidP="00162850">
      <w:pPr>
        <w:pStyle w:val="Nummering"/>
        <w:numPr>
          <w:ilvl w:val="0"/>
          <w:numId w:val="0"/>
        </w:numPr>
        <w:ind w:left="425" w:hanging="425"/>
        <w:rPr>
          <w:rFonts w:eastAsia="Verdana"/>
          <w:lang w:val="nl-BE"/>
        </w:rPr>
      </w:pPr>
      <w:r>
        <w:rPr>
          <w:rFonts w:eastAsia="Verdana"/>
          <w:lang w:val="nl-BE"/>
        </w:rPr>
        <w:t>In het Leadergebied Vlaamse Ardennen werden 4 projectaanvragen ingediend. Twee daarvan werden goedgekeurd en staan beschreven in bijlage 1. De andere twee projecten werden afgekeurd.</w:t>
      </w:r>
    </w:p>
    <w:tbl>
      <w:tblPr>
        <w:tblStyle w:val="Tabelraster"/>
        <w:tblW w:w="5000" w:type="pct"/>
        <w:tblLook w:val="04A0" w:firstRow="1" w:lastRow="0" w:firstColumn="1" w:lastColumn="0" w:noHBand="0" w:noVBand="1"/>
      </w:tblPr>
      <w:tblGrid>
        <w:gridCol w:w="1749"/>
        <w:gridCol w:w="1997"/>
        <w:gridCol w:w="2629"/>
        <w:gridCol w:w="2685"/>
      </w:tblGrid>
      <w:tr w:rsidR="00162850" w14:paraId="4059CA8E" w14:textId="77777777" w:rsidTr="005A615A">
        <w:tc>
          <w:tcPr>
            <w:tcW w:w="965" w:type="pct"/>
          </w:tcPr>
          <w:p w14:paraId="59780994" w14:textId="1BC4C5E1" w:rsidR="00162850" w:rsidRPr="00162850" w:rsidRDefault="00162850" w:rsidP="00162850">
            <w:pPr>
              <w:pStyle w:val="Nummering"/>
              <w:numPr>
                <w:ilvl w:val="0"/>
                <w:numId w:val="0"/>
              </w:numPr>
              <w:rPr>
                <w:rFonts w:eastAsia="Verdana"/>
                <w:sz w:val="16"/>
                <w:szCs w:val="20"/>
                <w:lang w:val="nl-BE"/>
              </w:rPr>
            </w:pPr>
            <w:r w:rsidRPr="00162850">
              <w:rPr>
                <w:rFonts w:eastAsia="Verdana"/>
                <w:sz w:val="16"/>
                <w:szCs w:val="20"/>
                <w:lang w:val="nl-BE"/>
              </w:rPr>
              <w:t>Project</w:t>
            </w:r>
          </w:p>
        </w:tc>
        <w:tc>
          <w:tcPr>
            <w:tcW w:w="1102" w:type="pct"/>
          </w:tcPr>
          <w:p w14:paraId="6D145572" w14:textId="295A4DA8" w:rsidR="00162850" w:rsidRPr="00162850" w:rsidRDefault="00162850" w:rsidP="00162850">
            <w:pPr>
              <w:pStyle w:val="Nummering"/>
              <w:numPr>
                <w:ilvl w:val="0"/>
                <w:numId w:val="0"/>
              </w:numPr>
              <w:rPr>
                <w:rFonts w:eastAsia="Verdana"/>
                <w:sz w:val="16"/>
                <w:szCs w:val="20"/>
                <w:lang w:val="nl-BE"/>
              </w:rPr>
            </w:pPr>
            <w:r w:rsidRPr="00162850">
              <w:rPr>
                <w:rFonts w:eastAsia="Verdana"/>
                <w:sz w:val="16"/>
                <w:szCs w:val="20"/>
                <w:lang w:val="nl-BE"/>
              </w:rPr>
              <w:t>Promotor</w:t>
            </w:r>
          </w:p>
        </w:tc>
        <w:tc>
          <w:tcPr>
            <w:tcW w:w="1451" w:type="pct"/>
          </w:tcPr>
          <w:p w14:paraId="401ED8B8" w14:textId="3425CDD9" w:rsidR="00162850" w:rsidRPr="00162850" w:rsidRDefault="00162850" w:rsidP="00162850">
            <w:pPr>
              <w:pStyle w:val="Nummering"/>
              <w:numPr>
                <w:ilvl w:val="0"/>
                <w:numId w:val="0"/>
              </w:numPr>
              <w:rPr>
                <w:rFonts w:eastAsia="Verdana"/>
                <w:sz w:val="16"/>
                <w:szCs w:val="20"/>
                <w:lang w:val="nl-BE"/>
              </w:rPr>
            </w:pPr>
            <w:r w:rsidRPr="00162850">
              <w:rPr>
                <w:rFonts w:eastAsia="Verdana"/>
                <w:sz w:val="16"/>
                <w:szCs w:val="20"/>
                <w:lang w:val="nl-BE"/>
              </w:rPr>
              <w:t>Doelstelling</w:t>
            </w:r>
          </w:p>
        </w:tc>
        <w:tc>
          <w:tcPr>
            <w:tcW w:w="1482" w:type="pct"/>
          </w:tcPr>
          <w:p w14:paraId="7A6CF0AB" w14:textId="475C8ABE" w:rsidR="00162850" w:rsidRPr="00162850" w:rsidRDefault="00162850" w:rsidP="00162850">
            <w:pPr>
              <w:pStyle w:val="Nummering"/>
              <w:numPr>
                <w:ilvl w:val="0"/>
                <w:numId w:val="0"/>
              </w:numPr>
              <w:rPr>
                <w:rFonts w:eastAsia="Verdana"/>
                <w:sz w:val="16"/>
                <w:szCs w:val="20"/>
                <w:lang w:val="nl-BE"/>
              </w:rPr>
            </w:pPr>
            <w:r w:rsidRPr="00162850">
              <w:rPr>
                <w:rFonts w:eastAsia="Verdana"/>
                <w:sz w:val="16"/>
                <w:szCs w:val="20"/>
                <w:lang w:val="nl-BE"/>
              </w:rPr>
              <w:t>Reden van afkeuren</w:t>
            </w:r>
          </w:p>
        </w:tc>
      </w:tr>
      <w:tr w:rsidR="00162850" w14:paraId="576854C9" w14:textId="77777777" w:rsidTr="005A615A">
        <w:tc>
          <w:tcPr>
            <w:tcW w:w="965" w:type="pct"/>
          </w:tcPr>
          <w:p w14:paraId="4FBC7BEE" w14:textId="10067F09" w:rsidR="00162850" w:rsidRPr="00162850" w:rsidRDefault="00162850" w:rsidP="00162850">
            <w:pPr>
              <w:pStyle w:val="Nummering"/>
              <w:numPr>
                <w:ilvl w:val="0"/>
                <w:numId w:val="0"/>
              </w:numPr>
              <w:rPr>
                <w:rFonts w:eastAsia="Verdana"/>
                <w:sz w:val="16"/>
                <w:szCs w:val="20"/>
                <w:lang w:val="nl-BE"/>
              </w:rPr>
            </w:pPr>
            <w:r>
              <w:rPr>
                <w:rFonts w:eastAsia="Verdana"/>
                <w:sz w:val="16"/>
                <w:szCs w:val="20"/>
                <w:lang w:val="nl-BE"/>
              </w:rPr>
              <w:t>De isolementsnoeiers</w:t>
            </w:r>
          </w:p>
        </w:tc>
        <w:tc>
          <w:tcPr>
            <w:tcW w:w="1102" w:type="pct"/>
          </w:tcPr>
          <w:p w14:paraId="0CEB4B35" w14:textId="1B892B88" w:rsidR="00162850" w:rsidRPr="00162850" w:rsidRDefault="00162850" w:rsidP="00162850">
            <w:pPr>
              <w:pStyle w:val="Nummering"/>
              <w:numPr>
                <w:ilvl w:val="0"/>
                <w:numId w:val="0"/>
              </w:numPr>
              <w:rPr>
                <w:rFonts w:eastAsia="Verdana"/>
                <w:sz w:val="16"/>
                <w:szCs w:val="20"/>
                <w:lang w:val="nl-BE"/>
              </w:rPr>
            </w:pPr>
            <w:r>
              <w:rPr>
                <w:rFonts w:eastAsia="Verdana"/>
                <w:sz w:val="16"/>
                <w:szCs w:val="20"/>
                <w:lang w:val="nl-BE"/>
              </w:rPr>
              <w:t>Regionaal Steunpunt voor Welzijnsbevordering en Sociale Impulsen</w:t>
            </w:r>
          </w:p>
        </w:tc>
        <w:tc>
          <w:tcPr>
            <w:tcW w:w="1451" w:type="pct"/>
          </w:tcPr>
          <w:p w14:paraId="39B0D964" w14:textId="673F1AD0" w:rsidR="00162850" w:rsidRPr="00162850" w:rsidRDefault="00162850" w:rsidP="00162850">
            <w:pPr>
              <w:pStyle w:val="Nummering"/>
              <w:numPr>
                <w:ilvl w:val="0"/>
                <w:numId w:val="0"/>
              </w:numPr>
              <w:spacing w:line="276" w:lineRule="auto"/>
              <w:rPr>
                <w:rFonts w:eastAsia="Verdana"/>
                <w:sz w:val="16"/>
                <w:szCs w:val="20"/>
                <w:lang w:val="nl-BE"/>
              </w:rPr>
            </w:pPr>
            <w:r w:rsidRPr="00162850">
              <w:rPr>
                <w:rFonts w:eastAsia="Verdana"/>
                <w:sz w:val="16"/>
                <w:szCs w:val="20"/>
                <w:lang w:val="nl-BE"/>
              </w:rPr>
              <w:t>Vereenzaming slaat extra toe als men ook al geen gebruik kan maken van de digitale hulpmiddelen. Er zijn tal van redenen waarom mensen niet mee zijn, achterop geraken, met steeds minder contacten. Het</w:t>
            </w:r>
            <w:r>
              <w:rPr>
                <w:rFonts w:eastAsia="Verdana"/>
                <w:sz w:val="16"/>
                <w:szCs w:val="20"/>
                <w:lang w:val="nl-BE"/>
              </w:rPr>
              <w:t xml:space="preserve"> project</w:t>
            </w:r>
            <w:r w:rsidRPr="00162850">
              <w:rPr>
                <w:rFonts w:eastAsia="Verdana"/>
                <w:sz w:val="16"/>
                <w:szCs w:val="20"/>
                <w:lang w:val="nl-BE"/>
              </w:rPr>
              <w:t xml:space="preserve"> Isolementsnoeier pakt dit aan door precies in beeld te brengen hoe iemand het best geholpen wordt. De sociale dienst van de gemeente krijgt daartoe een handig werkinstrument. Vrijwilligers die mee het isolement van mensen willen wegsnoeien krijgen een aangepaste vorming. Belangrijk is ook de inrichting van leerrijke ontdekkingsmomenten die al meteen isolement helpen doorbreken.</w:t>
            </w:r>
          </w:p>
        </w:tc>
        <w:tc>
          <w:tcPr>
            <w:tcW w:w="1482" w:type="pct"/>
          </w:tcPr>
          <w:p w14:paraId="23FA22C1" w14:textId="77777777" w:rsidR="00162850" w:rsidRPr="00162850" w:rsidRDefault="00162850" w:rsidP="00162850">
            <w:pPr>
              <w:pStyle w:val="Nummering"/>
              <w:numPr>
                <w:ilvl w:val="0"/>
                <w:numId w:val="0"/>
              </w:numPr>
              <w:spacing w:line="276" w:lineRule="auto"/>
              <w:rPr>
                <w:rFonts w:eastAsia="Verdana"/>
                <w:sz w:val="16"/>
                <w:szCs w:val="20"/>
                <w:lang w:val="nl-BE"/>
              </w:rPr>
            </w:pPr>
            <w:r w:rsidRPr="00162850">
              <w:rPr>
                <w:rFonts w:eastAsia="Verdana"/>
                <w:sz w:val="16"/>
                <w:szCs w:val="20"/>
                <w:lang w:val="nl-BE"/>
              </w:rPr>
              <w:t xml:space="preserve">Na de mondelinge toelichting op de </w:t>
            </w:r>
            <w:proofErr w:type="spellStart"/>
            <w:r w:rsidRPr="00162850">
              <w:rPr>
                <w:rFonts w:eastAsia="Verdana"/>
                <w:sz w:val="16"/>
                <w:szCs w:val="20"/>
                <w:lang w:val="nl-BE"/>
              </w:rPr>
              <w:t>lezersgroepvergadering</w:t>
            </w:r>
            <w:proofErr w:type="spellEnd"/>
            <w:r w:rsidRPr="00162850">
              <w:rPr>
                <w:rFonts w:eastAsia="Verdana"/>
                <w:sz w:val="16"/>
                <w:szCs w:val="20"/>
                <w:lang w:val="nl-BE"/>
              </w:rPr>
              <w:t xml:space="preserve"> werden nog enkele toelichtingen gevraagd. De nodige aanpassingen werden in het e-loket aangevuld. De Plaatselijke Groep oordeelde dat het project in het kader van de koepeloproep minder goed scoort op het betrekken van verschillende lokale actoren en inzet op sterke partnerschappen. Het project focust op 2 gemeenten. Hierdoor kwam het project op de 3de plaats terecht. Bij het bekijken van het beschikbaar budget werd vastgesteld dat er onvoldoende budget is om dit project te subsidiëren.</w:t>
            </w:r>
          </w:p>
          <w:p w14:paraId="5090A074" w14:textId="4E141B02" w:rsidR="00162850" w:rsidRPr="00162850" w:rsidRDefault="00162850" w:rsidP="00162850">
            <w:pPr>
              <w:pStyle w:val="Nummering"/>
              <w:numPr>
                <w:ilvl w:val="0"/>
                <w:numId w:val="0"/>
              </w:numPr>
              <w:spacing w:line="276" w:lineRule="auto"/>
              <w:rPr>
                <w:rFonts w:eastAsia="Verdana"/>
                <w:sz w:val="16"/>
                <w:szCs w:val="20"/>
                <w:lang w:val="nl-BE"/>
              </w:rPr>
            </w:pPr>
            <w:r w:rsidRPr="00162850">
              <w:rPr>
                <w:rFonts w:eastAsia="Verdana"/>
                <w:sz w:val="16"/>
                <w:szCs w:val="20"/>
                <w:lang w:val="nl-BE"/>
              </w:rPr>
              <w:t>Op de Plaatselijke Groep Vlaamse Ardennen van 16/12/2019 werd het project finaal beoordeeld. Op basis van een rangschikking van de ingediende projecten en het beschikbare budget, komt het project niet in aanmerking voor subsidiering. Inhoudelijk wil de Plaatselijke Groep meegeven dat het ging om een goed uitgewerkt project. In het kader van de oproep naar koepelprojecten was er in grote mate aandacht voor de sterke partnerschappen en betrekking van lokale actoren. Dit was een aandachtspunt dat minder werd beantwoord in deze projectaanvraag wegens de focus op slechts twee gemeenten binnen de Vlaamse Ardennen.</w:t>
            </w:r>
          </w:p>
        </w:tc>
      </w:tr>
      <w:tr w:rsidR="00162850" w14:paraId="05C6595C" w14:textId="77777777" w:rsidTr="005A615A">
        <w:tc>
          <w:tcPr>
            <w:tcW w:w="965" w:type="pct"/>
          </w:tcPr>
          <w:p w14:paraId="58898A45" w14:textId="082E052B" w:rsidR="00162850" w:rsidRPr="00162850" w:rsidRDefault="005A615A" w:rsidP="00162850">
            <w:pPr>
              <w:pStyle w:val="Nummering"/>
              <w:numPr>
                <w:ilvl w:val="0"/>
                <w:numId w:val="0"/>
              </w:numPr>
              <w:rPr>
                <w:rFonts w:eastAsia="Verdana"/>
                <w:sz w:val="16"/>
                <w:szCs w:val="20"/>
                <w:lang w:val="nl-BE"/>
              </w:rPr>
            </w:pPr>
            <w:r>
              <w:rPr>
                <w:rFonts w:eastAsia="Verdana"/>
                <w:sz w:val="16"/>
                <w:szCs w:val="20"/>
                <w:lang w:val="nl-BE"/>
              </w:rPr>
              <w:lastRenderedPageBreak/>
              <w:t>De infrascan</w:t>
            </w:r>
          </w:p>
        </w:tc>
        <w:tc>
          <w:tcPr>
            <w:tcW w:w="1102" w:type="pct"/>
          </w:tcPr>
          <w:p w14:paraId="2F8A5E72" w14:textId="5E450B3A" w:rsidR="00162850" w:rsidRPr="00162850" w:rsidRDefault="005A615A" w:rsidP="00162850">
            <w:pPr>
              <w:pStyle w:val="Nummering"/>
              <w:numPr>
                <w:ilvl w:val="0"/>
                <w:numId w:val="0"/>
              </w:numPr>
              <w:rPr>
                <w:rFonts w:eastAsia="Verdana"/>
                <w:sz w:val="16"/>
                <w:szCs w:val="20"/>
                <w:lang w:val="nl-BE"/>
              </w:rPr>
            </w:pPr>
            <w:r>
              <w:rPr>
                <w:rFonts w:eastAsia="Verdana"/>
                <w:sz w:val="16"/>
                <w:szCs w:val="20"/>
                <w:lang w:val="nl-BE"/>
              </w:rPr>
              <w:t>Innovatiesteunpunt voor Landbouw en Platteland</w:t>
            </w:r>
          </w:p>
        </w:tc>
        <w:tc>
          <w:tcPr>
            <w:tcW w:w="1451" w:type="pct"/>
          </w:tcPr>
          <w:p w14:paraId="6A560C09" w14:textId="5C48AEA5" w:rsidR="00162850" w:rsidRPr="00162850" w:rsidRDefault="005A615A" w:rsidP="005A615A">
            <w:pPr>
              <w:pStyle w:val="Nummering"/>
              <w:numPr>
                <w:ilvl w:val="0"/>
                <w:numId w:val="0"/>
              </w:numPr>
              <w:spacing w:line="276" w:lineRule="auto"/>
              <w:rPr>
                <w:rFonts w:eastAsia="Verdana"/>
                <w:sz w:val="16"/>
                <w:szCs w:val="20"/>
                <w:lang w:val="nl-BE"/>
              </w:rPr>
            </w:pPr>
            <w:r w:rsidRPr="005A615A">
              <w:rPr>
                <w:rFonts w:eastAsia="Verdana"/>
                <w:sz w:val="16"/>
                <w:szCs w:val="20"/>
                <w:lang w:val="nl-BE"/>
              </w:rPr>
              <w:t xml:space="preserve">Met de Infrascan willen we streven naar een gedragen visie voor het toekomstig gebruik van het (semi)publiek patrimonium in een gemeente. We scannen zowel het patrimonium dat aanwezig is in de gemeente, als de behoeften, wensen én ideeën die er in zijn voor het gebruik. Deze twee scans worden </w:t>
            </w:r>
            <w:proofErr w:type="spellStart"/>
            <w:r w:rsidRPr="005A615A">
              <w:rPr>
                <w:rFonts w:eastAsia="Verdana"/>
                <w:sz w:val="16"/>
                <w:szCs w:val="20"/>
                <w:lang w:val="nl-BE"/>
              </w:rPr>
              <w:t>gematcht</w:t>
            </w:r>
            <w:proofErr w:type="spellEnd"/>
            <w:r w:rsidRPr="005A615A">
              <w:rPr>
                <w:rFonts w:eastAsia="Verdana"/>
                <w:sz w:val="16"/>
                <w:szCs w:val="20"/>
                <w:lang w:val="nl-BE"/>
              </w:rPr>
              <w:t>. Hieruit ontstaan nieuwe kansen en mogelijkheden tot samenwerking en invulling. Dit alles leidt tot enkele testinitiatieven die we waar dit kan verduurzamen, maar ook tot een uitgewerkte visie voor het toekomstig (semi)publiek patrimonium mét aandacht voor o.a. beheer, uitbating en financiële optimalisaties. We werken dit concept uit in twee projectcases en zetten daarna actief in op verspreiding en training in het leadergebied zodat alle gemeenten met de projectresultaten aan de slag kunnen gaan.</w:t>
            </w:r>
          </w:p>
        </w:tc>
        <w:tc>
          <w:tcPr>
            <w:tcW w:w="1482" w:type="pct"/>
          </w:tcPr>
          <w:p w14:paraId="35181720" w14:textId="7275A993" w:rsidR="005A615A" w:rsidRPr="005A615A" w:rsidRDefault="005A615A" w:rsidP="005A615A">
            <w:pPr>
              <w:pStyle w:val="Nummering"/>
              <w:numPr>
                <w:ilvl w:val="0"/>
                <w:numId w:val="0"/>
              </w:numPr>
              <w:spacing w:line="276" w:lineRule="auto"/>
              <w:rPr>
                <w:rFonts w:eastAsia="Verdana"/>
                <w:sz w:val="16"/>
                <w:szCs w:val="20"/>
                <w:lang w:val="nl-BE"/>
              </w:rPr>
            </w:pPr>
            <w:r w:rsidRPr="005A615A">
              <w:rPr>
                <w:rFonts w:eastAsia="Verdana"/>
                <w:sz w:val="16"/>
                <w:szCs w:val="20"/>
                <w:lang w:val="nl-BE"/>
              </w:rPr>
              <w:t xml:space="preserve">Na de mondelinge toelichting op de </w:t>
            </w:r>
            <w:proofErr w:type="spellStart"/>
            <w:r w:rsidRPr="005A615A">
              <w:rPr>
                <w:rFonts w:eastAsia="Verdana"/>
                <w:sz w:val="16"/>
                <w:szCs w:val="20"/>
                <w:lang w:val="nl-BE"/>
              </w:rPr>
              <w:t>lezersgroepvergadering</w:t>
            </w:r>
            <w:proofErr w:type="spellEnd"/>
            <w:r w:rsidRPr="005A615A">
              <w:rPr>
                <w:rFonts w:eastAsia="Verdana"/>
                <w:sz w:val="16"/>
                <w:szCs w:val="20"/>
                <w:lang w:val="nl-BE"/>
              </w:rPr>
              <w:t xml:space="preserve"> werden nog enkele toelichtingen gevraagd. De nodige aanpassingen werden in het e-loket aangevuld. De Plaatselijke Groep oordeelde dat het project in het kader van de koepeloproep minder scoort op de inzet op sterke partnerschappen. Hierdoor kwam het project op de 4de plaats terecht. Bij het bekijken van het beschikbaar</w:t>
            </w:r>
            <w:r>
              <w:rPr>
                <w:rFonts w:eastAsia="Verdana"/>
                <w:sz w:val="16"/>
                <w:szCs w:val="20"/>
                <w:lang w:val="nl-BE"/>
              </w:rPr>
              <w:t xml:space="preserve"> </w:t>
            </w:r>
            <w:r w:rsidRPr="005A615A">
              <w:rPr>
                <w:rFonts w:eastAsia="Verdana"/>
                <w:sz w:val="16"/>
                <w:szCs w:val="20"/>
                <w:lang w:val="nl-BE"/>
              </w:rPr>
              <w:t>budget werd vastgesteld dat er onvoldoende budget is om dit project te subsidiëren.</w:t>
            </w:r>
          </w:p>
          <w:p w14:paraId="0218A032" w14:textId="783BF2AD" w:rsidR="00162850" w:rsidRPr="00162850" w:rsidRDefault="005A615A" w:rsidP="005A615A">
            <w:pPr>
              <w:pStyle w:val="Nummering"/>
              <w:numPr>
                <w:ilvl w:val="0"/>
                <w:numId w:val="0"/>
              </w:numPr>
              <w:spacing w:line="276" w:lineRule="auto"/>
              <w:rPr>
                <w:rFonts w:eastAsia="Verdana"/>
                <w:sz w:val="16"/>
                <w:szCs w:val="20"/>
                <w:lang w:val="nl-BE"/>
              </w:rPr>
            </w:pPr>
            <w:r w:rsidRPr="005A615A">
              <w:rPr>
                <w:rFonts w:eastAsia="Verdana"/>
                <w:sz w:val="16"/>
                <w:szCs w:val="20"/>
                <w:lang w:val="nl-BE"/>
              </w:rPr>
              <w:t>Op de Plaatselijke Groep Vlaamse Ardennen van 16/12/2019 werd het project finaal beoordeeld. Op basis van een rangschikking van de ingediende projecten en het beschikbare budget, komt het project niet in aanmerking voor subsidiering. De Plaatselijke Groep geeft mee dat het ging om een goed uitgewerkte projectfiche. Op vlak van de aandachtspunten rond koepelprojecten werd er opgemerkt dat de partnerschappen niet voldoende naar boven kwamen.</w:t>
            </w:r>
          </w:p>
        </w:tc>
      </w:tr>
    </w:tbl>
    <w:p w14:paraId="4A49DB45" w14:textId="77777777" w:rsidR="00162850" w:rsidRDefault="00162850" w:rsidP="00162850">
      <w:pPr>
        <w:pStyle w:val="Nummering"/>
        <w:numPr>
          <w:ilvl w:val="0"/>
          <w:numId w:val="0"/>
        </w:numPr>
        <w:ind w:left="425" w:hanging="425"/>
        <w:rPr>
          <w:rFonts w:eastAsia="Verdana"/>
          <w:lang w:val="nl-BE"/>
        </w:rPr>
      </w:pPr>
    </w:p>
    <w:p w14:paraId="204191EA" w14:textId="77777777" w:rsidR="00162850" w:rsidRPr="00623BC2" w:rsidRDefault="00162850" w:rsidP="00623BC2">
      <w:pPr>
        <w:pStyle w:val="Nummering"/>
        <w:numPr>
          <w:ilvl w:val="0"/>
          <w:numId w:val="0"/>
        </w:numPr>
        <w:ind w:left="425" w:hanging="425"/>
        <w:rPr>
          <w:rFonts w:ascii="Times New Roman" w:hAnsi="Times New Roman"/>
          <w:lang w:val="nl-BE"/>
        </w:rPr>
      </w:pPr>
    </w:p>
    <w:sectPr w:rsidR="00162850" w:rsidRPr="00623BC2" w:rsidSect="00D07EAC">
      <w:headerReference w:type="even" r:id="rId11"/>
      <w:footerReference w:type="even" r:id="rId12"/>
      <w:footerReference w:type="default" r:id="rId13"/>
      <w:headerReference w:type="first" r:id="rId1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31B9" w14:textId="77777777" w:rsidR="001A6E03" w:rsidRDefault="001A6E03">
      <w:r>
        <w:separator/>
      </w:r>
    </w:p>
  </w:endnote>
  <w:endnote w:type="continuationSeparator" w:id="0">
    <w:p w14:paraId="08E14E63" w14:textId="77777777" w:rsidR="001A6E03" w:rsidRDefault="001A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B824" w14:textId="77777777" w:rsidR="00D75FB1" w:rsidRDefault="001A6E0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823107A" w14:textId="77777777" w:rsidR="00D75FB1" w:rsidRDefault="00FA744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77CA" w14:textId="77777777" w:rsidR="00D75FB1" w:rsidRDefault="00FA7441" w:rsidP="001A6DC6">
    <w:pPr>
      <w:pStyle w:val="Voettekst"/>
      <w:framePr w:wrap="around" w:vAnchor="text" w:hAnchor="margin" w:xAlign="right" w:y="1"/>
      <w:rPr>
        <w:rStyle w:val="Paginanummer"/>
      </w:rPr>
    </w:pPr>
  </w:p>
  <w:p w14:paraId="34D254C1" w14:textId="77777777" w:rsidR="00D75FB1" w:rsidRDefault="00FA7441"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34CA" w14:textId="77777777" w:rsidR="001A6E03" w:rsidRDefault="001A6E03">
      <w:r>
        <w:separator/>
      </w:r>
    </w:p>
  </w:footnote>
  <w:footnote w:type="continuationSeparator" w:id="0">
    <w:p w14:paraId="7521891A" w14:textId="77777777" w:rsidR="001A6E03" w:rsidRDefault="001A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9AD8" w14:textId="77777777" w:rsidR="0088108E" w:rsidRDefault="001A6E0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664402" w14:textId="77777777" w:rsidR="0088108E" w:rsidRDefault="00FA7441"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469D" w14:textId="77777777" w:rsidR="00FC415D" w:rsidRDefault="001A6E03">
    <w:pPr>
      <w:pStyle w:val="Koptekst"/>
    </w:pPr>
    <w:r>
      <w:rPr>
        <w:noProof/>
        <w:lang w:val="en-US" w:eastAsia="en-US"/>
      </w:rPr>
      <w:drawing>
        <wp:anchor distT="0" distB="0" distL="114300" distR="114300" simplePos="0" relativeHeight="251658240" behindDoc="1" locked="1" layoutInCell="1" allowOverlap="1" wp14:anchorId="64F0439A" wp14:editId="705E5C89">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47CCD4EE">
      <w:start w:val="1"/>
      <w:numFmt w:val="decimal"/>
      <w:lvlText w:val="%1."/>
      <w:lvlJc w:val="left"/>
      <w:pPr>
        <w:tabs>
          <w:tab w:val="num" w:pos="360"/>
        </w:tabs>
        <w:ind w:left="360" w:hanging="360"/>
      </w:pPr>
    </w:lvl>
    <w:lvl w:ilvl="1" w:tplc="4676767C" w:tentative="1">
      <w:start w:val="1"/>
      <w:numFmt w:val="lowerLetter"/>
      <w:lvlText w:val="%2."/>
      <w:lvlJc w:val="left"/>
      <w:pPr>
        <w:tabs>
          <w:tab w:val="num" w:pos="1080"/>
        </w:tabs>
        <w:ind w:left="1080" w:hanging="360"/>
      </w:pPr>
    </w:lvl>
    <w:lvl w:ilvl="2" w:tplc="D8721400" w:tentative="1">
      <w:start w:val="1"/>
      <w:numFmt w:val="lowerRoman"/>
      <w:lvlText w:val="%3."/>
      <w:lvlJc w:val="right"/>
      <w:pPr>
        <w:tabs>
          <w:tab w:val="num" w:pos="1800"/>
        </w:tabs>
        <w:ind w:left="1800" w:hanging="180"/>
      </w:pPr>
    </w:lvl>
    <w:lvl w:ilvl="3" w:tplc="AA2CD936" w:tentative="1">
      <w:start w:val="1"/>
      <w:numFmt w:val="decimal"/>
      <w:lvlText w:val="%4."/>
      <w:lvlJc w:val="left"/>
      <w:pPr>
        <w:tabs>
          <w:tab w:val="num" w:pos="2520"/>
        </w:tabs>
        <w:ind w:left="2520" w:hanging="360"/>
      </w:pPr>
    </w:lvl>
    <w:lvl w:ilvl="4" w:tplc="8F8C6EA4" w:tentative="1">
      <w:start w:val="1"/>
      <w:numFmt w:val="lowerLetter"/>
      <w:lvlText w:val="%5."/>
      <w:lvlJc w:val="left"/>
      <w:pPr>
        <w:tabs>
          <w:tab w:val="num" w:pos="3240"/>
        </w:tabs>
        <w:ind w:left="3240" w:hanging="360"/>
      </w:pPr>
    </w:lvl>
    <w:lvl w:ilvl="5" w:tplc="11A42EAC" w:tentative="1">
      <w:start w:val="1"/>
      <w:numFmt w:val="lowerRoman"/>
      <w:lvlText w:val="%6."/>
      <w:lvlJc w:val="right"/>
      <w:pPr>
        <w:tabs>
          <w:tab w:val="num" w:pos="3960"/>
        </w:tabs>
        <w:ind w:left="3960" w:hanging="180"/>
      </w:pPr>
    </w:lvl>
    <w:lvl w:ilvl="6" w:tplc="CA78FC92" w:tentative="1">
      <w:start w:val="1"/>
      <w:numFmt w:val="decimal"/>
      <w:lvlText w:val="%7."/>
      <w:lvlJc w:val="left"/>
      <w:pPr>
        <w:tabs>
          <w:tab w:val="num" w:pos="4680"/>
        </w:tabs>
        <w:ind w:left="4680" w:hanging="360"/>
      </w:pPr>
    </w:lvl>
    <w:lvl w:ilvl="7" w:tplc="F0B02E28" w:tentative="1">
      <w:start w:val="1"/>
      <w:numFmt w:val="lowerLetter"/>
      <w:lvlText w:val="%8."/>
      <w:lvlJc w:val="left"/>
      <w:pPr>
        <w:tabs>
          <w:tab w:val="num" w:pos="5400"/>
        </w:tabs>
        <w:ind w:left="5400" w:hanging="360"/>
      </w:pPr>
    </w:lvl>
    <w:lvl w:ilvl="8" w:tplc="30EAEC3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4436628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D5EB632">
      <w:start w:val="1"/>
      <w:numFmt w:val="bullet"/>
      <w:pStyle w:val="Lijstalinea1"/>
      <w:lvlText w:val=""/>
      <w:lvlJc w:val="left"/>
      <w:pPr>
        <w:tabs>
          <w:tab w:val="num" w:pos="-360"/>
        </w:tabs>
        <w:ind w:left="360" w:hanging="360"/>
      </w:pPr>
      <w:rPr>
        <w:rFonts w:ascii="Symbol" w:hAnsi="Symbol" w:hint="default"/>
        <w:color w:val="808080"/>
      </w:rPr>
    </w:lvl>
    <w:lvl w:ilvl="1" w:tplc="2F52CDDA" w:tentative="1">
      <w:start w:val="1"/>
      <w:numFmt w:val="bullet"/>
      <w:lvlText w:val="o"/>
      <w:lvlJc w:val="left"/>
      <w:pPr>
        <w:ind w:left="1080" w:hanging="360"/>
      </w:pPr>
      <w:rPr>
        <w:rFonts w:ascii="Courier New" w:hAnsi="Courier New" w:cs="Courier New" w:hint="default"/>
      </w:rPr>
    </w:lvl>
    <w:lvl w:ilvl="2" w:tplc="B6D47E5A" w:tentative="1">
      <w:start w:val="1"/>
      <w:numFmt w:val="bullet"/>
      <w:lvlText w:val=""/>
      <w:lvlJc w:val="left"/>
      <w:pPr>
        <w:ind w:left="1800" w:hanging="360"/>
      </w:pPr>
      <w:rPr>
        <w:rFonts w:ascii="Wingdings" w:hAnsi="Wingdings" w:hint="default"/>
      </w:rPr>
    </w:lvl>
    <w:lvl w:ilvl="3" w:tplc="AA6EA7C4" w:tentative="1">
      <w:start w:val="1"/>
      <w:numFmt w:val="bullet"/>
      <w:lvlText w:val=""/>
      <w:lvlJc w:val="left"/>
      <w:pPr>
        <w:ind w:left="2520" w:hanging="360"/>
      </w:pPr>
      <w:rPr>
        <w:rFonts w:ascii="Symbol" w:hAnsi="Symbol" w:hint="default"/>
      </w:rPr>
    </w:lvl>
    <w:lvl w:ilvl="4" w:tplc="894C9516" w:tentative="1">
      <w:start w:val="1"/>
      <w:numFmt w:val="bullet"/>
      <w:lvlText w:val="o"/>
      <w:lvlJc w:val="left"/>
      <w:pPr>
        <w:ind w:left="3240" w:hanging="360"/>
      </w:pPr>
      <w:rPr>
        <w:rFonts w:ascii="Courier New" w:hAnsi="Courier New" w:cs="Courier New" w:hint="default"/>
      </w:rPr>
    </w:lvl>
    <w:lvl w:ilvl="5" w:tplc="E9503696" w:tentative="1">
      <w:start w:val="1"/>
      <w:numFmt w:val="bullet"/>
      <w:lvlText w:val=""/>
      <w:lvlJc w:val="left"/>
      <w:pPr>
        <w:ind w:left="3960" w:hanging="360"/>
      </w:pPr>
      <w:rPr>
        <w:rFonts w:ascii="Wingdings" w:hAnsi="Wingdings" w:hint="default"/>
      </w:rPr>
    </w:lvl>
    <w:lvl w:ilvl="6" w:tplc="746603AA" w:tentative="1">
      <w:start w:val="1"/>
      <w:numFmt w:val="bullet"/>
      <w:lvlText w:val=""/>
      <w:lvlJc w:val="left"/>
      <w:pPr>
        <w:ind w:left="4680" w:hanging="360"/>
      </w:pPr>
      <w:rPr>
        <w:rFonts w:ascii="Symbol" w:hAnsi="Symbol" w:hint="default"/>
      </w:rPr>
    </w:lvl>
    <w:lvl w:ilvl="7" w:tplc="E1BED882" w:tentative="1">
      <w:start w:val="1"/>
      <w:numFmt w:val="bullet"/>
      <w:lvlText w:val="o"/>
      <w:lvlJc w:val="left"/>
      <w:pPr>
        <w:ind w:left="5400" w:hanging="360"/>
      </w:pPr>
      <w:rPr>
        <w:rFonts w:ascii="Courier New" w:hAnsi="Courier New" w:cs="Courier New" w:hint="default"/>
      </w:rPr>
    </w:lvl>
    <w:lvl w:ilvl="8" w:tplc="B17A2DC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CC7A16AC">
      <w:start w:val="1"/>
      <w:numFmt w:val="bullet"/>
      <w:lvlText w:val="o"/>
      <w:lvlJc w:val="left"/>
      <w:pPr>
        <w:ind w:left="720" w:hanging="360"/>
      </w:pPr>
      <w:rPr>
        <w:rFonts w:ascii="Courier New" w:hAnsi="Courier New" w:cs="Courier New" w:hint="default"/>
      </w:rPr>
    </w:lvl>
    <w:lvl w:ilvl="1" w:tplc="2EA24CD8" w:tentative="1">
      <w:start w:val="1"/>
      <w:numFmt w:val="bullet"/>
      <w:lvlText w:val="o"/>
      <w:lvlJc w:val="left"/>
      <w:pPr>
        <w:ind w:left="1440" w:hanging="360"/>
      </w:pPr>
      <w:rPr>
        <w:rFonts w:ascii="Courier New" w:hAnsi="Courier New" w:cs="Courier New" w:hint="default"/>
      </w:rPr>
    </w:lvl>
    <w:lvl w:ilvl="2" w:tplc="663CA816" w:tentative="1">
      <w:start w:val="1"/>
      <w:numFmt w:val="bullet"/>
      <w:lvlText w:val=""/>
      <w:lvlJc w:val="left"/>
      <w:pPr>
        <w:ind w:left="2160" w:hanging="360"/>
      </w:pPr>
      <w:rPr>
        <w:rFonts w:ascii="Wingdings" w:hAnsi="Wingdings" w:hint="default"/>
      </w:rPr>
    </w:lvl>
    <w:lvl w:ilvl="3" w:tplc="F97E104C" w:tentative="1">
      <w:start w:val="1"/>
      <w:numFmt w:val="bullet"/>
      <w:lvlText w:val=""/>
      <w:lvlJc w:val="left"/>
      <w:pPr>
        <w:ind w:left="2880" w:hanging="360"/>
      </w:pPr>
      <w:rPr>
        <w:rFonts w:ascii="Symbol" w:hAnsi="Symbol" w:hint="default"/>
      </w:rPr>
    </w:lvl>
    <w:lvl w:ilvl="4" w:tplc="8B66740C" w:tentative="1">
      <w:start w:val="1"/>
      <w:numFmt w:val="bullet"/>
      <w:lvlText w:val="o"/>
      <w:lvlJc w:val="left"/>
      <w:pPr>
        <w:ind w:left="3600" w:hanging="360"/>
      </w:pPr>
      <w:rPr>
        <w:rFonts w:ascii="Courier New" w:hAnsi="Courier New" w:cs="Courier New" w:hint="default"/>
      </w:rPr>
    </w:lvl>
    <w:lvl w:ilvl="5" w:tplc="70CCB54A" w:tentative="1">
      <w:start w:val="1"/>
      <w:numFmt w:val="bullet"/>
      <w:lvlText w:val=""/>
      <w:lvlJc w:val="left"/>
      <w:pPr>
        <w:ind w:left="4320" w:hanging="360"/>
      </w:pPr>
      <w:rPr>
        <w:rFonts w:ascii="Wingdings" w:hAnsi="Wingdings" w:hint="default"/>
      </w:rPr>
    </w:lvl>
    <w:lvl w:ilvl="6" w:tplc="8C0E6A20" w:tentative="1">
      <w:start w:val="1"/>
      <w:numFmt w:val="bullet"/>
      <w:lvlText w:val=""/>
      <w:lvlJc w:val="left"/>
      <w:pPr>
        <w:ind w:left="5040" w:hanging="360"/>
      </w:pPr>
      <w:rPr>
        <w:rFonts w:ascii="Symbol" w:hAnsi="Symbol" w:hint="default"/>
      </w:rPr>
    </w:lvl>
    <w:lvl w:ilvl="7" w:tplc="C1E87508" w:tentative="1">
      <w:start w:val="1"/>
      <w:numFmt w:val="bullet"/>
      <w:lvlText w:val="o"/>
      <w:lvlJc w:val="left"/>
      <w:pPr>
        <w:ind w:left="5760" w:hanging="360"/>
      </w:pPr>
      <w:rPr>
        <w:rFonts w:ascii="Courier New" w:hAnsi="Courier New" w:cs="Courier New" w:hint="default"/>
      </w:rPr>
    </w:lvl>
    <w:lvl w:ilvl="8" w:tplc="3B48A16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8E34E312">
      <w:start w:val="1"/>
      <w:numFmt w:val="bullet"/>
      <w:lvlText w:val=""/>
      <w:lvlJc w:val="left"/>
      <w:pPr>
        <w:ind w:left="360" w:hanging="360"/>
      </w:pPr>
      <w:rPr>
        <w:rFonts w:ascii="Symbol" w:hAnsi="Symbol" w:hint="default"/>
      </w:rPr>
    </w:lvl>
    <w:lvl w:ilvl="1" w:tplc="BD9476E8" w:tentative="1">
      <w:start w:val="1"/>
      <w:numFmt w:val="bullet"/>
      <w:lvlText w:val="o"/>
      <w:lvlJc w:val="left"/>
      <w:pPr>
        <w:ind w:left="1080" w:hanging="360"/>
      </w:pPr>
      <w:rPr>
        <w:rFonts w:ascii="Courier New" w:hAnsi="Courier New" w:cs="Courier New" w:hint="default"/>
      </w:rPr>
    </w:lvl>
    <w:lvl w:ilvl="2" w:tplc="072EE8FC" w:tentative="1">
      <w:start w:val="1"/>
      <w:numFmt w:val="bullet"/>
      <w:lvlText w:val=""/>
      <w:lvlJc w:val="left"/>
      <w:pPr>
        <w:ind w:left="1800" w:hanging="360"/>
      </w:pPr>
      <w:rPr>
        <w:rFonts w:ascii="Wingdings" w:hAnsi="Wingdings" w:hint="default"/>
      </w:rPr>
    </w:lvl>
    <w:lvl w:ilvl="3" w:tplc="A2AC3C0A" w:tentative="1">
      <w:start w:val="1"/>
      <w:numFmt w:val="bullet"/>
      <w:lvlText w:val=""/>
      <w:lvlJc w:val="left"/>
      <w:pPr>
        <w:ind w:left="2520" w:hanging="360"/>
      </w:pPr>
      <w:rPr>
        <w:rFonts w:ascii="Symbol" w:hAnsi="Symbol" w:hint="default"/>
      </w:rPr>
    </w:lvl>
    <w:lvl w:ilvl="4" w:tplc="C0AAB696" w:tentative="1">
      <w:start w:val="1"/>
      <w:numFmt w:val="bullet"/>
      <w:lvlText w:val="o"/>
      <w:lvlJc w:val="left"/>
      <w:pPr>
        <w:ind w:left="3240" w:hanging="360"/>
      </w:pPr>
      <w:rPr>
        <w:rFonts w:ascii="Courier New" w:hAnsi="Courier New" w:cs="Courier New" w:hint="default"/>
      </w:rPr>
    </w:lvl>
    <w:lvl w:ilvl="5" w:tplc="2ED611F6" w:tentative="1">
      <w:start w:val="1"/>
      <w:numFmt w:val="bullet"/>
      <w:lvlText w:val=""/>
      <w:lvlJc w:val="left"/>
      <w:pPr>
        <w:ind w:left="3960" w:hanging="360"/>
      </w:pPr>
      <w:rPr>
        <w:rFonts w:ascii="Wingdings" w:hAnsi="Wingdings" w:hint="default"/>
      </w:rPr>
    </w:lvl>
    <w:lvl w:ilvl="6" w:tplc="66BE21EC" w:tentative="1">
      <w:start w:val="1"/>
      <w:numFmt w:val="bullet"/>
      <w:lvlText w:val=""/>
      <w:lvlJc w:val="left"/>
      <w:pPr>
        <w:ind w:left="4680" w:hanging="360"/>
      </w:pPr>
      <w:rPr>
        <w:rFonts w:ascii="Symbol" w:hAnsi="Symbol" w:hint="default"/>
      </w:rPr>
    </w:lvl>
    <w:lvl w:ilvl="7" w:tplc="A9547FE2" w:tentative="1">
      <w:start w:val="1"/>
      <w:numFmt w:val="bullet"/>
      <w:lvlText w:val="o"/>
      <w:lvlJc w:val="left"/>
      <w:pPr>
        <w:ind w:left="5400" w:hanging="360"/>
      </w:pPr>
      <w:rPr>
        <w:rFonts w:ascii="Courier New" w:hAnsi="Courier New" w:cs="Courier New" w:hint="default"/>
      </w:rPr>
    </w:lvl>
    <w:lvl w:ilvl="8" w:tplc="95B49A9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B9CA3B2">
      <w:start w:val="1"/>
      <w:numFmt w:val="bullet"/>
      <w:lvlText w:val=""/>
      <w:lvlJc w:val="left"/>
      <w:pPr>
        <w:tabs>
          <w:tab w:val="num" w:pos="0"/>
        </w:tabs>
        <w:ind w:left="720" w:hanging="360"/>
      </w:pPr>
      <w:rPr>
        <w:rFonts w:ascii="Symbol" w:hAnsi="Symbol" w:hint="default"/>
        <w:color w:val="808080"/>
      </w:rPr>
    </w:lvl>
    <w:lvl w:ilvl="1" w:tplc="6B147D4E" w:tentative="1">
      <w:start w:val="1"/>
      <w:numFmt w:val="bullet"/>
      <w:lvlText w:val="o"/>
      <w:lvlJc w:val="left"/>
      <w:pPr>
        <w:tabs>
          <w:tab w:val="num" w:pos="1440"/>
        </w:tabs>
        <w:ind w:left="1440" w:hanging="360"/>
      </w:pPr>
      <w:rPr>
        <w:rFonts w:ascii="Courier New" w:hAnsi="Courier New" w:cs="Courier New" w:hint="default"/>
      </w:rPr>
    </w:lvl>
    <w:lvl w:ilvl="2" w:tplc="ACDE5230" w:tentative="1">
      <w:start w:val="1"/>
      <w:numFmt w:val="bullet"/>
      <w:lvlText w:val=""/>
      <w:lvlJc w:val="left"/>
      <w:pPr>
        <w:tabs>
          <w:tab w:val="num" w:pos="2160"/>
        </w:tabs>
        <w:ind w:left="2160" w:hanging="360"/>
      </w:pPr>
      <w:rPr>
        <w:rFonts w:ascii="Wingdings" w:hAnsi="Wingdings" w:hint="default"/>
      </w:rPr>
    </w:lvl>
    <w:lvl w:ilvl="3" w:tplc="91A62EEE" w:tentative="1">
      <w:start w:val="1"/>
      <w:numFmt w:val="bullet"/>
      <w:lvlText w:val=""/>
      <w:lvlJc w:val="left"/>
      <w:pPr>
        <w:tabs>
          <w:tab w:val="num" w:pos="2880"/>
        </w:tabs>
        <w:ind w:left="2880" w:hanging="360"/>
      </w:pPr>
      <w:rPr>
        <w:rFonts w:ascii="Symbol" w:hAnsi="Symbol" w:hint="default"/>
      </w:rPr>
    </w:lvl>
    <w:lvl w:ilvl="4" w:tplc="C67AD8B2" w:tentative="1">
      <w:start w:val="1"/>
      <w:numFmt w:val="bullet"/>
      <w:lvlText w:val="o"/>
      <w:lvlJc w:val="left"/>
      <w:pPr>
        <w:tabs>
          <w:tab w:val="num" w:pos="3600"/>
        </w:tabs>
        <w:ind w:left="3600" w:hanging="360"/>
      </w:pPr>
      <w:rPr>
        <w:rFonts w:ascii="Courier New" w:hAnsi="Courier New" w:cs="Courier New" w:hint="default"/>
      </w:rPr>
    </w:lvl>
    <w:lvl w:ilvl="5" w:tplc="A93CD49E" w:tentative="1">
      <w:start w:val="1"/>
      <w:numFmt w:val="bullet"/>
      <w:lvlText w:val=""/>
      <w:lvlJc w:val="left"/>
      <w:pPr>
        <w:tabs>
          <w:tab w:val="num" w:pos="4320"/>
        </w:tabs>
        <w:ind w:left="4320" w:hanging="360"/>
      </w:pPr>
      <w:rPr>
        <w:rFonts w:ascii="Wingdings" w:hAnsi="Wingdings" w:hint="default"/>
      </w:rPr>
    </w:lvl>
    <w:lvl w:ilvl="6" w:tplc="5A6C3F2E" w:tentative="1">
      <w:start w:val="1"/>
      <w:numFmt w:val="bullet"/>
      <w:lvlText w:val=""/>
      <w:lvlJc w:val="left"/>
      <w:pPr>
        <w:tabs>
          <w:tab w:val="num" w:pos="5040"/>
        </w:tabs>
        <w:ind w:left="5040" w:hanging="360"/>
      </w:pPr>
      <w:rPr>
        <w:rFonts w:ascii="Symbol" w:hAnsi="Symbol" w:hint="default"/>
      </w:rPr>
    </w:lvl>
    <w:lvl w:ilvl="7" w:tplc="46B88EE8" w:tentative="1">
      <w:start w:val="1"/>
      <w:numFmt w:val="bullet"/>
      <w:lvlText w:val="o"/>
      <w:lvlJc w:val="left"/>
      <w:pPr>
        <w:tabs>
          <w:tab w:val="num" w:pos="5760"/>
        </w:tabs>
        <w:ind w:left="5760" w:hanging="360"/>
      </w:pPr>
      <w:rPr>
        <w:rFonts w:ascii="Courier New" w:hAnsi="Courier New" w:cs="Courier New" w:hint="default"/>
      </w:rPr>
    </w:lvl>
    <w:lvl w:ilvl="8" w:tplc="DEB0A5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D440B13"/>
    <w:multiLevelType w:val="hybridMultilevel"/>
    <w:tmpl w:val="E7565230"/>
    <w:lvl w:ilvl="0" w:tplc="4B3A401C">
      <w:start w:val="2"/>
      <w:numFmt w:val="decimal"/>
      <w:lvlText w:val="%1."/>
      <w:lvlJc w:val="left"/>
      <w:pPr>
        <w:ind w:left="785" w:hanging="360"/>
      </w:pPr>
      <w:rPr>
        <w:rFonts w:ascii="Verdana" w:eastAsia="Verdana" w:hAnsi="Verdana"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B2"/>
    <w:rsid w:val="000F4650"/>
    <w:rsid w:val="00162850"/>
    <w:rsid w:val="001A6E03"/>
    <w:rsid w:val="00310B0D"/>
    <w:rsid w:val="005A615A"/>
    <w:rsid w:val="00623BC2"/>
    <w:rsid w:val="009274D3"/>
    <w:rsid w:val="00C0053F"/>
    <w:rsid w:val="00D63F2B"/>
    <w:rsid w:val="00E445B2"/>
    <w:rsid w:val="00F51FD8"/>
    <w:rsid w:val="00FA744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9131A"/>
  <w15:docId w15:val="{3842E317-0007-4947-A69A-FC0DFF60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D4C4-1A81-4DB6-937A-97CEB32D2ED5}">
  <ds:schemaRefs>
    <ds:schemaRef ds:uri="http://purl.org/dc/elements/1.1/"/>
    <ds:schemaRef ds:uri="http://schemas.microsoft.com/office/2006/metadata/properties"/>
    <ds:schemaRef ds:uri="http://purl.org/dc/terms/"/>
    <ds:schemaRef ds:uri="78ad467a-34d4-458d-a0a7-407ae9679610"/>
    <ds:schemaRef ds:uri="http://schemas.microsoft.com/office/2006/documentManagement/types"/>
    <ds:schemaRef ds:uri="http://schemas.microsoft.com/office/infopath/2007/PartnerControls"/>
    <ds:schemaRef ds:uri="http://schemas.openxmlformats.org/package/2006/metadata/core-properties"/>
    <ds:schemaRef ds:uri="bdc9a9de-4f4d-4c1d-8637-99f5eab4c5d3"/>
    <ds:schemaRef ds:uri="http://www.w3.org/XML/1998/namespace"/>
    <ds:schemaRef ds:uri="http://purl.org/dc/dcmitype/"/>
  </ds:schemaRefs>
</ds:datastoreItem>
</file>

<file path=customXml/itemProps2.xml><?xml version="1.0" encoding="utf-8"?>
<ds:datastoreItem xmlns:ds="http://schemas.openxmlformats.org/officeDocument/2006/customXml" ds:itemID="{4A2B211E-B755-4DBD-ACC2-770792506D44}">
  <ds:schemaRefs>
    <ds:schemaRef ds:uri="http://schemas.microsoft.com/sharepoint/v3/contenttype/forms"/>
  </ds:schemaRefs>
</ds:datastoreItem>
</file>

<file path=customXml/itemProps3.xml><?xml version="1.0" encoding="utf-8"?>
<ds:datastoreItem xmlns:ds="http://schemas.openxmlformats.org/officeDocument/2006/customXml" ds:itemID="{0672ADE1-EFAC-4ACB-87D0-2170908DB3D2}"/>
</file>

<file path=customXml/itemProps4.xml><?xml version="1.0" encoding="utf-8"?>
<ds:datastoreItem xmlns:ds="http://schemas.openxmlformats.org/officeDocument/2006/customXml" ds:itemID="{257185AA-4020-4F46-9B20-676D7754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9241</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Messari Hajar</cp:lastModifiedBy>
  <cp:revision>2</cp:revision>
  <cp:lastPrinted>2014-05-14T13:55:00Z</cp:lastPrinted>
  <dcterms:created xsi:type="dcterms:W3CDTF">2021-02-24T14:21:00Z</dcterms:created>
  <dcterms:modified xsi:type="dcterms:W3CDTF">2021-02-24T14:21:00Z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