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6302" w:type="dxa"/>
        <w:tblInd w:w="-572" w:type="dxa"/>
        <w:tblLayout w:type="fixed"/>
        <w:tblLook w:val="04A0" w:firstRow="1" w:lastRow="0" w:firstColumn="1" w:lastColumn="0" w:noHBand="0" w:noVBand="1"/>
      </w:tblPr>
      <w:tblGrid>
        <w:gridCol w:w="2127"/>
        <w:gridCol w:w="1984"/>
        <w:gridCol w:w="4820"/>
        <w:gridCol w:w="1701"/>
        <w:gridCol w:w="1701"/>
        <w:gridCol w:w="1701"/>
        <w:gridCol w:w="2268"/>
      </w:tblGrid>
      <w:tr w:rsidR="007E78EB" w:rsidRPr="00643FD7" w14:paraId="347DAF2A" w14:textId="77777777" w:rsidTr="00841733">
        <w:trPr>
          <w:trHeight w:val="706"/>
        </w:trPr>
        <w:tc>
          <w:tcPr>
            <w:tcW w:w="16302" w:type="dxa"/>
            <w:gridSpan w:val="7"/>
            <w:vAlign w:val="center"/>
          </w:tcPr>
          <w:p w14:paraId="04BF2867" w14:textId="7AA46F7A" w:rsidR="007E78EB" w:rsidRPr="00D21D27" w:rsidRDefault="00D21D27" w:rsidP="00450408">
            <w:pPr>
              <w:jc w:val="center"/>
              <w:rPr>
                <w:rFonts w:ascii="Verdana" w:hAnsi="Verdana"/>
                <w:b/>
                <w:sz w:val="20"/>
                <w:szCs w:val="20"/>
              </w:rPr>
            </w:pPr>
            <w:r w:rsidRPr="00173B41">
              <w:rPr>
                <w:b/>
                <w:sz w:val="24"/>
                <w:szCs w:val="24"/>
              </w:rPr>
              <w:t>S</w:t>
            </w:r>
            <w:r w:rsidR="002B27FD">
              <w:rPr>
                <w:b/>
                <w:sz w:val="24"/>
                <w:szCs w:val="24"/>
              </w:rPr>
              <w:t>u</w:t>
            </w:r>
            <w:r w:rsidRPr="00173B41">
              <w:rPr>
                <w:b/>
                <w:sz w:val="24"/>
                <w:szCs w:val="24"/>
              </w:rPr>
              <w:t xml:space="preserve">bsidies voor projecten in Limburg vanuit de bevoegdheid </w:t>
            </w:r>
            <w:r w:rsidR="000623C6">
              <w:rPr>
                <w:b/>
                <w:sz w:val="24"/>
                <w:szCs w:val="24"/>
              </w:rPr>
              <w:t>S</w:t>
            </w:r>
            <w:r>
              <w:rPr>
                <w:b/>
                <w:sz w:val="24"/>
                <w:szCs w:val="24"/>
              </w:rPr>
              <w:t>tedenbeleid</w:t>
            </w:r>
          </w:p>
        </w:tc>
      </w:tr>
      <w:tr w:rsidR="000623C6" w:rsidRPr="00643FD7" w14:paraId="0A90A0EC" w14:textId="77777777" w:rsidTr="00841733">
        <w:trPr>
          <w:trHeight w:val="830"/>
        </w:trPr>
        <w:tc>
          <w:tcPr>
            <w:tcW w:w="2127" w:type="dxa"/>
            <w:vAlign w:val="center"/>
          </w:tcPr>
          <w:p w14:paraId="54B5BD7E" w14:textId="6432F8E1" w:rsidR="007E78EB" w:rsidRPr="006376E2" w:rsidRDefault="000623C6">
            <w:pPr>
              <w:rPr>
                <w:rFonts w:ascii="Verdana" w:hAnsi="Verdana"/>
                <w:b/>
                <w:sz w:val="18"/>
                <w:szCs w:val="18"/>
              </w:rPr>
            </w:pPr>
            <w:r w:rsidRPr="006376E2">
              <w:rPr>
                <w:rFonts w:ascii="Verdana" w:hAnsi="Verdana"/>
                <w:b/>
                <w:sz w:val="18"/>
                <w:szCs w:val="18"/>
              </w:rPr>
              <w:t>SUBSIDIEKANAAL</w:t>
            </w:r>
          </w:p>
        </w:tc>
        <w:tc>
          <w:tcPr>
            <w:tcW w:w="1984" w:type="dxa"/>
            <w:vAlign w:val="center"/>
          </w:tcPr>
          <w:p w14:paraId="5B335F71" w14:textId="09A278A4" w:rsidR="007E78EB" w:rsidRPr="006376E2" w:rsidRDefault="007E78EB">
            <w:pPr>
              <w:rPr>
                <w:rFonts w:ascii="Verdana" w:hAnsi="Verdana"/>
                <w:b/>
                <w:sz w:val="18"/>
                <w:szCs w:val="18"/>
              </w:rPr>
            </w:pPr>
            <w:r w:rsidRPr="006376E2">
              <w:rPr>
                <w:rFonts w:ascii="Verdana" w:hAnsi="Verdana"/>
                <w:b/>
                <w:sz w:val="18"/>
                <w:szCs w:val="18"/>
              </w:rPr>
              <w:t>PROJECTNAA</w:t>
            </w:r>
            <w:r w:rsidR="00B35414">
              <w:rPr>
                <w:rFonts w:ascii="Verdana" w:hAnsi="Verdana"/>
                <w:b/>
                <w:sz w:val="18"/>
                <w:szCs w:val="18"/>
              </w:rPr>
              <w:t>M</w:t>
            </w:r>
          </w:p>
        </w:tc>
        <w:tc>
          <w:tcPr>
            <w:tcW w:w="4820" w:type="dxa"/>
            <w:vAlign w:val="center"/>
          </w:tcPr>
          <w:p w14:paraId="5CE155A1" w14:textId="77777777" w:rsidR="007E78EB" w:rsidRPr="006376E2" w:rsidRDefault="007E78EB" w:rsidP="007E78EB">
            <w:pPr>
              <w:rPr>
                <w:rFonts w:ascii="Verdana" w:hAnsi="Verdana"/>
                <w:b/>
                <w:sz w:val="18"/>
                <w:szCs w:val="18"/>
              </w:rPr>
            </w:pPr>
            <w:r w:rsidRPr="006376E2">
              <w:rPr>
                <w:rFonts w:ascii="Verdana" w:hAnsi="Verdana"/>
                <w:b/>
                <w:sz w:val="18"/>
                <w:szCs w:val="18"/>
              </w:rPr>
              <w:t>BESCHRIJVING</w:t>
            </w:r>
          </w:p>
        </w:tc>
        <w:tc>
          <w:tcPr>
            <w:tcW w:w="1701" w:type="dxa"/>
            <w:vAlign w:val="center"/>
          </w:tcPr>
          <w:p w14:paraId="5D7D8B3D" w14:textId="77777777" w:rsidR="007E78EB" w:rsidRPr="006376E2" w:rsidRDefault="007E78EB" w:rsidP="00C55554">
            <w:pPr>
              <w:jc w:val="center"/>
              <w:rPr>
                <w:rFonts w:ascii="Verdana" w:hAnsi="Verdana"/>
                <w:b/>
                <w:sz w:val="18"/>
                <w:szCs w:val="18"/>
              </w:rPr>
            </w:pPr>
            <w:r w:rsidRPr="006376E2">
              <w:rPr>
                <w:rFonts w:ascii="Verdana" w:hAnsi="Verdana"/>
                <w:b/>
                <w:sz w:val="18"/>
                <w:szCs w:val="18"/>
              </w:rPr>
              <w:t>BEDRAG SUBSIDIE</w:t>
            </w:r>
          </w:p>
          <w:p w14:paraId="4B9EEAB0" w14:textId="5B6A6708" w:rsidR="00237467" w:rsidRPr="00643FD7" w:rsidRDefault="00237467" w:rsidP="00C55554">
            <w:pPr>
              <w:jc w:val="center"/>
              <w:rPr>
                <w:rFonts w:ascii="Verdana" w:hAnsi="Verdana"/>
                <w:b/>
                <w:sz w:val="20"/>
                <w:szCs w:val="20"/>
              </w:rPr>
            </w:pPr>
            <w:r w:rsidRPr="006376E2">
              <w:rPr>
                <w:rFonts w:ascii="Verdana" w:hAnsi="Verdana"/>
                <w:b/>
                <w:sz w:val="18"/>
                <w:szCs w:val="18"/>
              </w:rPr>
              <w:t>(in euro)</w:t>
            </w:r>
          </w:p>
        </w:tc>
        <w:tc>
          <w:tcPr>
            <w:tcW w:w="1701" w:type="dxa"/>
            <w:vAlign w:val="center"/>
          </w:tcPr>
          <w:p w14:paraId="2A9E3CAD" w14:textId="77777777" w:rsidR="007E78EB" w:rsidRPr="006376E2" w:rsidRDefault="007E78EB" w:rsidP="00237467">
            <w:pPr>
              <w:jc w:val="center"/>
              <w:rPr>
                <w:rFonts w:ascii="Verdana" w:hAnsi="Verdana"/>
                <w:b/>
                <w:sz w:val="18"/>
                <w:szCs w:val="18"/>
              </w:rPr>
            </w:pPr>
            <w:r w:rsidRPr="006376E2">
              <w:rPr>
                <w:rFonts w:ascii="Verdana" w:hAnsi="Verdana"/>
                <w:b/>
                <w:sz w:val="18"/>
                <w:szCs w:val="18"/>
              </w:rPr>
              <w:t>DATUM TOEKENNING</w:t>
            </w:r>
          </w:p>
        </w:tc>
        <w:tc>
          <w:tcPr>
            <w:tcW w:w="1701" w:type="dxa"/>
            <w:vAlign w:val="center"/>
          </w:tcPr>
          <w:p w14:paraId="138A916A" w14:textId="63B1783D" w:rsidR="007E78EB" w:rsidRPr="006376E2" w:rsidRDefault="000623C6">
            <w:pPr>
              <w:rPr>
                <w:rFonts w:ascii="Verdana" w:hAnsi="Verdana"/>
                <w:b/>
                <w:sz w:val="18"/>
                <w:szCs w:val="18"/>
              </w:rPr>
            </w:pPr>
            <w:r w:rsidRPr="006376E2">
              <w:rPr>
                <w:rFonts w:ascii="Verdana" w:hAnsi="Verdana"/>
                <w:b/>
                <w:sz w:val="18"/>
                <w:szCs w:val="18"/>
              </w:rPr>
              <w:t>BEGUNSTIGDE</w:t>
            </w:r>
          </w:p>
        </w:tc>
        <w:tc>
          <w:tcPr>
            <w:tcW w:w="2268" w:type="dxa"/>
            <w:vAlign w:val="center"/>
          </w:tcPr>
          <w:p w14:paraId="45F95DCF" w14:textId="5F1DF935" w:rsidR="007E78EB" w:rsidRPr="006376E2" w:rsidRDefault="006376E2" w:rsidP="00C55554">
            <w:pPr>
              <w:jc w:val="center"/>
              <w:rPr>
                <w:rFonts w:ascii="Verdana" w:hAnsi="Verdana"/>
                <w:b/>
                <w:sz w:val="18"/>
                <w:szCs w:val="18"/>
              </w:rPr>
            </w:pPr>
            <w:r>
              <w:rPr>
                <w:rFonts w:ascii="Verdana" w:hAnsi="Verdana"/>
                <w:b/>
                <w:sz w:val="18"/>
                <w:szCs w:val="18"/>
              </w:rPr>
              <w:t xml:space="preserve">TOTALE </w:t>
            </w:r>
            <w:r w:rsidR="000623C6" w:rsidRPr="006376E2">
              <w:rPr>
                <w:rFonts w:ascii="Verdana" w:hAnsi="Verdana"/>
                <w:b/>
                <w:sz w:val="18"/>
                <w:szCs w:val="18"/>
              </w:rPr>
              <w:t>OVERHEIDSSTEUN</w:t>
            </w:r>
            <w:r w:rsidRPr="006376E2">
              <w:rPr>
                <w:rFonts w:ascii="Verdana" w:hAnsi="Verdana"/>
                <w:b/>
                <w:sz w:val="18"/>
                <w:szCs w:val="18"/>
              </w:rPr>
              <w:t xml:space="preserve"> </w:t>
            </w:r>
            <w:r>
              <w:rPr>
                <w:rFonts w:ascii="Verdana" w:hAnsi="Verdana"/>
                <w:b/>
                <w:sz w:val="18"/>
                <w:szCs w:val="18"/>
              </w:rPr>
              <w:t>IN</w:t>
            </w:r>
            <w:r w:rsidRPr="006376E2">
              <w:rPr>
                <w:rFonts w:ascii="Verdana" w:hAnsi="Verdana"/>
                <w:b/>
                <w:sz w:val="18"/>
                <w:szCs w:val="18"/>
              </w:rPr>
              <w:t xml:space="preserve"> </w:t>
            </w:r>
            <w:r>
              <w:rPr>
                <w:rFonts w:ascii="Verdana" w:hAnsi="Verdana"/>
                <w:b/>
                <w:sz w:val="18"/>
                <w:szCs w:val="18"/>
              </w:rPr>
              <w:t>2020</w:t>
            </w:r>
          </w:p>
        </w:tc>
      </w:tr>
      <w:tr w:rsidR="000623C6" w:rsidRPr="00643FD7" w14:paraId="41A33FEA" w14:textId="77777777" w:rsidTr="00841733">
        <w:trPr>
          <w:trHeight w:val="1833"/>
        </w:trPr>
        <w:tc>
          <w:tcPr>
            <w:tcW w:w="2127" w:type="dxa"/>
          </w:tcPr>
          <w:p w14:paraId="0F8CE0E2" w14:textId="48819CFC" w:rsidR="00520E8E" w:rsidRPr="000623C6" w:rsidRDefault="000623C6" w:rsidP="00520E8E">
            <w:pPr>
              <w:rPr>
                <w:rFonts w:ascii="Verdana" w:hAnsi="Verdana"/>
                <w:bCs/>
                <w:sz w:val="20"/>
                <w:szCs w:val="20"/>
              </w:rPr>
            </w:pPr>
            <w:r>
              <w:rPr>
                <w:rFonts w:ascii="Verdana" w:hAnsi="Verdana"/>
                <w:bCs/>
                <w:sz w:val="20"/>
                <w:szCs w:val="20"/>
              </w:rPr>
              <w:t>Stadsvernieuwing: projectsubsidie</w:t>
            </w:r>
          </w:p>
        </w:tc>
        <w:tc>
          <w:tcPr>
            <w:tcW w:w="1984" w:type="dxa"/>
          </w:tcPr>
          <w:p w14:paraId="2A9BE896" w14:textId="6A4F9745" w:rsidR="00520E8E" w:rsidRPr="00643FD7" w:rsidRDefault="00A139CA" w:rsidP="00520E8E">
            <w:pPr>
              <w:rPr>
                <w:rFonts w:ascii="Verdana" w:hAnsi="Verdana"/>
                <w:sz w:val="20"/>
                <w:szCs w:val="20"/>
              </w:rPr>
            </w:pPr>
            <w:r>
              <w:rPr>
                <w:rFonts w:ascii="Verdana" w:hAnsi="Verdana"/>
                <w:sz w:val="20"/>
                <w:szCs w:val="20"/>
              </w:rPr>
              <w:t>De tuinen van Waterschei</w:t>
            </w:r>
          </w:p>
        </w:tc>
        <w:tc>
          <w:tcPr>
            <w:tcW w:w="4820" w:type="dxa"/>
          </w:tcPr>
          <w:p w14:paraId="68F2203F" w14:textId="63CB1068" w:rsidR="00C818F7" w:rsidRPr="00643FD7" w:rsidRDefault="006775E9" w:rsidP="00C55554">
            <w:pPr>
              <w:spacing w:line="276" w:lineRule="auto"/>
              <w:rPr>
                <w:rFonts w:ascii="Verdana" w:hAnsi="Verdana"/>
                <w:sz w:val="20"/>
                <w:szCs w:val="20"/>
              </w:rPr>
            </w:pPr>
            <w:r w:rsidRPr="00BC1317">
              <w:rPr>
                <w:rFonts w:ascii="Verdana" w:hAnsi="Verdana"/>
                <w:sz w:val="20"/>
                <w:szCs w:val="20"/>
              </w:rPr>
              <w:t xml:space="preserve">Tuinen van Waterschei is een belangrijk hefboomproject in de realisatie van het </w:t>
            </w:r>
            <w:r>
              <w:rPr>
                <w:rFonts w:ascii="Verdana" w:hAnsi="Verdana"/>
                <w:sz w:val="20"/>
                <w:szCs w:val="20"/>
              </w:rPr>
              <w:t>‘</w:t>
            </w:r>
            <w:r w:rsidRPr="00BC1317">
              <w:rPr>
                <w:rFonts w:ascii="Verdana" w:hAnsi="Verdana"/>
                <w:sz w:val="20"/>
                <w:szCs w:val="20"/>
              </w:rPr>
              <w:t>Stiemerprogramma</w:t>
            </w:r>
            <w:r>
              <w:rPr>
                <w:rFonts w:ascii="Verdana" w:hAnsi="Verdana"/>
                <w:sz w:val="20"/>
                <w:szCs w:val="20"/>
              </w:rPr>
              <w:t>’</w:t>
            </w:r>
            <w:r w:rsidRPr="00BC1317">
              <w:rPr>
                <w:rFonts w:ascii="Verdana" w:hAnsi="Verdana"/>
                <w:sz w:val="20"/>
                <w:szCs w:val="20"/>
              </w:rPr>
              <w:t xml:space="preserve"> van de stad Genk. De Tuinen van Waterschei zijn gesitueerd op de bovenloop van de Stiemer en omvatten een gebied waar verschillende delen van het stedelijk weefsel elkaar raken of overlappen: de superdiverse mijncités Waterschei-Noord en Waterschei-Zuid, de residentiële wijk Oud-Waterschei, de lokale handelsstraat Stalenstraat, het wetenschaps-en technologiepark Thor Park, en de Stiemer als waterloop dwars door dit gebied. Doorheen de jaren heeft de stad zijn rug gekeerd naar de vallei met als resultaat een sterk ingesnoerde beek, versnippering van de groene ruimte en een verloren connectie tussen beek en het brede valleigebied. Waar het Stiemerprogramma deze verbindingen wil herstellen op het niveau van de stad, wil Tuinen van Waterschei dit doen als piloot en proeftuin op niveau van Waterschei. De stad volgt een (re)connectiestrategie met als doelstelling de verbindingen in de driehoek natuur-mens-ondernemerschap te herstellen en/of te versterken. Achterliggende ambitie is om de Stiemervallei op te waarderen tot een multifunctionele blauwgroene ader die de levenskwaliteit van de Genkenaar </w:t>
            </w:r>
            <w:r w:rsidRPr="00BC1317">
              <w:rPr>
                <w:rFonts w:ascii="Verdana" w:hAnsi="Verdana"/>
                <w:sz w:val="20"/>
                <w:szCs w:val="20"/>
              </w:rPr>
              <w:lastRenderedPageBreak/>
              <w:t>verhoogt, en de veerkracht van de stad versterkt. De stad trekt hierbij resoluut de kaart van nature-based solutions als oplossingsconcept: natuurlijke oplossingen die meerwaarde creëren op zowel ecologisch, sociaal als economisch vlak.</w:t>
            </w:r>
          </w:p>
        </w:tc>
        <w:tc>
          <w:tcPr>
            <w:tcW w:w="1701" w:type="dxa"/>
            <w:tcBorders>
              <w:bottom w:val="single" w:sz="4" w:space="0" w:color="auto"/>
            </w:tcBorders>
          </w:tcPr>
          <w:p w14:paraId="2BCBEE40" w14:textId="2F7042DE" w:rsidR="00520E8E" w:rsidRPr="00643FD7" w:rsidRDefault="00237467" w:rsidP="00237467">
            <w:pPr>
              <w:tabs>
                <w:tab w:val="right" w:pos="1404"/>
              </w:tabs>
              <w:rPr>
                <w:rFonts w:ascii="Verdana" w:hAnsi="Verdana"/>
                <w:sz w:val="20"/>
                <w:szCs w:val="20"/>
              </w:rPr>
            </w:pPr>
            <w:r>
              <w:rPr>
                <w:rFonts w:ascii="Verdana" w:hAnsi="Verdana"/>
                <w:sz w:val="20"/>
                <w:szCs w:val="20"/>
              </w:rPr>
              <w:lastRenderedPageBreak/>
              <w:tab/>
            </w:r>
            <w:r w:rsidR="006775E9" w:rsidRPr="00BC1317">
              <w:rPr>
                <w:rFonts w:ascii="Verdana" w:hAnsi="Verdana"/>
                <w:bCs/>
                <w:sz w:val="20"/>
                <w:szCs w:val="20"/>
              </w:rPr>
              <w:t>2.079.092</w:t>
            </w:r>
          </w:p>
        </w:tc>
        <w:tc>
          <w:tcPr>
            <w:tcW w:w="1701" w:type="dxa"/>
          </w:tcPr>
          <w:p w14:paraId="497FD8A1" w14:textId="35A64E0E" w:rsidR="00520E8E" w:rsidRPr="00643FD7" w:rsidRDefault="006775E9" w:rsidP="00237467">
            <w:pPr>
              <w:jc w:val="center"/>
              <w:rPr>
                <w:rFonts w:ascii="Verdana" w:hAnsi="Verdana"/>
                <w:sz w:val="20"/>
                <w:szCs w:val="20"/>
              </w:rPr>
            </w:pPr>
            <w:r>
              <w:rPr>
                <w:rFonts w:ascii="Verdana" w:hAnsi="Verdana"/>
                <w:sz w:val="20"/>
                <w:szCs w:val="20"/>
              </w:rPr>
              <w:t>18-12-</w:t>
            </w:r>
            <w:r w:rsidR="00A139CA">
              <w:rPr>
                <w:rFonts w:ascii="Verdana" w:hAnsi="Verdana"/>
                <w:sz w:val="20"/>
                <w:szCs w:val="20"/>
              </w:rPr>
              <w:t>2020</w:t>
            </w:r>
          </w:p>
        </w:tc>
        <w:tc>
          <w:tcPr>
            <w:tcW w:w="1701" w:type="dxa"/>
            <w:tcBorders>
              <w:bottom w:val="single" w:sz="4" w:space="0" w:color="auto"/>
            </w:tcBorders>
          </w:tcPr>
          <w:p w14:paraId="48A667FD" w14:textId="7DB88624" w:rsidR="00520E8E" w:rsidRPr="00643FD7" w:rsidRDefault="000623C6" w:rsidP="00BB235C">
            <w:pPr>
              <w:rPr>
                <w:rFonts w:ascii="Verdana" w:hAnsi="Verdana"/>
                <w:sz w:val="20"/>
                <w:szCs w:val="20"/>
              </w:rPr>
            </w:pPr>
            <w:r>
              <w:rPr>
                <w:rFonts w:ascii="Verdana" w:hAnsi="Verdana"/>
                <w:sz w:val="20"/>
                <w:szCs w:val="20"/>
              </w:rPr>
              <w:t>Stad Genk</w:t>
            </w:r>
          </w:p>
        </w:tc>
        <w:tc>
          <w:tcPr>
            <w:tcW w:w="2268" w:type="dxa"/>
          </w:tcPr>
          <w:p w14:paraId="204B514E" w14:textId="307AAF64" w:rsidR="00520E8E" w:rsidRDefault="006376E2" w:rsidP="00C55554">
            <w:pPr>
              <w:jc w:val="right"/>
              <w:rPr>
                <w:rFonts w:ascii="Verdana" w:hAnsi="Verdana"/>
                <w:sz w:val="20"/>
                <w:szCs w:val="20"/>
              </w:rPr>
            </w:pPr>
            <w:r w:rsidRPr="006376E2">
              <w:rPr>
                <w:rFonts w:ascii="Verdana" w:hAnsi="Verdana"/>
                <w:sz w:val="20"/>
                <w:szCs w:val="20"/>
              </w:rPr>
              <w:t>7.480.775 euro</w:t>
            </w:r>
          </w:p>
          <w:p w14:paraId="32F02409" w14:textId="297718FC" w:rsidR="006376E2" w:rsidRPr="00C55554" w:rsidRDefault="00CC45E3" w:rsidP="00C55554">
            <w:pPr>
              <w:jc w:val="right"/>
              <w:rPr>
                <w:rFonts w:ascii="Verdana" w:hAnsi="Verdana"/>
                <w:i/>
                <w:iCs/>
                <w:sz w:val="20"/>
                <w:szCs w:val="20"/>
              </w:rPr>
            </w:pPr>
            <w:r w:rsidRPr="00CC45E3">
              <w:rPr>
                <w:rFonts w:ascii="Verdana" w:hAnsi="Verdana"/>
                <w:i/>
                <w:iCs/>
                <w:sz w:val="20"/>
                <w:szCs w:val="20"/>
              </w:rPr>
              <w:t>(investeringsfonds – projectsubsidies stadsvernieuwing)</w:t>
            </w:r>
          </w:p>
        </w:tc>
      </w:tr>
      <w:tr w:rsidR="00FC16D8" w:rsidRPr="00643FD7" w14:paraId="50717C7A" w14:textId="77777777" w:rsidTr="00841733">
        <w:tc>
          <w:tcPr>
            <w:tcW w:w="2127" w:type="dxa"/>
            <w:vMerge w:val="restart"/>
          </w:tcPr>
          <w:p w14:paraId="15211511" w14:textId="1EEDA624" w:rsidR="00FC16D8" w:rsidRDefault="00FC16D8" w:rsidP="00520E8E">
            <w:pPr>
              <w:rPr>
                <w:rFonts w:ascii="Verdana" w:hAnsi="Verdana"/>
                <w:bCs/>
                <w:sz w:val="20"/>
                <w:szCs w:val="20"/>
              </w:rPr>
            </w:pPr>
            <w:r>
              <w:rPr>
                <w:rFonts w:ascii="Verdana" w:hAnsi="Verdana"/>
                <w:bCs/>
                <w:sz w:val="20"/>
                <w:szCs w:val="20"/>
              </w:rPr>
              <w:t>Plattelandsfonds</w:t>
            </w:r>
          </w:p>
        </w:tc>
        <w:tc>
          <w:tcPr>
            <w:tcW w:w="1984" w:type="dxa"/>
            <w:vMerge w:val="restart"/>
          </w:tcPr>
          <w:p w14:paraId="3131EA52" w14:textId="2BDE7C63" w:rsidR="00FC16D8" w:rsidRDefault="00FC16D8" w:rsidP="00520E8E">
            <w:pPr>
              <w:rPr>
                <w:rFonts w:ascii="Verdana" w:hAnsi="Verdana"/>
                <w:sz w:val="20"/>
                <w:szCs w:val="20"/>
              </w:rPr>
            </w:pPr>
            <w:r>
              <w:rPr>
                <w:rFonts w:ascii="Verdana" w:hAnsi="Verdana"/>
                <w:sz w:val="20"/>
                <w:szCs w:val="20"/>
              </w:rPr>
              <w:t>Jaarlijkse subsidies in het kader van het Plattelandsfonds</w:t>
            </w:r>
          </w:p>
        </w:tc>
        <w:tc>
          <w:tcPr>
            <w:tcW w:w="4820" w:type="dxa"/>
            <w:vMerge w:val="restart"/>
          </w:tcPr>
          <w:p w14:paraId="62F707A8" w14:textId="53F521C7" w:rsidR="00FC16D8" w:rsidRPr="00BC1317" w:rsidRDefault="00FC16D8" w:rsidP="006775E9">
            <w:pPr>
              <w:spacing w:line="276" w:lineRule="auto"/>
              <w:rPr>
                <w:rFonts w:ascii="Verdana" w:hAnsi="Verdana"/>
                <w:sz w:val="20"/>
                <w:szCs w:val="20"/>
              </w:rPr>
            </w:pPr>
            <w:r>
              <w:rPr>
                <w:rFonts w:ascii="Verdana" w:hAnsi="Verdana"/>
                <w:sz w:val="20"/>
                <w:szCs w:val="20"/>
              </w:rPr>
              <w:t>Subsidies aan 50 plattelandsgemeenten die besteed moeten worden aan investeringen in materiële vast activa.</w:t>
            </w:r>
          </w:p>
        </w:tc>
        <w:tc>
          <w:tcPr>
            <w:tcW w:w="1701" w:type="dxa"/>
            <w:tcBorders>
              <w:bottom w:val="dashed" w:sz="4" w:space="0" w:color="auto"/>
            </w:tcBorders>
          </w:tcPr>
          <w:p w14:paraId="39ED96E4" w14:textId="65278865"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167.263,38</w:t>
            </w:r>
          </w:p>
        </w:tc>
        <w:tc>
          <w:tcPr>
            <w:tcW w:w="1701" w:type="dxa"/>
            <w:vMerge w:val="restart"/>
          </w:tcPr>
          <w:p w14:paraId="6AC28104" w14:textId="2569BE2A" w:rsidR="00FC16D8" w:rsidRDefault="00FC16D8" w:rsidP="00237467">
            <w:pPr>
              <w:jc w:val="center"/>
              <w:rPr>
                <w:rFonts w:ascii="Verdana" w:hAnsi="Verdana"/>
                <w:sz w:val="20"/>
                <w:szCs w:val="20"/>
              </w:rPr>
            </w:pPr>
            <w:r>
              <w:rPr>
                <w:rFonts w:ascii="Verdana" w:hAnsi="Verdana"/>
                <w:sz w:val="20"/>
                <w:szCs w:val="20"/>
              </w:rPr>
              <w:t>20-03-2020</w:t>
            </w:r>
          </w:p>
        </w:tc>
        <w:tc>
          <w:tcPr>
            <w:tcW w:w="1701" w:type="dxa"/>
            <w:tcBorders>
              <w:bottom w:val="dashed" w:sz="4" w:space="0" w:color="auto"/>
            </w:tcBorders>
          </w:tcPr>
          <w:p w14:paraId="42DC6EA3" w14:textId="2880C6A0" w:rsidR="00FC16D8" w:rsidRDefault="00FC16D8" w:rsidP="00BB235C">
            <w:pPr>
              <w:rPr>
                <w:rFonts w:ascii="Verdana" w:hAnsi="Verdana"/>
                <w:sz w:val="20"/>
                <w:szCs w:val="20"/>
              </w:rPr>
            </w:pPr>
            <w:r>
              <w:rPr>
                <w:rFonts w:ascii="Verdana" w:hAnsi="Verdana"/>
                <w:sz w:val="20"/>
                <w:szCs w:val="20"/>
              </w:rPr>
              <w:t>Borgloon</w:t>
            </w:r>
          </w:p>
        </w:tc>
        <w:tc>
          <w:tcPr>
            <w:tcW w:w="2268" w:type="dxa"/>
            <w:vMerge w:val="restart"/>
          </w:tcPr>
          <w:p w14:paraId="343A1482" w14:textId="2F35ACE7" w:rsidR="00FC16D8" w:rsidRDefault="00FC16D8" w:rsidP="00C55554">
            <w:pPr>
              <w:jc w:val="right"/>
              <w:rPr>
                <w:rFonts w:ascii="Verdana" w:hAnsi="Verdana"/>
                <w:sz w:val="20"/>
                <w:szCs w:val="20"/>
              </w:rPr>
            </w:pPr>
            <w:r>
              <w:rPr>
                <w:rFonts w:ascii="Verdana" w:hAnsi="Verdana"/>
                <w:sz w:val="20"/>
                <w:szCs w:val="20"/>
              </w:rPr>
              <w:t xml:space="preserve">7.472.984,20 </w:t>
            </w:r>
            <w:r w:rsidR="00C55554">
              <w:rPr>
                <w:rFonts w:ascii="Verdana" w:hAnsi="Verdana"/>
                <w:sz w:val="20"/>
                <w:szCs w:val="20"/>
              </w:rPr>
              <w:t>euro</w:t>
            </w:r>
          </w:p>
          <w:p w14:paraId="1D8D4A8B" w14:textId="3372E43C" w:rsidR="00FC16D8" w:rsidRPr="00FC16D8" w:rsidRDefault="00FC16D8" w:rsidP="00C55554">
            <w:pPr>
              <w:jc w:val="right"/>
              <w:rPr>
                <w:rFonts w:ascii="Verdana" w:hAnsi="Verdana"/>
                <w:i/>
                <w:iCs/>
                <w:sz w:val="20"/>
                <w:szCs w:val="20"/>
              </w:rPr>
            </w:pPr>
            <w:r w:rsidRPr="00FC16D8">
              <w:rPr>
                <w:rFonts w:ascii="Verdana" w:hAnsi="Verdana"/>
                <w:i/>
                <w:iCs/>
                <w:sz w:val="20"/>
                <w:szCs w:val="20"/>
              </w:rPr>
              <w:t>(investeringsfonds – subsidies plattelands</w:t>
            </w:r>
            <w:r>
              <w:rPr>
                <w:rFonts w:ascii="Verdana" w:hAnsi="Verdana"/>
                <w:i/>
                <w:iCs/>
                <w:sz w:val="20"/>
                <w:szCs w:val="20"/>
              </w:rPr>
              <w:t>fonds</w:t>
            </w:r>
            <w:r w:rsidRPr="00FC16D8">
              <w:rPr>
                <w:rFonts w:ascii="Verdana" w:hAnsi="Verdana"/>
                <w:i/>
                <w:iCs/>
                <w:sz w:val="20"/>
                <w:szCs w:val="20"/>
              </w:rPr>
              <w:t>)</w:t>
            </w:r>
          </w:p>
        </w:tc>
      </w:tr>
      <w:tr w:rsidR="00FC16D8" w:rsidRPr="00643FD7" w14:paraId="2ED45269" w14:textId="77777777" w:rsidTr="00841733">
        <w:tc>
          <w:tcPr>
            <w:tcW w:w="2127" w:type="dxa"/>
            <w:vMerge/>
          </w:tcPr>
          <w:p w14:paraId="2F46EEFC" w14:textId="77777777" w:rsidR="00FC16D8" w:rsidRDefault="00FC16D8" w:rsidP="00520E8E">
            <w:pPr>
              <w:rPr>
                <w:rFonts w:ascii="Verdana" w:hAnsi="Verdana"/>
                <w:bCs/>
                <w:sz w:val="20"/>
                <w:szCs w:val="20"/>
              </w:rPr>
            </w:pPr>
          </w:p>
        </w:tc>
        <w:tc>
          <w:tcPr>
            <w:tcW w:w="1984" w:type="dxa"/>
            <w:vMerge/>
          </w:tcPr>
          <w:p w14:paraId="4F4B0E4A" w14:textId="77777777" w:rsidR="00FC16D8" w:rsidRDefault="00FC16D8" w:rsidP="00520E8E">
            <w:pPr>
              <w:rPr>
                <w:rFonts w:ascii="Verdana" w:hAnsi="Verdana"/>
                <w:sz w:val="20"/>
                <w:szCs w:val="20"/>
              </w:rPr>
            </w:pPr>
          </w:p>
        </w:tc>
        <w:tc>
          <w:tcPr>
            <w:tcW w:w="4820" w:type="dxa"/>
            <w:vMerge/>
          </w:tcPr>
          <w:p w14:paraId="0D70176F"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bottom w:val="dashed" w:sz="4" w:space="0" w:color="auto"/>
            </w:tcBorders>
          </w:tcPr>
          <w:p w14:paraId="203FBC0B" w14:textId="38A875D7"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224.513,52</w:t>
            </w:r>
          </w:p>
        </w:tc>
        <w:tc>
          <w:tcPr>
            <w:tcW w:w="1701" w:type="dxa"/>
            <w:vMerge/>
          </w:tcPr>
          <w:p w14:paraId="481DA6BF" w14:textId="77777777" w:rsidR="00FC16D8" w:rsidRDefault="00FC16D8" w:rsidP="00237467">
            <w:pPr>
              <w:jc w:val="center"/>
              <w:rPr>
                <w:rFonts w:ascii="Verdana" w:hAnsi="Verdana"/>
                <w:sz w:val="20"/>
                <w:szCs w:val="20"/>
              </w:rPr>
            </w:pPr>
          </w:p>
        </w:tc>
        <w:tc>
          <w:tcPr>
            <w:tcW w:w="1701" w:type="dxa"/>
            <w:tcBorders>
              <w:top w:val="dashed" w:sz="4" w:space="0" w:color="auto"/>
              <w:bottom w:val="dashed" w:sz="4" w:space="0" w:color="auto"/>
            </w:tcBorders>
          </w:tcPr>
          <w:p w14:paraId="3492C26E" w14:textId="7F17F6E0" w:rsidR="00FC16D8" w:rsidRDefault="00FC16D8" w:rsidP="00BB235C">
            <w:pPr>
              <w:rPr>
                <w:rFonts w:ascii="Verdana" w:hAnsi="Verdana"/>
                <w:sz w:val="20"/>
                <w:szCs w:val="20"/>
              </w:rPr>
            </w:pPr>
            <w:r>
              <w:rPr>
                <w:rFonts w:ascii="Verdana" w:hAnsi="Verdana"/>
                <w:sz w:val="20"/>
                <w:szCs w:val="20"/>
              </w:rPr>
              <w:t>Gingelom</w:t>
            </w:r>
          </w:p>
        </w:tc>
        <w:tc>
          <w:tcPr>
            <w:tcW w:w="2268" w:type="dxa"/>
            <w:vMerge/>
          </w:tcPr>
          <w:p w14:paraId="7D39D604" w14:textId="77777777" w:rsidR="00FC16D8" w:rsidRPr="006376E2" w:rsidRDefault="00FC16D8" w:rsidP="00BB235C">
            <w:pPr>
              <w:rPr>
                <w:rFonts w:ascii="Verdana" w:hAnsi="Verdana"/>
                <w:sz w:val="20"/>
                <w:szCs w:val="20"/>
              </w:rPr>
            </w:pPr>
          </w:p>
        </w:tc>
      </w:tr>
      <w:tr w:rsidR="00FC16D8" w:rsidRPr="00643FD7" w14:paraId="6CB1AE65" w14:textId="77777777" w:rsidTr="00841733">
        <w:tc>
          <w:tcPr>
            <w:tcW w:w="2127" w:type="dxa"/>
            <w:vMerge/>
          </w:tcPr>
          <w:p w14:paraId="17BE6719" w14:textId="77777777" w:rsidR="00FC16D8" w:rsidRDefault="00FC16D8" w:rsidP="00520E8E">
            <w:pPr>
              <w:rPr>
                <w:rFonts w:ascii="Verdana" w:hAnsi="Verdana"/>
                <w:bCs/>
                <w:sz w:val="20"/>
                <w:szCs w:val="20"/>
              </w:rPr>
            </w:pPr>
          </w:p>
        </w:tc>
        <w:tc>
          <w:tcPr>
            <w:tcW w:w="1984" w:type="dxa"/>
            <w:vMerge/>
          </w:tcPr>
          <w:p w14:paraId="7E85E173" w14:textId="77777777" w:rsidR="00FC16D8" w:rsidRDefault="00FC16D8" w:rsidP="00520E8E">
            <w:pPr>
              <w:rPr>
                <w:rFonts w:ascii="Verdana" w:hAnsi="Verdana"/>
                <w:sz w:val="20"/>
                <w:szCs w:val="20"/>
              </w:rPr>
            </w:pPr>
          </w:p>
        </w:tc>
        <w:tc>
          <w:tcPr>
            <w:tcW w:w="4820" w:type="dxa"/>
            <w:vMerge/>
          </w:tcPr>
          <w:p w14:paraId="712701E5"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bottom w:val="dashed" w:sz="4" w:space="0" w:color="auto"/>
            </w:tcBorders>
          </w:tcPr>
          <w:p w14:paraId="0080979F" w14:textId="31BD8934"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233.456,78</w:t>
            </w:r>
          </w:p>
        </w:tc>
        <w:tc>
          <w:tcPr>
            <w:tcW w:w="1701" w:type="dxa"/>
            <w:vMerge/>
          </w:tcPr>
          <w:p w14:paraId="604551C0" w14:textId="77777777" w:rsidR="00FC16D8" w:rsidRDefault="00FC16D8" w:rsidP="00237467">
            <w:pPr>
              <w:jc w:val="center"/>
              <w:rPr>
                <w:rFonts w:ascii="Verdana" w:hAnsi="Verdana"/>
                <w:sz w:val="20"/>
                <w:szCs w:val="20"/>
              </w:rPr>
            </w:pPr>
          </w:p>
        </w:tc>
        <w:tc>
          <w:tcPr>
            <w:tcW w:w="1701" w:type="dxa"/>
            <w:tcBorders>
              <w:top w:val="dashed" w:sz="4" w:space="0" w:color="auto"/>
              <w:bottom w:val="dashed" w:sz="4" w:space="0" w:color="auto"/>
            </w:tcBorders>
          </w:tcPr>
          <w:p w14:paraId="5E5E2C49" w14:textId="19771490" w:rsidR="00FC16D8" w:rsidRDefault="00FC16D8" w:rsidP="00BB235C">
            <w:pPr>
              <w:rPr>
                <w:rFonts w:ascii="Verdana" w:hAnsi="Verdana"/>
                <w:sz w:val="20"/>
                <w:szCs w:val="20"/>
              </w:rPr>
            </w:pPr>
            <w:r>
              <w:rPr>
                <w:rFonts w:ascii="Verdana" w:hAnsi="Verdana"/>
                <w:sz w:val="20"/>
                <w:szCs w:val="20"/>
              </w:rPr>
              <w:t>Heers</w:t>
            </w:r>
          </w:p>
        </w:tc>
        <w:tc>
          <w:tcPr>
            <w:tcW w:w="2268" w:type="dxa"/>
            <w:vMerge/>
          </w:tcPr>
          <w:p w14:paraId="5DD5C349" w14:textId="77777777" w:rsidR="00FC16D8" w:rsidRPr="006376E2" w:rsidRDefault="00FC16D8" w:rsidP="00BB235C">
            <w:pPr>
              <w:rPr>
                <w:rFonts w:ascii="Verdana" w:hAnsi="Verdana"/>
                <w:sz w:val="20"/>
                <w:szCs w:val="20"/>
              </w:rPr>
            </w:pPr>
          </w:p>
        </w:tc>
      </w:tr>
      <w:tr w:rsidR="00FC16D8" w:rsidRPr="00643FD7" w14:paraId="0AB8D73D" w14:textId="77777777" w:rsidTr="00841733">
        <w:tc>
          <w:tcPr>
            <w:tcW w:w="2127" w:type="dxa"/>
            <w:vMerge/>
          </w:tcPr>
          <w:p w14:paraId="450E2A62" w14:textId="77777777" w:rsidR="00FC16D8" w:rsidRDefault="00FC16D8" w:rsidP="00520E8E">
            <w:pPr>
              <w:rPr>
                <w:rFonts w:ascii="Verdana" w:hAnsi="Verdana"/>
                <w:bCs/>
                <w:sz w:val="20"/>
                <w:szCs w:val="20"/>
              </w:rPr>
            </w:pPr>
          </w:p>
        </w:tc>
        <w:tc>
          <w:tcPr>
            <w:tcW w:w="1984" w:type="dxa"/>
            <w:vMerge/>
          </w:tcPr>
          <w:p w14:paraId="4B7CBC61" w14:textId="77777777" w:rsidR="00FC16D8" w:rsidRDefault="00FC16D8" w:rsidP="00520E8E">
            <w:pPr>
              <w:rPr>
                <w:rFonts w:ascii="Verdana" w:hAnsi="Verdana"/>
                <w:sz w:val="20"/>
                <w:szCs w:val="20"/>
              </w:rPr>
            </w:pPr>
          </w:p>
        </w:tc>
        <w:tc>
          <w:tcPr>
            <w:tcW w:w="4820" w:type="dxa"/>
            <w:vMerge/>
          </w:tcPr>
          <w:p w14:paraId="0B53B9B8"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bottom w:val="dashed" w:sz="4" w:space="0" w:color="auto"/>
            </w:tcBorders>
          </w:tcPr>
          <w:p w14:paraId="26089193" w14:textId="4F457066"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3.632,59</w:t>
            </w:r>
          </w:p>
        </w:tc>
        <w:tc>
          <w:tcPr>
            <w:tcW w:w="1701" w:type="dxa"/>
            <w:vMerge/>
          </w:tcPr>
          <w:p w14:paraId="31C5840D" w14:textId="77777777" w:rsidR="00FC16D8" w:rsidRDefault="00FC16D8" w:rsidP="00237467">
            <w:pPr>
              <w:jc w:val="center"/>
              <w:rPr>
                <w:rFonts w:ascii="Verdana" w:hAnsi="Verdana"/>
                <w:sz w:val="20"/>
                <w:szCs w:val="20"/>
              </w:rPr>
            </w:pPr>
          </w:p>
        </w:tc>
        <w:tc>
          <w:tcPr>
            <w:tcW w:w="1701" w:type="dxa"/>
            <w:tcBorders>
              <w:top w:val="dashed" w:sz="4" w:space="0" w:color="auto"/>
              <w:bottom w:val="dashed" w:sz="4" w:space="0" w:color="auto"/>
            </w:tcBorders>
          </w:tcPr>
          <w:p w14:paraId="0167C3CA" w14:textId="0BA24ED8" w:rsidR="00FC16D8" w:rsidRDefault="00FC16D8" w:rsidP="00BB235C">
            <w:pPr>
              <w:rPr>
                <w:rFonts w:ascii="Verdana" w:hAnsi="Verdana"/>
                <w:sz w:val="20"/>
                <w:szCs w:val="20"/>
              </w:rPr>
            </w:pPr>
            <w:r>
              <w:rPr>
                <w:rFonts w:ascii="Verdana" w:hAnsi="Verdana"/>
                <w:sz w:val="20"/>
                <w:szCs w:val="20"/>
              </w:rPr>
              <w:t>Herstappe</w:t>
            </w:r>
          </w:p>
        </w:tc>
        <w:tc>
          <w:tcPr>
            <w:tcW w:w="2268" w:type="dxa"/>
            <w:vMerge/>
          </w:tcPr>
          <w:p w14:paraId="04CEC06D" w14:textId="77777777" w:rsidR="00FC16D8" w:rsidRPr="006376E2" w:rsidRDefault="00FC16D8" w:rsidP="00BB235C">
            <w:pPr>
              <w:rPr>
                <w:rFonts w:ascii="Verdana" w:hAnsi="Verdana"/>
                <w:sz w:val="20"/>
                <w:szCs w:val="20"/>
              </w:rPr>
            </w:pPr>
          </w:p>
        </w:tc>
      </w:tr>
      <w:tr w:rsidR="00FC16D8" w:rsidRPr="00643FD7" w14:paraId="2BCFF134" w14:textId="77777777" w:rsidTr="00841733">
        <w:tc>
          <w:tcPr>
            <w:tcW w:w="2127" w:type="dxa"/>
            <w:vMerge/>
          </w:tcPr>
          <w:p w14:paraId="0ED32AF7" w14:textId="77777777" w:rsidR="00FC16D8" w:rsidRDefault="00FC16D8" w:rsidP="00520E8E">
            <w:pPr>
              <w:rPr>
                <w:rFonts w:ascii="Verdana" w:hAnsi="Verdana"/>
                <w:bCs/>
                <w:sz w:val="20"/>
                <w:szCs w:val="20"/>
              </w:rPr>
            </w:pPr>
          </w:p>
        </w:tc>
        <w:tc>
          <w:tcPr>
            <w:tcW w:w="1984" w:type="dxa"/>
            <w:vMerge/>
          </w:tcPr>
          <w:p w14:paraId="5623FA8E" w14:textId="77777777" w:rsidR="00FC16D8" w:rsidRDefault="00FC16D8" w:rsidP="00520E8E">
            <w:pPr>
              <w:rPr>
                <w:rFonts w:ascii="Verdana" w:hAnsi="Verdana"/>
                <w:sz w:val="20"/>
                <w:szCs w:val="20"/>
              </w:rPr>
            </w:pPr>
          </w:p>
        </w:tc>
        <w:tc>
          <w:tcPr>
            <w:tcW w:w="4820" w:type="dxa"/>
            <w:vMerge/>
          </w:tcPr>
          <w:p w14:paraId="3D4FF599"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bottom w:val="dashed" w:sz="4" w:space="0" w:color="auto"/>
            </w:tcBorders>
          </w:tcPr>
          <w:p w14:paraId="3F8DCA85" w14:textId="35F5D119"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233.456,78</w:t>
            </w:r>
          </w:p>
        </w:tc>
        <w:tc>
          <w:tcPr>
            <w:tcW w:w="1701" w:type="dxa"/>
            <w:vMerge/>
          </w:tcPr>
          <w:p w14:paraId="3D9F2549" w14:textId="77777777" w:rsidR="00FC16D8" w:rsidRDefault="00FC16D8" w:rsidP="00237467">
            <w:pPr>
              <w:jc w:val="center"/>
              <w:rPr>
                <w:rFonts w:ascii="Verdana" w:hAnsi="Verdana"/>
                <w:sz w:val="20"/>
                <w:szCs w:val="20"/>
              </w:rPr>
            </w:pPr>
          </w:p>
        </w:tc>
        <w:tc>
          <w:tcPr>
            <w:tcW w:w="1701" w:type="dxa"/>
            <w:tcBorders>
              <w:top w:val="dashed" w:sz="4" w:space="0" w:color="auto"/>
              <w:bottom w:val="dashed" w:sz="4" w:space="0" w:color="auto"/>
            </w:tcBorders>
          </w:tcPr>
          <w:p w14:paraId="1D663A9D" w14:textId="0E17796A" w:rsidR="00FC16D8" w:rsidRDefault="00FC16D8" w:rsidP="00BB235C">
            <w:pPr>
              <w:rPr>
                <w:rFonts w:ascii="Verdana" w:hAnsi="Verdana"/>
                <w:sz w:val="20"/>
                <w:szCs w:val="20"/>
              </w:rPr>
            </w:pPr>
            <w:r>
              <w:rPr>
                <w:rFonts w:ascii="Verdana" w:hAnsi="Verdana"/>
                <w:sz w:val="20"/>
                <w:szCs w:val="20"/>
              </w:rPr>
              <w:t>Oudsbergen</w:t>
            </w:r>
          </w:p>
        </w:tc>
        <w:tc>
          <w:tcPr>
            <w:tcW w:w="2268" w:type="dxa"/>
            <w:vMerge/>
          </w:tcPr>
          <w:p w14:paraId="75E34B62" w14:textId="77777777" w:rsidR="00FC16D8" w:rsidRPr="006376E2" w:rsidRDefault="00FC16D8" w:rsidP="00BB235C">
            <w:pPr>
              <w:rPr>
                <w:rFonts w:ascii="Verdana" w:hAnsi="Verdana"/>
                <w:sz w:val="20"/>
                <w:szCs w:val="20"/>
              </w:rPr>
            </w:pPr>
          </w:p>
        </w:tc>
      </w:tr>
      <w:tr w:rsidR="00FC16D8" w:rsidRPr="00643FD7" w14:paraId="3448DC54" w14:textId="77777777" w:rsidTr="00841733">
        <w:tc>
          <w:tcPr>
            <w:tcW w:w="2127" w:type="dxa"/>
            <w:vMerge/>
          </w:tcPr>
          <w:p w14:paraId="29DE9453" w14:textId="77777777" w:rsidR="00FC16D8" w:rsidRDefault="00FC16D8" w:rsidP="00520E8E">
            <w:pPr>
              <w:rPr>
                <w:rFonts w:ascii="Verdana" w:hAnsi="Verdana"/>
                <w:bCs/>
                <w:sz w:val="20"/>
                <w:szCs w:val="20"/>
              </w:rPr>
            </w:pPr>
          </w:p>
        </w:tc>
        <w:tc>
          <w:tcPr>
            <w:tcW w:w="1984" w:type="dxa"/>
            <w:vMerge/>
          </w:tcPr>
          <w:p w14:paraId="5AED0479" w14:textId="77777777" w:rsidR="00FC16D8" w:rsidRDefault="00FC16D8" w:rsidP="00520E8E">
            <w:pPr>
              <w:rPr>
                <w:rFonts w:ascii="Verdana" w:hAnsi="Verdana"/>
                <w:sz w:val="20"/>
                <w:szCs w:val="20"/>
              </w:rPr>
            </w:pPr>
          </w:p>
        </w:tc>
        <w:tc>
          <w:tcPr>
            <w:tcW w:w="4820" w:type="dxa"/>
            <w:vMerge/>
          </w:tcPr>
          <w:p w14:paraId="51D18B5E"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bottom w:val="dashed" w:sz="4" w:space="0" w:color="auto"/>
            </w:tcBorders>
          </w:tcPr>
          <w:p w14:paraId="6EDC8730" w14:textId="32636FF8"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233.456,78</w:t>
            </w:r>
          </w:p>
        </w:tc>
        <w:tc>
          <w:tcPr>
            <w:tcW w:w="1701" w:type="dxa"/>
            <w:vMerge/>
          </w:tcPr>
          <w:p w14:paraId="1D3B27D0" w14:textId="77777777" w:rsidR="00FC16D8" w:rsidRDefault="00FC16D8" w:rsidP="00237467">
            <w:pPr>
              <w:jc w:val="center"/>
              <w:rPr>
                <w:rFonts w:ascii="Verdana" w:hAnsi="Verdana"/>
                <w:sz w:val="20"/>
                <w:szCs w:val="20"/>
              </w:rPr>
            </w:pPr>
          </w:p>
        </w:tc>
        <w:tc>
          <w:tcPr>
            <w:tcW w:w="1701" w:type="dxa"/>
            <w:tcBorders>
              <w:top w:val="dashed" w:sz="4" w:space="0" w:color="auto"/>
              <w:bottom w:val="dashed" w:sz="4" w:space="0" w:color="auto"/>
            </w:tcBorders>
          </w:tcPr>
          <w:p w14:paraId="01731548" w14:textId="210E2A7E" w:rsidR="00FC16D8" w:rsidRDefault="00FC16D8" w:rsidP="00BB235C">
            <w:pPr>
              <w:rPr>
                <w:rFonts w:ascii="Verdana" w:hAnsi="Verdana"/>
                <w:sz w:val="20"/>
                <w:szCs w:val="20"/>
              </w:rPr>
            </w:pPr>
            <w:r>
              <w:rPr>
                <w:rFonts w:ascii="Verdana" w:hAnsi="Verdana"/>
                <w:sz w:val="20"/>
                <w:szCs w:val="20"/>
              </w:rPr>
              <w:t>Peer</w:t>
            </w:r>
          </w:p>
        </w:tc>
        <w:tc>
          <w:tcPr>
            <w:tcW w:w="2268" w:type="dxa"/>
            <w:vMerge/>
          </w:tcPr>
          <w:p w14:paraId="37041FE8" w14:textId="77777777" w:rsidR="00FC16D8" w:rsidRPr="006376E2" w:rsidRDefault="00FC16D8" w:rsidP="00BB235C">
            <w:pPr>
              <w:rPr>
                <w:rFonts w:ascii="Verdana" w:hAnsi="Verdana"/>
                <w:sz w:val="20"/>
                <w:szCs w:val="20"/>
              </w:rPr>
            </w:pPr>
          </w:p>
        </w:tc>
      </w:tr>
      <w:tr w:rsidR="00FC16D8" w:rsidRPr="00643FD7" w14:paraId="46AD3BC4" w14:textId="77777777" w:rsidTr="00841733">
        <w:tc>
          <w:tcPr>
            <w:tcW w:w="2127" w:type="dxa"/>
            <w:vMerge/>
          </w:tcPr>
          <w:p w14:paraId="7E9C7C27" w14:textId="77777777" w:rsidR="00FC16D8" w:rsidRDefault="00FC16D8" w:rsidP="00520E8E">
            <w:pPr>
              <w:rPr>
                <w:rFonts w:ascii="Verdana" w:hAnsi="Verdana"/>
                <w:bCs/>
                <w:sz w:val="20"/>
                <w:szCs w:val="20"/>
              </w:rPr>
            </w:pPr>
          </w:p>
        </w:tc>
        <w:tc>
          <w:tcPr>
            <w:tcW w:w="1984" w:type="dxa"/>
            <w:vMerge/>
          </w:tcPr>
          <w:p w14:paraId="5453DE3A" w14:textId="77777777" w:rsidR="00FC16D8" w:rsidRDefault="00FC16D8" w:rsidP="00520E8E">
            <w:pPr>
              <w:rPr>
                <w:rFonts w:ascii="Verdana" w:hAnsi="Verdana"/>
                <w:sz w:val="20"/>
                <w:szCs w:val="20"/>
              </w:rPr>
            </w:pPr>
          </w:p>
        </w:tc>
        <w:tc>
          <w:tcPr>
            <w:tcW w:w="4820" w:type="dxa"/>
            <w:vMerge/>
          </w:tcPr>
          <w:p w14:paraId="30812CDD" w14:textId="77777777" w:rsidR="00FC16D8" w:rsidRPr="00BC1317" w:rsidRDefault="00FC16D8" w:rsidP="006775E9">
            <w:pPr>
              <w:spacing w:line="276" w:lineRule="auto"/>
              <w:rPr>
                <w:rFonts w:ascii="Verdana" w:hAnsi="Verdana"/>
                <w:sz w:val="20"/>
                <w:szCs w:val="20"/>
              </w:rPr>
            </w:pPr>
          </w:p>
        </w:tc>
        <w:tc>
          <w:tcPr>
            <w:tcW w:w="1701" w:type="dxa"/>
            <w:tcBorders>
              <w:top w:val="dashed" w:sz="4" w:space="0" w:color="auto"/>
            </w:tcBorders>
          </w:tcPr>
          <w:p w14:paraId="66A2F34C" w14:textId="2BCB464D" w:rsidR="00FC16D8" w:rsidRDefault="00C55554" w:rsidP="00C55554">
            <w:pPr>
              <w:tabs>
                <w:tab w:val="right" w:pos="1404"/>
              </w:tabs>
              <w:rPr>
                <w:rFonts w:ascii="Verdana" w:hAnsi="Verdana"/>
                <w:sz w:val="20"/>
                <w:szCs w:val="20"/>
              </w:rPr>
            </w:pPr>
            <w:r>
              <w:rPr>
                <w:rFonts w:ascii="Verdana" w:hAnsi="Verdana"/>
                <w:sz w:val="20"/>
                <w:szCs w:val="20"/>
              </w:rPr>
              <w:tab/>
            </w:r>
            <w:r w:rsidR="00FC16D8">
              <w:rPr>
                <w:rFonts w:ascii="Verdana" w:hAnsi="Verdana"/>
                <w:sz w:val="20"/>
                <w:szCs w:val="20"/>
              </w:rPr>
              <w:t>193.713,10</w:t>
            </w:r>
          </w:p>
        </w:tc>
        <w:tc>
          <w:tcPr>
            <w:tcW w:w="1701" w:type="dxa"/>
            <w:vMerge/>
          </w:tcPr>
          <w:p w14:paraId="145CA2B9" w14:textId="77777777" w:rsidR="00FC16D8" w:rsidRDefault="00FC16D8" w:rsidP="00237467">
            <w:pPr>
              <w:jc w:val="center"/>
              <w:rPr>
                <w:rFonts w:ascii="Verdana" w:hAnsi="Verdana"/>
                <w:sz w:val="20"/>
                <w:szCs w:val="20"/>
              </w:rPr>
            </w:pPr>
          </w:p>
        </w:tc>
        <w:tc>
          <w:tcPr>
            <w:tcW w:w="1701" w:type="dxa"/>
            <w:tcBorders>
              <w:top w:val="dashed" w:sz="4" w:space="0" w:color="auto"/>
            </w:tcBorders>
          </w:tcPr>
          <w:p w14:paraId="40DB4D34" w14:textId="5CC9BB23" w:rsidR="00FC16D8" w:rsidRDefault="00FC16D8" w:rsidP="00BB235C">
            <w:pPr>
              <w:rPr>
                <w:rFonts w:ascii="Verdana" w:hAnsi="Verdana"/>
                <w:sz w:val="20"/>
                <w:szCs w:val="20"/>
              </w:rPr>
            </w:pPr>
            <w:r>
              <w:rPr>
                <w:rFonts w:ascii="Verdana" w:hAnsi="Verdana"/>
                <w:sz w:val="20"/>
                <w:szCs w:val="20"/>
              </w:rPr>
              <w:t>Voeren</w:t>
            </w:r>
          </w:p>
        </w:tc>
        <w:tc>
          <w:tcPr>
            <w:tcW w:w="2268" w:type="dxa"/>
            <w:vMerge/>
          </w:tcPr>
          <w:p w14:paraId="382D8DFF" w14:textId="77777777" w:rsidR="00FC16D8" w:rsidRPr="006376E2" w:rsidRDefault="00FC16D8" w:rsidP="00BB235C">
            <w:pPr>
              <w:rPr>
                <w:rFonts w:ascii="Verdana" w:hAnsi="Verdana"/>
                <w:sz w:val="20"/>
                <w:szCs w:val="20"/>
              </w:rPr>
            </w:pPr>
          </w:p>
        </w:tc>
      </w:tr>
    </w:tbl>
    <w:p w14:paraId="616C1BBB" w14:textId="77777777" w:rsidR="00A139CA" w:rsidRDefault="00A139CA"/>
    <w:sectPr w:rsidR="00A139CA" w:rsidSect="004B1482">
      <w:footerReference w:type="default" r:id="rId10"/>
      <w:headerReference w:type="first" r:id="rId11"/>
      <w:footerReference w:type="first" r:id="rId12"/>
      <w:pgSz w:w="16838" w:h="11906" w:orient="landscape"/>
      <w:pgMar w:top="1135"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7CE8" w14:textId="77777777" w:rsidR="000169CE" w:rsidRDefault="000169CE" w:rsidP="000A75E3">
      <w:pPr>
        <w:spacing w:after="0" w:line="240" w:lineRule="auto"/>
      </w:pPr>
      <w:r>
        <w:separator/>
      </w:r>
    </w:p>
  </w:endnote>
  <w:endnote w:type="continuationSeparator" w:id="0">
    <w:p w14:paraId="77E26588" w14:textId="77777777" w:rsidR="000169CE" w:rsidRDefault="000169CE" w:rsidP="000A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4DFC" w14:textId="13ADB285" w:rsidR="000A75E3" w:rsidRDefault="000A75E3" w:rsidP="000A75E3">
    <w:pPr>
      <w:pStyle w:val="Voettekst"/>
      <w:jc w:val="right"/>
    </w:pPr>
    <w:r>
      <w:fldChar w:fldCharType="begin"/>
    </w:r>
    <w:r>
      <w:instrText>PAGE   \* MERGEFORMAT</w:instrText>
    </w:r>
    <w:r>
      <w:fldChar w:fldCharType="separate"/>
    </w:r>
    <w:r w:rsidR="004B1482" w:rsidRPr="004B1482">
      <w:rPr>
        <w:noProof/>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E12C" w14:textId="31E7CF80" w:rsidR="004B1482" w:rsidRDefault="004B1482" w:rsidP="004B1482">
    <w:pPr>
      <w:pStyle w:val="Voettekst"/>
      <w:jc w:val="right"/>
    </w:pPr>
    <w:r>
      <w:fldChar w:fldCharType="begin"/>
    </w:r>
    <w:r>
      <w:instrText>PAGE   \* MERGEFORMAT</w:instrText>
    </w:r>
    <w:r>
      <w:fldChar w:fldCharType="separate"/>
    </w:r>
    <w:r w:rsidRPr="004B1482">
      <w:rPr>
        <w:noProof/>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BB4E" w14:textId="77777777" w:rsidR="000169CE" w:rsidRDefault="000169CE" w:rsidP="000A75E3">
      <w:pPr>
        <w:spacing w:after="0" w:line="240" w:lineRule="auto"/>
      </w:pPr>
      <w:r>
        <w:separator/>
      </w:r>
    </w:p>
  </w:footnote>
  <w:footnote w:type="continuationSeparator" w:id="0">
    <w:p w14:paraId="1AAB5DA7" w14:textId="77777777" w:rsidR="000169CE" w:rsidRDefault="000169CE" w:rsidP="000A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C9FB" w14:textId="55342C65" w:rsidR="00841733" w:rsidRPr="00F51D1F" w:rsidRDefault="00841733" w:rsidP="00841733">
    <w:pPr>
      <w:pStyle w:val="Koptekst"/>
      <w:ind w:left="-284"/>
      <w:rPr>
        <w:rFonts w:cstheme="minorHAnsi"/>
        <w:b/>
        <w:bCs/>
        <w:sz w:val="28"/>
        <w:szCs w:val="28"/>
      </w:rPr>
    </w:pPr>
    <w:r w:rsidRPr="00F51D1F">
      <w:rPr>
        <w:rFonts w:cstheme="minorHAnsi"/>
        <w:b/>
        <w:bCs/>
        <w:sz w:val="28"/>
        <w:szCs w:val="28"/>
      </w:rPr>
      <w:t xml:space="preserve">Bijlage </w:t>
    </w:r>
    <w:r w:rsidR="00F81FE0">
      <w:rPr>
        <w:rFonts w:cstheme="minorHAnsi"/>
        <w:b/>
        <w:bCs/>
        <w:sz w:val="28"/>
        <w:szCs w:val="28"/>
      </w:rPr>
      <w:t>3b</w:t>
    </w:r>
    <w:r w:rsidRPr="00F51D1F">
      <w:rPr>
        <w:rFonts w:cstheme="minorHAnsi"/>
        <w:b/>
        <w:bCs/>
        <w:sz w:val="28"/>
        <w:szCs w:val="28"/>
      </w:rPr>
      <w:t xml:space="preserve"> – Minister B</w:t>
    </w:r>
    <w:r w:rsidR="00013809" w:rsidRPr="00F51D1F">
      <w:rPr>
        <w:rFonts w:cstheme="minorHAnsi"/>
        <w:b/>
        <w:bCs/>
        <w:sz w:val="28"/>
        <w:szCs w:val="28"/>
      </w:rPr>
      <w:t>art</w:t>
    </w:r>
    <w:r w:rsidRPr="00F51D1F">
      <w:rPr>
        <w:rFonts w:cstheme="minorHAnsi"/>
        <w:b/>
        <w:bCs/>
        <w:sz w:val="28"/>
        <w:szCs w:val="28"/>
      </w:rPr>
      <w:t xml:space="preserve"> Somers (</w:t>
    </w:r>
    <w:r w:rsidR="00013809" w:rsidRPr="00F51D1F">
      <w:rPr>
        <w:rFonts w:cstheme="minorHAnsi"/>
        <w:b/>
        <w:bCs/>
        <w:sz w:val="28"/>
        <w:szCs w:val="28"/>
      </w:rPr>
      <w:t>s</w:t>
    </w:r>
    <w:r w:rsidRPr="00F51D1F">
      <w:rPr>
        <w:rFonts w:cstheme="minorHAnsi"/>
        <w:b/>
        <w:bCs/>
        <w:sz w:val="28"/>
        <w:szCs w:val="28"/>
      </w:rPr>
      <w:t>tedenbeleid)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1212"/>
    <w:multiLevelType w:val="hybridMultilevel"/>
    <w:tmpl w:val="34201D68"/>
    <w:lvl w:ilvl="0" w:tplc="7DE2B86A">
      <w:start w:val="1"/>
      <w:numFmt w:val="lowerLetter"/>
      <w:lvlText w:val="%1)"/>
      <w:lvlJc w:val="left"/>
      <w:pPr>
        <w:ind w:left="360" w:hanging="360"/>
      </w:pPr>
      <w:rPr>
        <w:rFonts w:ascii="Verdana" w:hAnsi="Verdana"/>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EB"/>
    <w:rsid w:val="00013809"/>
    <w:rsid w:val="000169CE"/>
    <w:rsid w:val="00042A1F"/>
    <w:rsid w:val="000623C6"/>
    <w:rsid w:val="000A75E3"/>
    <w:rsid w:val="000B2414"/>
    <w:rsid w:val="000C2295"/>
    <w:rsid w:val="00113399"/>
    <w:rsid w:val="00237467"/>
    <w:rsid w:val="00293EFC"/>
    <w:rsid w:val="002B27FD"/>
    <w:rsid w:val="0038731B"/>
    <w:rsid w:val="00450408"/>
    <w:rsid w:val="00470804"/>
    <w:rsid w:val="004B1482"/>
    <w:rsid w:val="00507DA2"/>
    <w:rsid w:val="0051201A"/>
    <w:rsid w:val="00520E8E"/>
    <w:rsid w:val="00564B5F"/>
    <w:rsid w:val="005D3080"/>
    <w:rsid w:val="0061459C"/>
    <w:rsid w:val="006376E2"/>
    <w:rsid w:val="00643FD7"/>
    <w:rsid w:val="006775E9"/>
    <w:rsid w:val="007E78EB"/>
    <w:rsid w:val="008223F5"/>
    <w:rsid w:val="00841733"/>
    <w:rsid w:val="00935E3A"/>
    <w:rsid w:val="009F7671"/>
    <w:rsid w:val="00A139CA"/>
    <w:rsid w:val="00A558F8"/>
    <w:rsid w:val="00B35414"/>
    <w:rsid w:val="00BB235C"/>
    <w:rsid w:val="00C55554"/>
    <w:rsid w:val="00C818F7"/>
    <w:rsid w:val="00C827B2"/>
    <w:rsid w:val="00CC45E3"/>
    <w:rsid w:val="00CE7518"/>
    <w:rsid w:val="00D21D27"/>
    <w:rsid w:val="00E55993"/>
    <w:rsid w:val="00F02359"/>
    <w:rsid w:val="00F51D1F"/>
    <w:rsid w:val="00F81FE0"/>
    <w:rsid w:val="00FA6073"/>
    <w:rsid w:val="00FC16D8"/>
    <w:rsid w:val="00FC1F69"/>
    <w:rsid w:val="00FE3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F7DF0"/>
  <w15:chartTrackingRefBased/>
  <w15:docId w15:val="{C1881BD9-FE99-41C1-A33F-1351087D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59C"/>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CE75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7518"/>
    <w:rPr>
      <w:rFonts w:ascii="Segoe UI" w:hAnsi="Segoe UI" w:cs="Segoe UI"/>
      <w:sz w:val="18"/>
      <w:szCs w:val="18"/>
    </w:rPr>
  </w:style>
  <w:style w:type="paragraph" w:styleId="Koptekst">
    <w:name w:val="header"/>
    <w:basedOn w:val="Standaard"/>
    <w:link w:val="KoptekstChar"/>
    <w:uiPriority w:val="99"/>
    <w:unhideWhenUsed/>
    <w:rsid w:val="000A75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75E3"/>
  </w:style>
  <w:style w:type="paragraph" w:styleId="Voettekst">
    <w:name w:val="footer"/>
    <w:basedOn w:val="Standaard"/>
    <w:link w:val="VoettekstChar"/>
    <w:uiPriority w:val="99"/>
    <w:unhideWhenUsed/>
    <w:rsid w:val="000A75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75E3"/>
  </w:style>
  <w:style w:type="paragraph" w:styleId="Lijstalinea">
    <w:name w:val="List Paragraph"/>
    <w:basedOn w:val="Standaard"/>
    <w:uiPriority w:val="34"/>
    <w:qFormat/>
    <w:rsid w:val="000623C6"/>
    <w:pPr>
      <w:spacing w:after="0" w:line="240" w:lineRule="auto"/>
      <w:ind w:left="720"/>
      <w:contextualSpacing/>
      <w:jc w:val="both"/>
    </w:pPr>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53122">
      <w:bodyDiv w:val="1"/>
      <w:marLeft w:val="0"/>
      <w:marRight w:val="0"/>
      <w:marTop w:val="0"/>
      <w:marBottom w:val="0"/>
      <w:divBdr>
        <w:top w:val="none" w:sz="0" w:space="0" w:color="auto"/>
        <w:left w:val="none" w:sz="0" w:space="0" w:color="auto"/>
        <w:bottom w:val="none" w:sz="0" w:space="0" w:color="auto"/>
        <w:right w:val="none" w:sz="0" w:space="0" w:color="auto"/>
      </w:divBdr>
    </w:div>
    <w:div w:id="16531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F180577583B41A134A03FD21944E2" ma:contentTypeVersion="6" ma:contentTypeDescription="Een nieuw document maken." ma:contentTypeScope="" ma:versionID="98329c977166e41e5e990e2c7d470020">
  <xsd:schema xmlns:xsd="http://www.w3.org/2001/XMLSchema" xmlns:xs="http://www.w3.org/2001/XMLSchema" xmlns:p="http://schemas.microsoft.com/office/2006/metadata/properties" xmlns:ns2="702627b3-aecc-44f2-b5d0-77434d445fc8" xmlns:ns3="d069ed24-b949-439f-8c39-ff7abd572d32" targetNamespace="http://schemas.microsoft.com/office/2006/metadata/properties" ma:root="true" ma:fieldsID="a1baa6fba51d02ed20341981bd7dee38" ns2:_="" ns3:_="">
    <xsd:import namespace="702627b3-aecc-44f2-b5d0-77434d445fc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627b3-aecc-44f2-b5d0-77434d44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F8E7-9EF5-491E-9019-0DE7003EC4AB}">
  <ds:schemaRefs>
    <ds:schemaRef ds:uri="http://purl.org/dc/elements/1.1/"/>
    <ds:schemaRef ds:uri="http://schemas.microsoft.com/office/2006/metadata/properties"/>
    <ds:schemaRef ds:uri="702627b3-aecc-44f2-b5d0-77434d445f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69ed24-b949-439f-8c39-ff7abd572d32"/>
    <ds:schemaRef ds:uri="http://www.w3.org/XML/1998/namespace"/>
    <ds:schemaRef ds:uri="http://purl.org/dc/dcmitype/"/>
  </ds:schemaRefs>
</ds:datastoreItem>
</file>

<file path=customXml/itemProps2.xml><?xml version="1.0" encoding="utf-8"?>
<ds:datastoreItem xmlns:ds="http://schemas.openxmlformats.org/officeDocument/2006/customXml" ds:itemID="{1550B4C1-19A2-45B5-8837-20E7A9BB14C6}">
  <ds:schemaRefs>
    <ds:schemaRef ds:uri="http://schemas.microsoft.com/sharepoint/v3/contenttype/forms"/>
  </ds:schemaRefs>
</ds:datastoreItem>
</file>

<file path=customXml/itemProps3.xml><?xml version="1.0" encoding="utf-8"?>
<ds:datastoreItem xmlns:ds="http://schemas.openxmlformats.org/officeDocument/2006/customXml" ds:itemID="{49A90FFF-661E-40AF-8E6B-46BA06A6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627b3-aecc-44f2-b5d0-77434d445fc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Ryckeboer, Caroline</dc:creator>
  <cp:keywords/>
  <dc:description/>
  <cp:lastModifiedBy>Cauwberghs Gaetan</cp:lastModifiedBy>
  <cp:revision>9</cp:revision>
  <dcterms:created xsi:type="dcterms:W3CDTF">2021-02-11T08:50:00Z</dcterms:created>
  <dcterms:modified xsi:type="dcterms:W3CDTF">2021-02-18T12:26:00Z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0x01010036DF180577583B41A134A03FD21944E2</vt:lpwstr>
  </property>
  <property fmtid="{D5CDD505-2E9C-101B-9397-08002B2CF9AE}" pid="3" name="_dlc_DocIdItemGuid">
    <vt:lpwstr>da969a50-d5d8-4d50-af7e-83071e72b511</vt:lpwstr>
  </property>
</Properties>
</file>