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vraag</w:t>
      </w:r>
      <w:r>
        <w:t xml:space="preserve"> om informatie</w:t>
      </w:r>
    </w:p>
    <w:p w:rsidR="00C96513" w:rsidP="00E75678"/>
    <w:p w:rsidR="00C96513" w:rsidRPr="00451CDB" w:rsidP="00E75678">
      <w:r w:rsidRPr="00451CDB">
        <w:t>nr. 4</w:t>
      </w:r>
    </w:p>
    <w:p w:rsidR="00C96513" w:rsidRPr="00451CDB" w:rsidP="00E75678">
      <w:pPr>
        <w:rPr>
          <w:b/>
          <w:smallCaps/>
        </w:rPr>
      </w:pPr>
      <w:r w:rsidRPr="00451CDB">
        <w:t xml:space="preserve">van </w:t>
      </w:r>
      <w:r w:rsidRPr="00451CDB">
        <w:rPr>
          <w:b/>
          <w:smallCaps/>
        </w:rPr>
        <w:t>robrecht</w:t>
      </w:r>
      <w:r w:rsidRPr="00451CDB">
        <w:rPr>
          <w:b/>
          <w:smallCaps/>
        </w:rPr>
        <w:t xml:space="preserve"> </w:t>
      </w:r>
      <w:r w:rsidR="00B42A67">
        <w:rPr>
          <w:b/>
          <w:smallCaps/>
        </w:rPr>
        <w:t>b</w:t>
      </w:r>
      <w:r w:rsidRPr="00451CDB">
        <w:rPr>
          <w:b/>
          <w:smallCaps/>
        </w:rPr>
        <w:t>othuyne</w:t>
      </w:r>
    </w:p>
    <w:p w:rsidR="00C96513" w:rsidRPr="00C96513" w:rsidP="00E75678">
      <w:r w:rsidRPr="00451CDB">
        <w:t>datum: 30 november 2020</w:t>
      </w:r>
    </w:p>
    <w:p w:rsidR="00C96513" w:rsidRPr="008A4109" w:rsidP="00E75678">
      <w:pPr>
        <w:pBdr>
          <w:bottom w:val="single" w:sz="4" w:space="1" w:color="auto"/>
        </w:pBdr>
      </w:pPr>
    </w:p>
    <w:p w:rsidR="00C96513" w:rsidRPr="008A4109" w:rsidP="00E75678"/>
    <w:p w:rsidR="005D65A0" w:rsidRPr="00451CDB" w:rsidP="005D65A0">
      <w:pPr>
        <w:rPr>
          <w:rFonts w:ascii="Times New Roman Vet" w:hAnsi="Times New Roman Vet"/>
          <w:sz w:val="22"/>
          <w:szCs w:val="22"/>
          <w:lang w:val="nl-BE"/>
        </w:rPr>
      </w:pPr>
      <w:r w:rsidRPr="00451CDB">
        <w:rPr>
          <w:szCs w:val="22"/>
          <w:lang w:val="nl-BE"/>
        </w:rPr>
        <w:t>aan</w:t>
      </w:r>
      <w:r>
        <w:rPr>
          <w:szCs w:val="22"/>
          <w:lang w:val="nl-BE"/>
        </w:rPr>
        <w:t xml:space="preserve"> de</w:t>
      </w:r>
      <w:r w:rsidRPr="00451CDB">
        <w:rPr>
          <w:b/>
          <w:smallCaps/>
          <w:szCs w:val="22"/>
          <w:lang w:val="nl-BE"/>
        </w:rPr>
        <w:t xml:space="preserve"> </w:t>
      </w:r>
      <w:r>
        <w:rPr>
          <w:b/>
          <w:smallCaps/>
          <w:szCs w:val="22"/>
          <w:lang w:val="nl-BE"/>
        </w:rPr>
        <w:t>vreg</w:t>
      </w:r>
    </w:p>
    <w:p w:rsidR="005D65A0" w:rsidRPr="00C96513" w:rsidP="005D65A0">
      <w:pPr>
        <w:rPr>
          <w:smallCaps/>
          <w:szCs w:val="22"/>
          <w:lang w:val="nl-BE"/>
        </w:rPr>
      </w:pPr>
      <w:r w:rsidRPr="00451CDB">
        <w:rPr>
          <w:smallCaps/>
          <w:szCs w:val="22"/>
          <w:lang w:val="nl-BE"/>
        </w:rPr>
        <w:t>vlaams</w:t>
      </w:r>
      <w:r>
        <w:rPr>
          <w:smallCaps/>
          <w:szCs w:val="22"/>
          <w:lang w:val="nl-BE"/>
        </w:rPr>
        <w:t>e regulator van de elektriciteits- en gasmarkt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F</w:t>
      </w:r>
      <w:r w:rsidR="00E84A67">
        <w:rPr>
          <w:rFonts w:eastAsia="Calibri"/>
          <w:lang w:val="nl-BE" w:eastAsia="en-US"/>
        </w:rPr>
        <w:t>inanciële impact nieuwe tariefstructuur</w:t>
      </w:r>
      <w:r>
        <w:rPr>
          <w:rFonts w:eastAsia="Calibri"/>
          <w:lang w:val="nl-BE" w:eastAsia="en-US"/>
        </w:rPr>
        <w:t xml:space="preserve">  -  U</w:t>
      </w:r>
      <w:r w:rsidR="00E84A67">
        <w:rPr>
          <w:rFonts w:eastAsia="Calibri"/>
          <w:lang w:val="nl-BE" w:eastAsia="en-US"/>
        </w:rPr>
        <w:t>itbaters van laadinfrastructuur</w:t>
      </w:r>
    </w:p>
    <w:p w:rsidR="00CF752D" w:rsidP="00E75678">
      <w:pPr>
        <w:pStyle w:val="StijlStandaardSVVerdana10ptLinks-175cm"/>
        <w:rPr>
          <w:rFonts w:eastAsia="Calibri"/>
          <w:lang w:val="nl-BE" w:eastAsia="en-US"/>
        </w:rPr>
      </w:pPr>
    </w:p>
    <w:p w:rsidR="003949A5">
      <w:pPr>
        <w:rPr>
          <w:rFonts w:ascii="Times New Roman" w:hAnsi="Times New Roman"/>
        </w:rPr>
      </w:pPr>
      <w:r>
        <w:rPr>
          <w:rFonts w:eastAsia="Verdana" w:cs="Verdana"/>
        </w:rPr>
        <w:t xml:space="preserve">Deze vraag aan de VREG </w:t>
      </w:r>
      <w:r>
        <w:rPr>
          <w:rFonts w:eastAsia="Verdana" w:cs="Verdana"/>
        </w:rPr>
        <w:t xml:space="preserve">sluit aan op </w:t>
      </w:r>
      <w:r w:rsidR="00B42A67">
        <w:rPr>
          <w:rFonts w:eastAsia="Verdana" w:cs="Verdana"/>
        </w:rPr>
        <w:t>mijn</w:t>
      </w:r>
      <w:r>
        <w:rPr>
          <w:rFonts w:eastAsia="Verdana" w:cs="Verdana"/>
        </w:rPr>
        <w:t xml:space="preserve"> </w:t>
      </w:r>
      <w:r>
        <w:rPr>
          <w:rFonts w:eastAsia="Verdana" w:cs="Verdana"/>
        </w:rPr>
        <w:t>vraag</w:t>
      </w:r>
      <w:r w:rsidR="00B42A67">
        <w:rPr>
          <w:rFonts w:eastAsia="Verdana" w:cs="Verdana"/>
        </w:rPr>
        <w:t xml:space="preserve"> aan de VREG nr. 3</w:t>
      </w:r>
      <w:r>
        <w:rPr>
          <w:rFonts w:eastAsia="Verdana" w:cs="Verdana"/>
        </w:rPr>
        <w:t xml:space="preserve"> </w:t>
      </w:r>
      <w:r w:rsidR="00B42A67">
        <w:rPr>
          <w:rFonts w:eastAsia="Verdana" w:cs="Verdana"/>
        </w:rPr>
        <w:t>van</w:t>
      </w:r>
      <w:r>
        <w:rPr>
          <w:rFonts w:eastAsia="Verdana" w:cs="Verdana"/>
        </w:rPr>
        <w:t xml:space="preserve"> 15 september 2020 </w:t>
      </w:r>
      <w:r w:rsidR="00B42A67">
        <w:rPr>
          <w:rFonts w:eastAsia="Verdana" w:cs="Verdana"/>
        </w:rPr>
        <w:t>over</w:t>
      </w:r>
      <w:r>
        <w:rPr>
          <w:rFonts w:eastAsia="Verdana" w:cs="Verdana"/>
        </w:rPr>
        <w:t xml:space="preserve"> de financiële impact van de nieuwe tariefstructuur op specifieke klantengroepen.</w:t>
      </w:r>
    </w:p>
    <w:p w:rsidR="003949A5">
      <w:pPr>
        <w:spacing w:before="240"/>
        <w:rPr>
          <w:rFonts w:ascii="Times New Roman" w:hAnsi="Times New Roman"/>
        </w:rPr>
      </w:pPr>
      <w:r>
        <w:rPr>
          <w:rFonts w:eastAsia="Verdana" w:cs="Verdana"/>
        </w:rPr>
        <w:t>De VREG liet op dat moment weten niet te beschikken over simulatieresultaten met betrekking tot de uitbaters</w:t>
      </w:r>
      <w:r>
        <w:rPr>
          <w:rFonts w:eastAsia="Verdana" w:cs="Verdana"/>
        </w:rPr>
        <w:t xml:space="preserve"> van (openbare) snelladers.</w:t>
      </w:r>
    </w:p>
    <w:p w:rsidR="003949A5">
      <w:pPr>
        <w:spacing w:before="240"/>
        <w:rPr>
          <w:rFonts w:eastAsia="Verdana" w:cs="Verdana"/>
        </w:rPr>
      </w:pPr>
      <w:r>
        <w:rPr>
          <w:rFonts w:eastAsia="Verdana" w:cs="Verdana"/>
        </w:rPr>
        <w:t>Daarnaast zou de VREG ook contact opgenomen hebben met vertegenwoordigers van deze klantengroep om de financiële impact van de nieuwe tariefmethodologie beter in kaart te brengen.</w:t>
      </w:r>
    </w:p>
    <w:p w:rsidR="00B42A67" w:rsidP="00B42A67">
      <w:pPr>
        <w:rPr>
          <w:rFonts w:ascii="Times New Roman" w:hAnsi="Times New Roman"/>
        </w:rPr>
      </w:pPr>
    </w:p>
    <w:p w:rsidR="003949A5" w:rsidP="00B42A67">
      <w:pPr>
        <w:pStyle w:val="Nummering"/>
        <w:rPr>
          <w:rFonts w:ascii="Times New Roman" w:hAnsi="Times New Roman"/>
        </w:rPr>
      </w:pPr>
      <w:r>
        <w:rPr>
          <w:rFonts w:eastAsia="Verdana"/>
        </w:rPr>
        <w:t>Heeft</w:t>
      </w:r>
      <w:r>
        <w:rPr>
          <w:rFonts w:eastAsia="Verdana"/>
        </w:rPr>
        <w:t xml:space="preserve"> de VREG in </w:t>
      </w:r>
      <w:r w:rsidR="00B42A67">
        <w:rPr>
          <w:rFonts w:eastAsia="Verdana"/>
        </w:rPr>
        <w:t xml:space="preserve">de </w:t>
      </w:r>
      <w:r>
        <w:rPr>
          <w:rFonts w:eastAsia="Verdana"/>
        </w:rPr>
        <w:t xml:space="preserve">tussentijd simulaties kunnen uitvoeren voor uitbaters van (openbare) (snel)laders? </w:t>
      </w:r>
    </w:p>
    <w:p w:rsidR="003949A5" w:rsidP="00B42A67">
      <w:pPr>
        <w:ind w:left="425"/>
        <w:rPr>
          <w:rFonts w:ascii="Times New Roman" w:hAnsi="Times New Roman"/>
        </w:rPr>
      </w:pPr>
      <w:r>
        <w:rPr>
          <w:rFonts w:eastAsia="Verdana" w:cs="Verdana"/>
        </w:rPr>
        <w:t>Z</w:t>
      </w:r>
      <w:r>
        <w:rPr>
          <w:rFonts w:eastAsia="Verdana" w:cs="Verdana"/>
        </w:rPr>
        <w:t>o ja, wat zijn de resultaten van deze simulaties? Is er een onderscheid tussen snel- en andere laadinfrastructuur?</w:t>
      </w:r>
    </w:p>
    <w:p w:rsidR="00B42A67" w:rsidRPr="00B42A67" w:rsidP="00B42A67">
      <w:pPr>
        <w:ind w:left="425"/>
        <w:rPr>
          <w:rFonts w:ascii="Times New Roman" w:hAnsi="Times New Roman"/>
        </w:rPr>
      </w:pPr>
    </w:p>
    <w:p w:rsidR="003949A5" w:rsidP="00B42A67">
      <w:pPr>
        <w:ind w:left="425"/>
        <w:rPr>
          <w:rFonts w:eastAsia="Verdana" w:cs="Verdana"/>
        </w:rPr>
      </w:pPr>
      <w:r>
        <w:rPr>
          <w:rFonts w:eastAsia="Verdana" w:cs="Verdana"/>
        </w:rPr>
        <w:t xml:space="preserve">Zo </w:t>
      </w:r>
      <w:r w:rsidR="00B42A67">
        <w:rPr>
          <w:rFonts w:eastAsia="Verdana" w:cs="Verdana"/>
        </w:rPr>
        <w:t>niet</w:t>
      </w:r>
      <w:r>
        <w:rPr>
          <w:rFonts w:eastAsia="Verdana" w:cs="Verdana"/>
        </w:rPr>
        <w:t>, kan de VREG het parlement op d</w:t>
      </w:r>
      <w:r>
        <w:rPr>
          <w:rFonts w:eastAsia="Verdana" w:cs="Verdana"/>
        </w:rPr>
        <w:t xml:space="preserve">e hoogte brengen </w:t>
      </w:r>
      <w:r>
        <w:rPr>
          <w:rFonts w:eastAsia="Verdana" w:cs="Verdana"/>
        </w:rPr>
        <w:t>zodra de resultaten beschikbaar zijn?</w:t>
      </w:r>
    </w:p>
    <w:p w:rsidR="00B42A67" w:rsidP="00B42A67">
      <w:pPr>
        <w:ind w:left="425"/>
        <w:rPr>
          <w:rFonts w:ascii="Times New Roman" w:hAnsi="Times New Roman"/>
        </w:rPr>
      </w:pPr>
    </w:p>
    <w:p w:rsidR="003949A5" w:rsidP="00B42A67">
      <w:pPr>
        <w:pStyle w:val="Nummering"/>
        <w:rPr>
          <w:rFonts w:ascii="Times New Roman" w:hAnsi="Times New Roman"/>
        </w:rPr>
      </w:pPr>
      <w:r>
        <w:rPr>
          <w:rFonts w:eastAsia="Verdana"/>
        </w:rPr>
        <w:t>Heeft het overleg met vertegenwoordigers van deze klantengroep ondertussen plaatsgevonden? Wat waren de voornaamste conclusies? Acht de VREG remediërende maatregelen noodzakelijk?</w:t>
      </w:r>
    </w:p>
    <w:p w:rsidR="003949A5" w:rsidP="00B42A67">
      <w:pPr>
        <w:pStyle w:val="Nummering"/>
        <w:rPr>
          <w:rFonts w:ascii="Times New Roman" w:hAnsi="Times New Roman"/>
        </w:rPr>
      </w:pPr>
      <w:r>
        <w:rPr>
          <w:rFonts w:eastAsia="Verdana"/>
        </w:rPr>
        <w:t>Vanaf 2022 kunnen</w:t>
      </w:r>
      <w:r>
        <w:rPr>
          <w:rFonts w:eastAsia="Verdana"/>
        </w:rPr>
        <w:t xml:space="preserve"> particulieren via een apart allocatiepunt een energiecontract </w:t>
      </w:r>
      <w:r>
        <w:rPr>
          <w:rFonts w:eastAsia="Verdana"/>
        </w:rPr>
        <w:t xml:space="preserve">sluiten voor het opladen van hun elektrische wagen. </w:t>
      </w:r>
    </w:p>
    <w:p w:rsidR="003949A5" w:rsidP="00B42A67">
      <w:pPr>
        <w:pStyle w:val="Nummering"/>
        <w:numPr>
          <w:ilvl w:val="1"/>
          <w:numId w:val="14"/>
        </w:numPr>
        <w:rPr>
          <w:rFonts w:ascii="Times New Roman" w:hAnsi="Times New Roman"/>
        </w:rPr>
      </w:pPr>
      <w:r>
        <w:rPr>
          <w:rFonts w:eastAsia="Verdana"/>
        </w:rPr>
        <w:t>Zal dit toegangspunt enkel toegankelijk zijn voor elektrische wagens</w:t>
      </w:r>
      <w:r w:rsidR="00B42A67">
        <w:rPr>
          <w:rFonts w:eastAsia="Verdana"/>
        </w:rPr>
        <w:t>,</w:t>
      </w:r>
      <w:r>
        <w:rPr>
          <w:rFonts w:eastAsia="Verdana"/>
        </w:rPr>
        <w:t xml:space="preserve"> of voor alle vormen van elektromobiliteit (elektrische fietsen, </w:t>
      </w:r>
      <w:r>
        <w:rPr>
          <w:rFonts w:eastAsia="Verdana"/>
        </w:rPr>
        <w:t>spee</w:t>
      </w:r>
      <w:r>
        <w:rPr>
          <w:rFonts w:eastAsia="Verdana"/>
        </w:rPr>
        <w:t>d</w:t>
      </w:r>
      <w:r>
        <w:rPr>
          <w:rFonts w:eastAsia="Verdana"/>
        </w:rPr>
        <w:t>pedelecs</w:t>
      </w:r>
      <w:r>
        <w:rPr>
          <w:rFonts w:eastAsia="Verdana"/>
        </w:rPr>
        <w:t>, elektrische bakfietsen, elektrische steps,…)?</w:t>
      </w:r>
    </w:p>
    <w:p w:rsidR="003949A5" w:rsidP="00B42A67">
      <w:pPr>
        <w:pStyle w:val="Nummering"/>
        <w:numPr>
          <w:ilvl w:val="1"/>
          <w:numId w:val="14"/>
        </w:numPr>
        <w:rPr>
          <w:rFonts w:ascii="Times New Roman" w:hAnsi="Times New Roman"/>
        </w:rPr>
      </w:pPr>
      <w:r>
        <w:rPr>
          <w:rFonts w:eastAsia="Verdana"/>
        </w:rPr>
        <w:t>Hoe staat de VREG tegenover gelijkaardige aparte energiecontracten voor elektrische warmtepompen?</w:t>
      </w:r>
    </w:p>
    <w:p w:rsidR="003949A5" w:rsidRPr="00B42A67" w:rsidP="00B42A67">
      <w:pPr>
        <w:pStyle w:val="Nummering"/>
        <w:numPr>
          <w:ilvl w:val="1"/>
          <w:numId w:val="14"/>
        </w:numPr>
        <w:spacing w:before="240"/>
        <w:rPr>
          <w:rFonts w:ascii="Times New Roman" w:hAnsi="Times New Roman"/>
        </w:rPr>
      </w:pPr>
      <w:r w:rsidRPr="00B42A67">
        <w:rPr>
          <w:rFonts w:eastAsia="Verdana"/>
        </w:rPr>
        <w:t>Hoe staat de VREG tegenover het aantrekkelijker maken van dergelijke toepassingen (elektromobiliteit</w:t>
      </w:r>
      <w:r w:rsidRPr="00B42A67">
        <w:rPr>
          <w:rFonts w:eastAsia="Verdana"/>
        </w:rPr>
        <w:t xml:space="preserve">/warmtempomen), door het </w:t>
      </w:r>
      <w:r w:rsidRPr="00B42A67" w:rsidR="00B42A67">
        <w:rPr>
          <w:rFonts w:eastAsia="Verdana"/>
        </w:rPr>
        <w:t>-</w:t>
      </w:r>
      <w:r w:rsidRPr="00B42A67">
        <w:rPr>
          <w:rFonts w:eastAsia="Verdana"/>
        </w:rPr>
        <w:t xml:space="preserve"> voor deze specifieke contracten - laten vallen van bepaalde componenten op de elektriciteitsfactuur (bv. de </w:t>
      </w:r>
      <w:r w:rsidRPr="00B42A67">
        <w:rPr>
          <w:rFonts w:eastAsia="Verdana"/>
        </w:rPr>
        <w:t>ecologische</w:t>
      </w:r>
      <w:r w:rsidRPr="00B42A67">
        <w:rPr>
          <w:rFonts w:eastAsia="Verdana"/>
        </w:rPr>
        <w:t xml:space="preserve"> </w:t>
      </w:r>
      <w:r w:rsidRPr="00B42A67" w:rsidR="00B42A67">
        <w:rPr>
          <w:rFonts w:eastAsia="Verdana"/>
        </w:rPr>
        <w:t>openbaredienstverplichtingen</w:t>
      </w:r>
      <w:r w:rsidRPr="00B42A67" w:rsidR="00B42A67">
        <w:rPr>
          <w:rFonts w:eastAsia="Verdana"/>
        </w:rPr>
        <w:t xml:space="preserve"> (</w:t>
      </w:r>
      <w:r w:rsidRPr="00B42A67">
        <w:rPr>
          <w:rFonts w:eastAsia="Verdana"/>
        </w:rPr>
        <w:t>ODV’s)</w:t>
      </w:r>
      <w:r w:rsidRPr="00B42A67" w:rsidR="00B42A67">
        <w:rPr>
          <w:rFonts w:eastAsia="Verdana"/>
        </w:rPr>
        <w:t>)</w:t>
      </w:r>
      <w:r w:rsidRPr="00B42A67">
        <w:rPr>
          <w:rFonts w:eastAsia="Verdana"/>
        </w:rPr>
        <w:t xml:space="preserve"> om zo </w:t>
      </w:r>
      <w:r w:rsidRPr="00B42A67">
        <w:rPr>
          <w:rFonts w:eastAsia="Verdana"/>
        </w:rPr>
        <w:t>een</w:t>
      </w:r>
      <w:r w:rsidRPr="00B42A67">
        <w:rPr>
          <w:rFonts w:eastAsia="Verdana"/>
        </w:rPr>
        <w:t xml:space="preserve"> </w:t>
      </w:r>
      <w:r w:rsidRPr="00B42A67">
        <w:rPr>
          <w:rFonts w:eastAsia="Verdana"/>
        </w:rPr>
        <w:t>aantrekkelijker</w:t>
      </w:r>
      <w:r w:rsidRPr="00B42A67">
        <w:rPr>
          <w:rFonts w:eastAsia="Verdana"/>
        </w:rPr>
        <w:t xml:space="preserve"> </w:t>
      </w:r>
      <w:r w:rsidRPr="00B42A67">
        <w:rPr>
          <w:rFonts w:eastAsia="Verdana"/>
        </w:rPr>
        <w:t>tarief</w:t>
      </w:r>
      <w:r w:rsidRPr="00B42A67">
        <w:rPr>
          <w:rFonts w:eastAsia="Verdana"/>
        </w:rPr>
        <w:t xml:space="preserve"> </w:t>
      </w:r>
      <w:r w:rsidRPr="00B42A67">
        <w:rPr>
          <w:rFonts w:eastAsia="Verdana"/>
        </w:rPr>
        <w:t>te</w:t>
      </w:r>
      <w:r w:rsidRPr="00B42A67">
        <w:rPr>
          <w:rFonts w:eastAsia="Verdana"/>
        </w:rPr>
        <w:t xml:space="preserve"> </w:t>
      </w:r>
      <w:r w:rsidRPr="00B42A67" w:rsidR="00B42A67">
        <w:rPr>
          <w:rFonts w:eastAsia="Verdana"/>
        </w:rPr>
        <w:t>krijgen</w:t>
      </w:r>
      <w:r w:rsidRPr="00B42A67">
        <w:rPr>
          <w:rFonts w:eastAsia="Verdana"/>
        </w:rPr>
        <w:t>?</w:t>
      </w:r>
    </w:p>
    <w:p w:rsidR="003949A5" w:rsidRPr="00B42A67" w:rsidP="00B42A67">
      <w:pPr>
        <w:pStyle w:val="Nummering"/>
        <w:numPr>
          <w:ilvl w:val="1"/>
          <w:numId w:val="14"/>
        </w:numPr>
        <w:spacing w:before="240"/>
        <w:rPr>
          <w:rFonts w:ascii="Times New Roman" w:hAnsi="Times New Roman"/>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E952F9" w:rsidP="00E952F9">
      <w:pPr>
        <w:jc w:val="both"/>
        <w:rPr>
          <w:rFonts w:ascii="Verdana" w:hAnsi="Verdana"/>
          <w:smallCaps/>
          <w:sz w:val="20"/>
          <w:lang w:val="nl-BE"/>
        </w:rPr>
      </w:pPr>
      <w:r>
        <w:rPr>
          <w:rFonts w:ascii="Verdana" w:hAnsi="Verdana"/>
          <w:b/>
          <w:smallCaps/>
          <w:sz w:val="20"/>
          <w:lang w:val="nl-BE"/>
        </w:rPr>
        <w:t>vreg</w:t>
      </w:r>
      <w:r>
        <w:rPr>
          <w:rFonts w:ascii="Verdana" w:hAnsi="Verdana"/>
          <w:b/>
          <w:smallCaps/>
          <w:sz w:val="20"/>
          <w:lang w:val="nl-BE"/>
        </w:rPr>
        <w:t xml:space="preserve"> </w:t>
      </w:r>
    </w:p>
    <w:p w:rsidR="00E952F9" w:rsidP="00E952F9">
      <w:pPr>
        <w:jc w:val="both"/>
        <w:rPr>
          <w:rFonts w:ascii="Verdana" w:hAnsi="Verdana"/>
          <w:smallCaps/>
          <w:sz w:val="20"/>
          <w:lang w:val="nl-BE"/>
        </w:rPr>
      </w:pPr>
      <w:r>
        <w:rPr>
          <w:rFonts w:ascii="Verdana" w:hAnsi="Verdana"/>
          <w:smallCaps/>
          <w:sz w:val="20"/>
          <w:lang w:val="nl-BE"/>
        </w:rPr>
        <w:t>vlaamse</w:t>
      </w:r>
      <w:r>
        <w:rPr>
          <w:rFonts w:ascii="Verdana" w:hAnsi="Verdana"/>
          <w:smallCaps/>
          <w:sz w:val="20"/>
          <w:lang w:val="nl-BE"/>
        </w:rPr>
        <w:t xml:space="preserve"> regulator voor de elektriciteits- en gasmarkt </w:t>
      </w:r>
    </w:p>
    <w:p w:rsidR="00E952F9" w:rsidP="00E952F9">
      <w:pPr>
        <w:pStyle w:val="StandaardSV"/>
        <w:pBdr>
          <w:bottom w:val="single" w:sz="4" w:space="1" w:color="auto"/>
        </w:pBdr>
        <w:rPr>
          <w:rFonts w:ascii="Verdana" w:hAnsi="Verdana"/>
          <w:sz w:val="20"/>
          <w:lang w:val="nl-BE"/>
        </w:rPr>
      </w:pPr>
    </w:p>
    <w:p w:rsidR="00E952F9" w:rsidP="00E952F9">
      <w:pPr>
        <w:jc w:val="both"/>
        <w:rPr>
          <w:rFonts w:ascii="Verdana" w:hAnsi="Verdana"/>
          <w:sz w:val="20"/>
        </w:rPr>
      </w:pPr>
    </w:p>
    <w:p w:rsidR="00E952F9" w:rsidP="00E952F9">
      <w:pPr>
        <w:jc w:val="both"/>
        <w:rPr>
          <w:rFonts w:ascii="Verdana" w:hAnsi="Verdana"/>
          <w:b/>
          <w:smallCaps/>
          <w:sz w:val="20"/>
        </w:rPr>
      </w:pPr>
      <w:r>
        <w:rPr>
          <w:rFonts w:ascii="Verdana" w:hAnsi="Verdana"/>
          <w:b/>
          <w:smallCaps/>
          <w:sz w:val="20"/>
        </w:rPr>
        <w:t xml:space="preserve">antwoord </w:t>
      </w:r>
    </w:p>
    <w:p w:rsidR="00E952F9" w:rsidP="2E99CBB5">
      <w:pPr>
        <w:jc w:val="both"/>
        <w:rPr>
          <w:rFonts w:ascii="Verdana" w:hAnsi="Verdana"/>
          <w:sz w:val="20"/>
        </w:rPr>
      </w:pPr>
      <w:r w:rsidRPr="2E99CBB5">
        <w:rPr>
          <w:rFonts w:ascii="Verdana" w:hAnsi="Verdana"/>
          <w:sz w:val="20"/>
        </w:rPr>
        <w:t xml:space="preserve">op vraag nr. </w:t>
      </w:r>
      <w:r w:rsidR="00551BF8">
        <w:rPr>
          <w:rFonts w:ascii="Verdana" w:hAnsi="Verdana"/>
          <w:sz w:val="20"/>
        </w:rPr>
        <w:t>4</w:t>
      </w:r>
      <w:r w:rsidRPr="2E99CBB5">
        <w:rPr>
          <w:rFonts w:ascii="Verdana" w:hAnsi="Verdana"/>
          <w:sz w:val="20"/>
        </w:rPr>
        <w:t xml:space="preserve"> van </w:t>
      </w:r>
      <w:r w:rsidR="00551BF8">
        <w:rPr>
          <w:rFonts w:ascii="Verdana" w:hAnsi="Verdana"/>
          <w:sz w:val="20"/>
        </w:rPr>
        <w:t>30</w:t>
      </w:r>
      <w:r w:rsidR="002968CC">
        <w:rPr>
          <w:rFonts w:ascii="Verdana" w:hAnsi="Verdana"/>
          <w:sz w:val="20"/>
        </w:rPr>
        <w:t xml:space="preserve"> november 2020</w:t>
      </w:r>
    </w:p>
    <w:p w:rsidR="00E952F9" w:rsidP="2E99CBB5">
      <w:pPr>
        <w:jc w:val="both"/>
        <w:rPr>
          <w:rFonts w:ascii="Verdana" w:hAnsi="Verdana"/>
          <w:b/>
          <w:bCs/>
          <w:smallCaps/>
          <w:sz w:val="20"/>
        </w:rPr>
      </w:pPr>
      <w:r w:rsidRPr="2E99CBB5">
        <w:rPr>
          <w:rFonts w:ascii="Verdana" w:hAnsi="Verdana"/>
          <w:sz w:val="20"/>
        </w:rPr>
        <w:t xml:space="preserve">van </w:t>
      </w:r>
      <w:r w:rsidR="00AE1E2B">
        <w:rPr>
          <w:rFonts w:ascii="Verdana" w:hAnsi="Verdana"/>
          <w:b/>
          <w:bCs/>
          <w:smallCaps/>
          <w:sz w:val="20"/>
        </w:rPr>
        <w:t>r</w:t>
      </w:r>
      <w:r w:rsidR="00551BF8">
        <w:rPr>
          <w:rFonts w:ascii="Verdana" w:hAnsi="Verdana"/>
          <w:b/>
          <w:bCs/>
          <w:smallCaps/>
          <w:sz w:val="20"/>
        </w:rPr>
        <w:t>obrecht</w:t>
      </w:r>
      <w:r w:rsidR="00551BF8">
        <w:rPr>
          <w:rFonts w:ascii="Verdana" w:hAnsi="Verdana"/>
          <w:b/>
          <w:bCs/>
          <w:smallCaps/>
          <w:sz w:val="20"/>
        </w:rPr>
        <w:t xml:space="preserve"> </w:t>
      </w:r>
      <w:r w:rsidR="00AE1E2B">
        <w:rPr>
          <w:rFonts w:ascii="Verdana" w:hAnsi="Verdana"/>
          <w:b/>
          <w:bCs/>
          <w:smallCaps/>
          <w:sz w:val="20"/>
        </w:rPr>
        <w:t>b</w:t>
      </w:r>
      <w:r w:rsidR="00551BF8">
        <w:rPr>
          <w:rFonts w:ascii="Verdana" w:hAnsi="Verdana"/>
          <w:b/>
          <w:bCs/>
          <w:smallCaps/>
          <w:sz w:val="20"/>
        </w:rPr>
        <w:t>othuyne</w:t>
      </w:r>
      <w:r w:rsidRPr="2E99CBB5" w:rsidR="3B9F4DA6">
        <w:rPr>
          <w:rFonts w:ascii="Verdana" w:hAnsi="Verdana"/>
          <w:b/>
          <w:bCs/>
          <w:smallCaps/>
          <w:sz w:val="20"/>
        </w:rPr>
        <w:t xml:space="preserve"> </w:t>
      </w:r>
    </w:p>
    <w:p w:rsidR="00E952F9" w:rsidP="00E952F9">
      <w:pPr>
        <w:pBdr>
          <w:bottom w:val="single" w:sz="4" w:space="1" w:color="auto"/>
        </w:pBdr>
        <w:jc w:val="both"/>
        <w:rPr>
          <w:rFonts w:ascii="Verdana" w:hAnsi="Verdana"/>
          <w:sz w:val="20"/>
        </w:rPr>
      </w:pPr>
    </w:p>
    <w:p w:rsidR="00E952F9" w:rsidP="00E952F9">
      <w:pPr>
        <w:pStyle w:val="StandaardSV"/>
        <w:rPr>
          <w:rFonts w:ascii="Verdana" w:hAnsi="Verdana"/>
          <w:sz w:val="20"/>
        </w:rPr>
      </w:pPr>
    </w:p>
    <w:p w:rsidR="000903E4" w:rsidP="00551BF8">
      <w:pPr>
        <w:tabs>
          <w:tab w:val="left" w:pos="2190"/>
        </w:tabs>
        <w:jc w:val="both"/>
        <w:rPr>
          <w:rFonts w:ascii="Verdana" w:hAnsi="Verdana" w:cs="Calibri"/>
          <w:sz w:val="20"/>
        </w:rPr>
      </w:pPr>
    </w:p>
    <w:p w:rsidR="00E765D3" w:rsidRPr="00AE1E2B" w:rsidP="00AE1E2B">
      <w:pPr>
        <w:pStyle w:val="ListParagraph"/>
        <w:numPr>
          <w:ilvl w:val="0"/>
          <w:numId w:val="17"/>
        </w:numPr>
        <w:tabs>
          <w:tab w:val="left" w:pos="426"/>
        </w:tabs>
        <w:jc w:val="both"/>
        <w:rPr>
          <w:rFonts w:ascii="Verdana" w:hAnsi="Verdana" w:cs="Arial"/>
          <w:sz w:val="20"/>
        </w:rPr>
      </w:pPr>
      <w:r w:rsidRPr="00AE1E2B">
        <w:rPr>
          <w:rFonts w:ascii="Verdana" w:hAnsi="Verdana" w:cs="Arial"/>
          <w:sz w:val="20"/>
        </w:rPr>
        <w:t xml:space="preserve">De VREG heeft nog geen </w:t>
      </w:r>
      <w:r w:rsidRPr="00AE1E2B" w:rsidR="00DF6589">
        <w:rPr>
          <w:rFonts w:ascii="Verdana" w:hAnsi="Verdana" w:cs="Arial"/>
          <w:sz w:val="20"/>
        </w:rPr>
        <w:t>bijkomende</w:t>
      </w:r>
      <w:r w:rsidRPr="00AE1E2B">
        <w:rPr>
          <w:rFonts w:ascii="Verdana" w:hAnsi="Verdana" w:cs="Arial"/>
          <w:sz w:val="20"/>
        </w:rPr>
        <w:t xml:space="preserve"> simulaties uitgevoerd ten opzichte van de simulaties waarover we in het voorbije jaar communiceerden. We willen in de loop van 2021 indicatieve eenheidstarieven voor 2022 op onze website publiceren. Alvorens we dit doen, willen we de </w:t>
      </w:r>
      <w:r w:rsidRPr="00AE1E2B" w:rsidR="00C764CA">
        <w:rPr>
          <w:rFonts w:ascii="Verdana" w:hAnsi="Verdana" w:cs="Arial"/>
          <w:sz w:val="20"/>
        </w:rPr>
        <w:t>tot nu toe gebruikte</w:t>
      </w:r>
      <w:r w:rsidRPr="00AE1E2B">
        <w:rPr>
          <w:rFonts w:ascii="Verdana" w:hAnsi="Verdana" w:cs="Arial"/>
          <w:sz w:val="20"/>
        </w:rPr>
        <w:t xml:space="preserve"> inschattingen grondig updaten. Aan </w:t>
      </w:r>
      <w:r w:rsidRPr="00AE1E2B">
        <w:rPr>
          <w:rFonts w:ascii="Verdana" w:hAnsi="Verdana" w:cs="Arial"/>
          <w:sz w:val="20"/>
        </w:rPr>
        <w:t>Fluvius</w:t>
      </w:r>
      <w:r w:rsidRPr="00AE1E2B">
        <w:rPr>
          <w:rFonts w:ascii="Verdana" w:hAnsi="Verdana" w:cs="Arial"/>
          <w:sz w:val="20"/>
        </w:rPr>
        <w:t xml:space="preserve"> hebben we in dit kader gevraagd om ons meer input te bezorgen voor de rekenvolumes die we gebruiken bij de berekening van de </w:t>
      </w:r>
      <w:r w:rsidRPr="00AE1E2B">
        <w:rPr>
          <w:rFonts w:ascii="Verdana" w:hAnsi="Verdana" w:cs="Arial"/>
          <w:sz w:val="20"/>
        </w:rPr>
        <w:t>capaciteitsgebaseerde</w:t>
      </w:r>
      <w:r w:rsidRPr="00AE1E2B">
        <w:rPr>
          <w:rFonts w:ascii="Verdana" w:hAnsi="Verdana" w:cs="Arial"/>
          <w:sz w:val="20"/>
        </w:rPr>
        <w:t xml:space="preserve"> tarieven én de standaardwaarden voor de gemiddelde maandpiek voor verschillende typische gebruiksprofielen. Op basis van de meetgegevens waarover </w:t>
      </w:r>
      <w:r w:rsidRPr="00AE1E2B">
        <w:rPr>
          <w:rFonts w:ascii="Verdana" w:hAnsi="Verdana" w:cs="Arial"/>
          <w:sz w:val="20"/>
        </w:rPr>
        <w:t>Fluvius</w:t>
      </w:r>
      <w:r w:rsidRPr="00AE1E2B">
        <w:rPr>
          <w:rFonts w:ascii="Verdana" w:hAnsi="Verdana" w:cs="Arial"/>
          <w:sz w:val="20"/>
        </w:rPr>
        <w:t xml:space="preserve"> beschikt – waaronder méér informatie uit digitale meters – moet dit tot een accurater beeld leiden dan wat </w:t>
      </w:r>
      <w:r w:rsidRPr="00AE1E2B" w:rsidR="29610223">
        <w:rPr>
          <w:rFonts w:ascii="Verdana" w:hAnsi="Verdana" w:cs="Arial"/>
          <w:sz w:val="20"/>
        </w:rPr>
        <w:t>eerder</w:t>
      </w:r>
      <w:r w:rsidRPr="00AE1E2B">
        <w:rPr>
          <w:rFonts w:ascii="Verdana" w:hAnsi="Verdana" w:cs="Arial"/>
          <w:sz w:val="20"/>
        </w:rPr>
        <w:t xml:space="preserve"> mogelijk was. Voor onze verdere planning zijn we </w:t>
      </w:r>
      <w:r w:rsidRPr="00AE1E2B" w:rsidR="007A3C04">
        <w:rPr>
          <w:rFonts w:ascii="Verdana" w:hAnsi="Verdana" w:cs="Arial"/>
          <w:sz w:val="20"/>
        </w:rPr>
        <w:t>dus</w:t>
      </w:r>
      <w:r w:rsidRPr="00AE1E2B">
        <w:rPr>
          <w:rFonts w:ascii="Verdana" w:hAnsi="Verdana" w:cs="Arial"/>
          <w:sz w:val="20"/>
        </w:rPr>
        <w:t xml:space="preserve"> </w:t>
      </w:r>
      <w:r w:rsidRPr="00AE1E2B" w:rsidR="007A3C04">
        <w:rPr>
          <w:rFonts w:ascii="Verdana" w:hAnsi="Verdana" w:cs="Arial"/>
          <w:sz w:val="20"/>
        </w:rPr>
        <w:t xml:space="preserve">onder meer </w:t>
      </w:r>
      <w:r w:rsidRPr="00AE1E2B">
        <w:rPr>
          <w:rFonts w:ascii="Verdana" w:hAnsi="Verdana" w:cs="Arial"/>
          <w:sz w:val="20"/>
        </w:rPr>
        <w:t xml:space="preserve">afhankelijk van het moment waarop </w:t>
      </w:r>
      <w:r w:rsidRPr="00AE1E2B">
        <w:rPr>
          <w:rFonts w:ascii="Verdana" w:hAnsi="Verdana" w:cs="Arial"/>
          <w:sz w:val="20"/>
        </w:rPr>
        <w:t>Fluvius</w:t>
      </w:r>
      <w:r w:rsidRPr="00AE1E2B">
        <w:rPr>
          <w:rFonts w:ascii="Verdana" w:hAnsi="Verdana" w:cs="Arial"/>
          <w:sz w:val="20"/>
        </w:rPr>
        <w:t xml:space="preserve"> ons de gevraagde informatie kan overmaken. </w:t>
      </w:r>
    </w:p>
    <w:p w:rsidR="00E765D3" w:rsidRPr="00E765D3" w:rsidP="00E765D3">
      <w:pPr>
        <w:pStyle w:val="ListParagraph"/>
        <w:jc w:val="both"/>
        <w:rPr>
          <w:rFonts w:ascii="Verdana" w:hAnsi="Verdana" w:cs="Calibri"/>
          <w:sz w:val="20"/>
        </w:rPr>
      </w:pPr>
    </w:p>
    <w:p w:rsidR="00E765D3" w:rsidRPr="00E765D3" w:rsidP="00AE1E2B">
      <w:pPr>
        <w:tabs>
          <w:tab w:val="left" w:pos="426"/>
        </w:tabs>
        <w:ind w:left="426" w:hanging="426"/>
        <w:jc w:val="both"/>
        <w:rPr>
          <w:rFonts w:ascii="Verdana" w:hAnsi="Verdana" w:cs="Calibri"/>
          <w:sz w:val="20"/>
        </w:rPr>
      </w:pPr>
      <w:r>
        <w:rPr>
          <w:rFonts w:ascii="Verdana" w:hAnsi="Verdana" w:cs="Calibri"/>
          <w:sz w:val="20"/>
        </w:rPr>
        <w:tab/>
      </w:r>
      <w:r w:rsidRPr="00E765D3">
        <w:rPr>
          <w:rFonts w:ascii="Verdana" w:hAnsi="Verdana" w:cs="Calibri"/>
          <w:sz w:val="20"/>
        </w:rPr>
        <w:t xml:space="preserve">De VREG </w:t>
      </w:r>
      <w:r w:rsidR="00346E1E">
        <w:rPr>
          <w:rFonts w:ascii="Verdana" w:hAnsi="Verdana" w:cs="Calibri"/>
          <w:sz w:val="20"/>
        </w:rPr>
        <w:t xml:space="preserve">zal </w:t>
      </w:r>
      <w:r w:rsidRPr="00E765D3">
        <w:rPr>
          <w:rFonts w:ascii="Verdana" w:hAnsi="Verdana" w:cs="Calibri"/>
          <w:sz w:val="20"/>
        </w:rPr>
        <w:t>het parlement op de hoogte brengen van zodra nieuwe</w:t>
      </w:r>
      <w:r w:rsidR="00346E1E">
        <w:rPr>
          <w:rFonts w:ascii="Verdana" w:hAnsi="Verdana" w:cs="Calibri"/>
          <w:sz w:val="20"/>
        </w:rPr>
        <w:t xml:space="preserve"> </w:t>
      </w:r>
      <w:r w:rsidRPr="00E765D3">
        <w:rPr>
          <w:rFonts w:ascii="Verdana" w:hAnsi="Verdana" w:cs="Calibri"/>
          <w:sz w:val="20"/>
        </w:rPr>
        <w:t xml:space="preserve">resultaten beschikbaar zijn. </w:t>
      </w:r>
    </w:p>
    <w:p w:rsidR="002A775C" w:rsidP="001C0F27">
      <w:pPr>
        <w:tabs>
          <w:tab w:val="left" w:pos="2190"/>
        </w:tabs>
        <w:jc w:val="both"/>
        <w:rPr>
          <w:rFonts w:ascii="Verdana" w:hAnsi="Verdana" w:cs="Calibri"/>
          <w:sz w:val="20"/>
        </w:rPr>
      </w:pPr>
    </w:p>
    <w:p w:rsidR="00FB0C4E" w:rsidRPr="00AE1E2B" w:rsidP="00AE1E2B">
      <w:pPr>
        <w:pStyle w:val="ListParagraph"/>
        <w:numPr>
          <w:ilvl w:val="0"/>
          <w:numId w:val="17"/>
        </w:numPr>
        <w:tabs>
          <w:tab w:val="left" w:pos="426"/>
        </w:tabs>
        <w:jc w:val="both"/>
        <w:rPr>
          <w:rFonts w:ascii="Verdana" w:hAnsi="Verdana" w:cs="Arial"/>
          <w:sz w:val="20"/>
        </w:rPr>
      </w:pPr>
      <w:r w:rsidRPr="00AE1E2B">
        <w:rPr>
          <w:rFonts w:ascii="Verdana" w:hAnsi="Verdana" w:cs="Arial"/>
          <w:sz w:val="20"/>
        </w:rPr>
        <w:t xml:space="preserve">De VREG pleegde overleg met </w:t>
      </w:r>
      <w:r w:rsidRPr="00AE1E2B">
        <w:rPr>
          <w:rFonts w:ascii="Verdana" w:hAnsi="Verdana" w:cs="Arial"/>
          <w:sz w:val="20"/>
        </w:rPr>
        <w:t>Allego</w:t>
      </w:r>
      <w:r w:rsidRPr="00AE1E2B">
        <w:rPr>
          <w:rFonts w:ascii="Verdana" w:hAnsi="Verdana" w:cs="Arial"/>
          <w:sz w:val="20"/>
        </w:rPr>
        <w:t xml:space="preserve">, partner van </w:t>
      </w:r>
      <w:r w:rsidRPr="00AE1E2B">
        <w:rPr>
          <w:rFonts w:ascii="Verdana" w:hAnsi="Verdana" w:cs="Arial"/>
          <w:sz w:val="20"/>
        </w:rPr>
        <w:t>Fluvius</w:t>
      </w:r>
      <w:r w:rsidRPr="00AE1E2B">
        <w:rPr>
          <w:rFonts w:ascii="Verdana" w:hAnsi="Verdana" w:cs="Arial"/>
          <w:sz w:val="20"/>
        </w:rPr>
        <w:t xml:space="preserve"> voor de plaatsing van publieke laadpalen. Volgens </w:t>
      </w:r>
      <w:r w:rsidRPr="00AE1E2B">
        <w:rPr>
          <w:rFonts w:ascii="Verdana" w:hAnsi="Verdana" w:cs="Arial"/>
          <w:sz w:val="20"/>
        </w:rPr>
        <w:t>Allego</w:t>
      </w:r>
      <w:r w:rsidRPr="00AE1E2B">
        <w:rPr>
          <w:rFonts w:ascii="Verdana" w:hAnsi="Verdana" w:cs="Arial"/>
          <w:sz w:val="20"/>
        </w:rPr>
        <w:t xml:space="preserve"> zal de impact van de invoering van het capaciteitstarief op de rendabiliteit van hun activiteiten in belangrijke mate afhankelijk zijn van de gebruiksfrequentie van de laadpalen. Voor publieke laadpalen die regelmatig worden gebruikt</w:t>
      </w:r>
      <w:r w:rsidRPr="00AE1E2B" w:rsidR="1F5E7D1B">
        <w:rPr>
          <w:rFonts w:ascii="Verdana" w:hAnsi="Verdana" w:cs="Arial"/>
          <w:sz w:val="20"/>
        </w:rPr>
        <w:t>,</w:t>
      </w:r>
      <w:r w:rsidRPr="00AE1E2B">
        <w:rPr>
          <w:rFonts w:ascii="Verdana" w:hAnsi="Verdana" w:cs="Arial"/>
          <w:sz w:val="20"/>
        </w:rPr>
        <w:t xml:space="preserve"> kan het capaciteitstarief voordeliger zijn dan het huidige kWh-gebaseerde tarief: het verbruik is in dat geval relatief groot in verhouding tot het piekvermogen dat de laadpalen benutten. Voor publieke laadpalen die slechts sporadisch </w:t>
      </w:r>
      <w:r w:rsidRPr="00AE1E2B" w:rsidR="00D1750A">
        <w:rPr>
          <w:rFonts w:ascii="Verdana" w:hAnsi="Verdana" w:cs="Arial"/>
          <w:sz w:val="20"/>
        </w:rPr>
        <w:t xml:space="preserve">of zelfs </w:t>
      </w:r>
      <w:r w:rsidRPr="00AE1E2B">
        <w:rPr>
          <w:rFonts w:ascii="Verdana" w:hAnsi="Verdana" w:cs="Arial"/>
          <w:sz w:val="20"/>
        </w:rPr>
        <w:t>nooit worden gebruikt zal het capaciteitstarief</w:t>
      </w:r>
      <w:r w:rsidRPr="00AE1E2B" w:rsidR="00A3759B">
        <w:rPr>
          <w:rFonts w:ascii="Verdana" w:hAnsi="Verdana" w:cs="Arial"/>
          <w:sz w:val="20"/>
        </w:rPr>
        <w:t xml:space="preserve"> – </w:t>
      </w:r>
      <w:r w:rsidRPr="00AE1E2B">
        <w:rPr>
          <w:rFonts w:ascii="Verdana" w:hAnsi="Verdana" w:cs="Arial"/>
          <w:sz w:val="20"/>
        </w:rPr>
        <w:t>met inherente minimale bijdrage ter hoogte van 2,5 kW</w:t>
      </w:r>
      <w:r w:rsidRPr="00AE1E2B" w:rsidR="00A3759B">
        <w:rPr>
          <w:rFonts w:ascii="Verdana" w:hAnsi="Verdana" w:cs="Arial"/>
          <w:sz w:val="20"/>
        </w:rPr>
        <w:t xml:space="preserve"> –</w:t>
      </w:r>
      <w:r w:rsidRPr="00AE1E2B">
        <w:rPr>
          <w:rFonts w:ascii="Verdana" w:hAnsi="Verdana" w:cs="Arial"/>
          <w:sz w:val="20"/>
        </w:rPr>
        <w:t xml:space="preserve"> eerder een </w:t>
      </w:r>
      <w:r w:rsidRPr="00AE1E2B">
        <w:rPr>
          <w:rFonts w:ascii="Verdana" w:hAnsi="Verdana" w:cs="Arial"/>
          <w:sz w:val="20"/>
        </w:rPr>
        <w:t>meerkost</w:t>
      </w:r>
      <w:r w:rsidRPr="00AE1E2B">
        <w:rPr>
          <w:rFonts w:ascii="Verdana" w:hAnsi="Verdana" w:cs="Arial"/>
          <w:sz w:val="20"/>
        </w:rPr>
        <w:t xml:space="preserve"> betekenen. </w:t>
      </w:r>
    </w:p>
    <w:p w:rsidR="00FB0C4E" w:rsidRPr="00FB0C4E" w:rsidP="00FB0C4E">
      <w:pPr>
        <w:pStyle w:val="ListParagraph"/>
        <w:jc w:val="both"/>
        <w:rPr>
          <w:rFonts w:ascii="Verdana" w:hAnsi="Verdana" w:cs="Calibri"/>
          <w:sz w:val="20"/>
        </w:rPr>
      </w:pPr>
    </w:p>
    <w:p w:rsidR="00FB0C4E" w:rsidRPr="00FB0C4E" w:rsidP="00AE1E2B">
      <w:pPr>
        <w:ind w:left="360"/>
        <w:jc w:val="both"/>
        <w:rPr>
          <w:rFonts w:ascii="Verdana" w:hAnsi="Verdana" w:cs="Arial"/>
          <w:sz w:val="20"/>
        </w:rPr>
      </w:pPr>
      <w:r w:rsidRPr="2579666D">
        <w:rPr>
          <w:rFonts w:ascii="Verdana" w:hAnsi="Verdana" w:cs="Arial"/>
          <w:sz w:val="20"/>
        </w:rPr>
        <w:t xml:space="preserve">Volgens </w:t>
      </w:r>
      <w:r w:rsidRPr="2579666D">
        <w:rPr>
          <w:rFonts w:ascii="Verdana" w:hAnsi="Verdana" w:cs="Arial"/>
          <w:sz w:val="20"/>
        </w:rPr>
        <w:t>Allego</w:t>
      </w:r>
      <w:r w:rsidRPr="2579666D">
        <w:rPr>
          <w:rFonts w:ascii="Verdana" w:hAnsi="Verdana" w:cs="Arial"/>
          <w:sz w:val="20"/>
        </w:rPr>
        <w:t xml:space="preserve"> is de gemiddel</w:t>
      </w:r>
      <w:r w:rsidRPr="2579666D" w:rsidR="502C0FAC">
        <w:rPr>
          <w:rFonts w:ascii="Verdana" w:hAnsi="Verdana" w:cs="Arial"/>
          <w:sz w:val="20"/>
        </w:rPr>
        <w:t>d</w:t>
      </w:r>
      <w:r w:rsidRPr="2579666D">
        <w:rPr>
          <w:rFonts w:ascii="Verdana" w:hAnsi="Verdana" w:cs="Arial"/>
          <w:sz w:val="20"/>
        </w:rPr>
        <w:t>e bezettingsgraad van de geplaatste laadpalen momenteel ruim lager dan initieel door hen verwacht. Dit heeft een invloed op de rendabiliteit, ook zonder de invoering van het capaciteitstarief. De wenselijkheid van eventuele remediërende maatregelen moet dan ook in een ruimer</w:t>
      </w:r>
      <w:r w:rsidRPr="2579666D" w:rsidR="00214873">
        <w:rPr>
          <w:rFonts w:ascii="Verdana" w:hAnsi="Verdana" w:cs="Arial"/>
          <w:sz w:val="20"/>
        </w:rPr>
        <w:t>e context</w:t>
      </w:r>
      <w:r w:rsidRPr="2579666D">
        <w:rPr>
          <w:rFonts w:ascii="Verdana" w:hAnsi="Verdana" w:cs="Arial"/>
          <w:sz w:val="20"/>
        </w:rPr>
        <w:t xml:space="preserve"> onderzocht worden.  </w:t>
      </w:r>
    </w:p>
    <w:p w:rsidR="00FB0C4E" w:rsidRPr="00FB0C4E" w:rsidP="00FB0C4E">
      <w:pPr>
        <w:pStyle w:val="ListParagraph"/>
        <w:jc w:val="both"/>
        <w:rPr>
          <w:rFonts w:ascii="Verdana" w:hAnsi="Verdana" w:cs="Calibri"/>
          <w:sz w:val="20"/>
        </w:rPr>
      </w:pPr>
    </w:p>
    <w:p w:rsidR="00FB0C4E" w:rsidRPr="00FB0C4E" w:rsidP="00AE1E2B">
      <w:pPr>
        <w:ind w:left="360"/>
        <w:jc w:val="both"/>
        <w:rPr>
          <w:rFonts w:ascii="Verdana" w:hAnsi="Verdana" w:cs="Calibri"/>
          <w:sz w:val="20"/>
        </w:rPr>
      </w:pPr>
      <w:r w:rsidRPr="00FB0C4E">
        <w:rPr>
          <w:rFonts w:ascii="Verdana" w:hAnsi="Verdana" w:cs="Calibri"/>
          <w:sz w:val="20"/>
        </w:rPr>
        <w:t>We pleegden ook overleg met de automobielindustrie (</w:t>
      </w:r>
      <w:r w:rsidRPr="00FB0C4E">
        <w:rPr>
          <w:rFonts w:ascii="Verdana" w:hAnsi="Verdana" w:cs="Calibri"/>
          <w:sz w:val="20"/>
        </w:rPr>
        <w:t>Febiac</w:t>
      </w:r>
      <w:r w:rsidRPr="00FB0C4E">
        <w:rPr>
          <w:rFonts w:ascii="Verdana" w:hAnsi="Verdana" w:cs="Calibri"/>
          <w:sz w:val="20"/>
        </w:rPr>
        <w:t xml:space="preserve"> en </w:t>
      </w:r>
      <w:r w:rsidRPr="00FB0C4E">
        <w:rPr>
          <w:rFonts w:ascii="Verdana" w:hAnsi="Verdana" w:cs="Calibri"/>
          <w:sz w:val="20"/>
        </w:rPr>
        <w:t>Avere</w:t>
      </w:r>
      <w:r w:rsidRPr="00FB0C4E">
        <w:rPr>
          <w:rFonts w:ascii="Verdana" w:hAnsi="Verdana" w:cs="Calibri"/>
          <w:sz w:val="20"/>
        </w:rPr>
        <w:t xml:space="preserve">) voor de opmaak van realistische </w:t>
      </w:r>
      <w:r w:rsidRPr="00FB0C4E">
        <w:rPr>
          <w:rFonts w:ascii="Verdana" w:hAnsi="Verdana" w:cs="Calibri"/>
          <w:sz w:val="20"/>
        </w:rPr>
        <w:t>use</w:t>
      </w:r>
      <w:r w:rsidRPr="00FB0C4E">
        <w:rPr>
          <w:rFonts w:ascii="Verdana" w:hAnsi="Verdana" w:cs="Calibri"/>
          <w:sz w:val="20"/>
        </w:rPr>
        <w:t xml:space="preserve"> cases voor thuisladen. Van zodra we </w:t>
      </w:r>
      <w:r w:rsidR="00943201">
        <w:rPr>
          <w:rFonts w:ascii="Verdana" w:hAnsi="Verdana" w:cs="Calibri"/>
          <w:sz w:val="20"/>
        </w:rPr>
        <w:t xml:space="preserve">alle </w:t>
      </w:r>
      <w:r w:rsidRPr="00FB0C4E">
        <w:rPr>
          <w:rFonts w:ascii="Verdana" w:hAnsi="Verdana" w:cs="Calibri"/>
          <w:sz w:val="20"/>
        </w:rPr>
        <w:t xml:space="preserve">noodzakelijke gegevens van </w:t>
      </w:r>
      <w:r w:rsidRPr="00FB0C4E">
        <w:rPr>
          <w:rFonts w:ascii="Verdana" w:hAnsi="Verdana" w:cs="Calibri"/>
          <w:sz w:val="20"/>
        </w:rPr>
        <w:t>Fluvius</w:t>
      </w:r>
      <w:r w:rsidRPr="00FB0C4E">
        <w:rPr>
          <w:rFonts w:ascii="Verdana" w:hAnsi="Verdana" w:cs="Calibri"/>
          <w:sz w:val="20"/>
        </w:rPr>
        <w:t xml:space="preserve"> hebben ontvangen</w:t>
      </w:r>
      <w:r w:rsidR="00A40457">
        <w:rPr>
          <w:rFonts w:ascii="Verdana" w:hAnsi="Verdana" w:cs="Calibri"/>
          <w:sz w:val="20"/>
        </w:rPr>
        <w:t xml:space="preserve"> (cf. supra)</w:t>
      </w:r>
      <w:r w:rsidRPr="00FB0C4E">
        <w:rPr>
          <w:rFonts w:ascii="Verdana" w:hAnsi="Verdana" w:cs="Calibri"/>
          <w:sz w:val="20"/>
        </w:rPr>
        <w:t xml:space="preserve">, zullen we simulaties uitvoeren voor deze </w:t>
      </w:r>
      <w:r w:rsidRPr="00FB0C4E">
        <w:rPr>
          <w:rFonts w:ascii="Verdana" w:hAnsi="Verdana" w:cs="Calibri"/>
          <w:sz w:val="20"/>
        </w:rPr>
        <w:t>use</w:t>
      </w:r>
      <w:r w:rsidRPr="00FB0C4E">
        <w:rPr>
          <w:rFonts w:ascii="Verdana" w:hAnsi="Verdana" w:cs="Calibri"/>
          <w:sz w:val="20"/>
        </w:rPr>
        <w:t xml:space="preserve"> cases en de resultaten</w:t>
      </w:r>
      <w:r w:rsidR="0046198D">
        <w:rPr>
          <w:rFonts w:ascii="Verdana" w:hAnsi="Verdana" w:cs="Calibri"/>
          <w:sz w:val="20"/>
        </w:rPr>
        <w:t xml:space="preserve"> </w:t>
      </w:r>
      <w:r w:rsidRPr="00FB0C4E">
        <w:rPr>
          <w:rFonts w:ascii="Verdana" w:hAnsi="Verdana" w:cs="Calibri"/>
          <w:sz w:val="20"/>
        </w:rPr>
        <w:t xml:space="preserve">publiek maken. Zoals al </w:t>
      </w:r>
      <w:r w:rsidR="003E389E">
        <w:rPr>
          <w:rFonts w:ascii="Verdana" w:hAnsi="Verdana" w:cs="Calibri"/>
          <w:sz w:val="20"/>
        </w:rPr>
        <w:t xml:space="preserve">eerder </w:t>
      </w:r>
      <w:r w:rsidRPr="00FB0C4E">
        <w:rPr>
          <w:rFonts w:ascii="Verdana" w:hAnsi="Verdana" w:cs="Calibri"/>
          <w:sz w:val="20"/>
        </w:rPr>
        <w:t xml:space="preserve">gecommuniceerd, verwachten we dat de invoering van het capaciteitstarief typisch voordelig zal zijn voor gezinnen met een elektrische wagen. </w:t>
      </w:r>
    </w:p>
    <w:p w:rsidR="00551BF8" w:rsidP="00551BF8">
      <w:pPr>
        <w:pStyle w:val="ListParagraph"/>
        <w:tabs>
          <w:tab w:val="left" w:pos="2190"/>
        </w:tabs>
        <w:ind w:left="360"/>
        <w:jc w:val="both"/>
        <w:rPr>
          <w:rFonts w:ascii="Verdana" w:hAnsi="Verdana" w:cs="Calibri"/>
          <w:sz w:val="20"/>
        </w:rPr>
      </w:pPr>
    </w:p>
    <w:p w:rsidR="003F67FD" w:rsidRPr="00AE1E2B" w:rsidP="00AE1E2B">
      <w:pPr>
        <w:tabs>
          <w:tab w:val="left" w:pos="426"/>
          <w:tab w:val="left" w:pos="2190"/>
        </w:tabs>
        <w:jc w:val="both"/>
        <w:rPr>
          <w:rFonts w:ascii="Verdana" w:hAnsi="Verdana" w:cs="Calibri"/>
          <w:sz w:val="20"/>
        </w:rPr>
      </w:pPr>
      <w:r>
        <w:rPr>
          <w:rFonts w:ascii="Verdana" w:hAnsi="Verdana" w:cs="Calibri"/>
          <w:sz w:val="20"/>
        </w:rPr>
        <w:t>3.</w:t>
      </w:r>
      <w:r w:rsidRPr="00AE1E2B" w:rsidR="00551BF8">
        <w:rPr>
          <w:rFonts w:ascii="Verdana" w:hAnsi="Verdana" w:cs="Calibri"/>
          <w:sz w:val="20"/>
        </w:rPr>
        <w:t xml:space="preserve"> </w:t>
      </w:r>
      <w:r>
        <w:rPr>
          <w:rFonts w:ascii="Verdana" w:hAnsi="Verdana" w:cs="Calibri"/>
          <w:sz w:val="20"/>
        </w:rPr>
        <w:tab/>
      </w:r>
      <w:r w:rsidRPr="00AE1E2B">
        <w:rPr>
          <w:rFonts w:ascii="Verdana" w:hAnsi="Verdana" w:cs="Calibri"/>
          <w:sz w:val="20"/>
        </w:rPr>
        <w:t>Algemeen:</w:t>
      </w:r>
    </w:p>
    <w:p w:rsidR="00AE1E2B" w:rsidP="00376C2F">
      <w:pPr>
        <w:tabs>
          <w:tab w:val="left" w:pos="2190"/>
        </w:tabs>
        <w:jc w:val="both"/>
        <w:rPr>
          <w:rFonts w:ascii="Verdana" w:hAnsi="Verdana" w:cs="Arial"/>
          <w:sz w:val="20"/>
        </w:rPr>
      </w:pPr>
    </w:p>
    <w:p w:rsidR="00376C2F" w:rsidRPr="00AC7602" w:rsidP="00AE1E2B">
      <w:pPr>
        <w:tabs>
          <w:tab w:val="left" w:pos="2190"/>
        </w:tabs>
        <w:ind w:left="426"/>
        <w:jc w:val="both"/>
        <w:rPr>
          <w:rFonts w:ascii="Verdana" w:hAnsi="Verdana" w:cs="Arial"/>
          <w:sz w:val="20"/>
        </w:rPr>
      </w:pPr>
      <w:r w:rsidRPr="29C7B225">
        <w:rPr>
          <w:rFonts w:ascii="Verdana" w:hAnsi="Verdana" w:cs="Arial"/>
          <w:sz w:val="20"/>
        </w:rPr>
        <w:t xml:space="preserve">In </w:t>
      </w:r>
      <w:r w:rsidRPr="29C7B225" w:rsidR="00686133">
        <w:rPr>
          <w:rFonts w:ascii="Verdana" w:hAnsi="Verdana" w:cs="Arial"/>
          <w:sz w:val="20"/>
        </w:rPr>
        <w:t xml:space="preserve">de herziening van </w:t>
      </w:r>
      <w:r w:rsidRPr="29C7B225">
        <w:rPr>
          <w:rFonts w:ascii="Verdana" w:hAnsi="Verdana" w:cs="Arial"/>
          <w:sz w:val="20"/>
        </w:rPr>
        <w:t xml:space="preserve">het Technisch </w:t>
      </w:r>
      <w:r w:rsidRPr="29C7B225" w:rsidR="000C2A8E">
        <w:rPr>
          <w:rFonts w:ascii="Verdana" w:hAnsi="Verdana" w:cs="Arial"/>
          <w:sz w:val="20"/>
        </w:rPr>
        <w:t>R</w:t>
      </w:r>
      <w:r w:rsidRPr="29C7B225">
        <w:rPr>
          <w:rFonts w:ascii="Verdana" w:hAnsi="Verdana" w:cs="Arial"/>
          <w:sz w:val="20"/>
        </w:rPr>
        <w:t xml:space="preserve">eglement </w:t>
      </w:r>
      <w:r w:rsidRPr="29C7B225" w:rsidR="00AA2551">
        <w:rPr>
          <w:rFonts w:ascii="Verdana" w:hAnsi="Verdana" w:cs="Arial"/>
          <w:sz w:val="20"/>
        </w:rPr>
        <w:t xml:space="preserve">voor </w:t>
      </w:r>
      <w:r w:rsidRPr="29C7B225" w:rsidR="00686133">
        <w:rPr>
          <w:rFonts w:ascii="Verdana" w:hAnsi="Verdana" w:cs="Arial"/>
          <w:sz w:val="20"/>
        </w:rPr>
        <w:t xml:space="preserve">de </w:t>
      </w:r>
      <w:r w:rsidRPr="29C7B225" w:rsidR="000C2A8E">
        <w:rPr>
          <w:rFonts w:ascii="Verdana" w:hAnsi="Verdana" w:cs="Arial"/>
          <w:sz w:val="20"/>
        </w:rPr>
        <w:t>D</w:t>
      </w:r>
      <w:r w:rsidRPr="29C7B225" w:rsidR="00686133">
        <w:rPr>
          <w:rFonts w:ascii="Verdana" w:hAnsi="Verdana" w:cs="Arial"/>
          <w:sz w:val="20"/>
        </w:rPr>
        <w:t xml:space="preserve">istributie van </w:t>
      </w:r>
      <w:r w:rsidRPr="29C7B225" w:rsidR="000C2A8E">
        <w:rPr>
          <w:rFonts w:ascii="Verdana" w:hAnsi="Verdana" w:cs="Arial"/>
          <w:sz w:val="20"/>
        </w:rPr>
        <w:t>E</w:t>
      </w:r>
      <w:r w:rsidRPr="29C7B225" w:rsidR="00686133">
        <w:rPr>
          <w:rFonts w:ascii="Verdana" w:hAnsi="Verdana" w:cs="Arial"/>
          <w:sz w:val="20"/>
        </w:rPr>
        <w:t xml:space="preserve">lektriciteit in het Vlaamse Gewest (TRDE) die afgerond werd op 20 september 2019 </w:t>
      </w:r>
      <w:r w:rsidRPr="29C7B225" w:rsidR="00D6203B">
        <w:rPr>
          <w:rFonts w:ascii="Verdana" w:hAnsi="Verdana" w:cs="Arial"/>
          <w:sz w:val="20"/>
        </w:rPr>
        <w:t xml:space="preserve">voorzagen we in een omzetting van de Clean Power </w:t>
      </w:r>
      <w:r w:rsidRPr="29C7B225" w:rsidR="00D6203B">
        <w:rPr>
          <w:rFonts w:ascii="Verdana" w:hAnsi="Verdana" w:cs="Arial"/>
          <w:sz w:val="20"/>
        </w:rPr>
        <w:t>for</w:t>
      </w:r>
      <w:r w:rsidRPr="29C7B225" w:rsidR="00D6203B">
        <w:rPr>
          <w:rFonts w:ascii="Verdana" w:hAnsi="Verdana" w:cs="Arial"/>
          <w:sz w:val="20"/>
        </w:rPr>
        <w:t xml:space="preserve"> Transport </w:t>
      </w:r>
      <w:r w:rsidRPr="29C7B225" w:rsidR="00EB6389">
        <w:rPr>
          <w:rFonts w:ascii="Verdana" w:hAnsi="Verdana" w:cs="Arial"/>
          <w:sz w:val="20"/>
        </w:rPr>
        <w:t>verordening</w:t>
      </w:r>
      <w:r w:rsidRPr="29C7B225" w:rsidR="0056190A">
        <w:rPr>
          <w:rFonts w:ascii="Verdana" w:hAnsi="Verdana" w:cs="Arial"/>
          <w:sz w:val="20"/>
        </w:rPr>
        <w:t xml:space="preserve">. Die legt op dat een </w:t>
      </w:r>
      <w:r w:rsidRPr="29C7B225" w:rsidR="009E7FE1">
        <w:rPr>
          <w:rFonts w:ascii="Verdana" w:hAnsi="Verdana" w:cs="Arial"/>
          <w:sz w:val="20"/>
        </w:rPr>
        <w:t xml:space="preserve">ander contract moet kunnen gekozen worden voor het opladen van een elektrisch voertuig </w:t>
      </w:r>
      <w:r w:rsidRPr="29C7B225" w:rsidR="007065CB">
        <w:rPr>
          <w:rFonts w:ascii="Verdana" w:hAnsi="Verdana" w:cs="Arial"/>
          <w:sz w:val="20"/>
        </w:rPr>
        <w:t xml:space="preserve">dan voor het huishouden of de ruimte waarin de oplaadpunten zich bevinden. Aan die </w:t>
      </w:r>
      <w:r w:rsidRPr="29C7B225" w:rsidR="00121CFE">
        <w:rPr>
          <w:rFonts w:ascii="Verdana" w:hAnsi="Verdana" w:cs="Arial"/>
          <w:sz w:val="20"/>
        </w:rPr>
        <w:t>verplicht</w:t>
      </w:r>
      <w:r w:rsidRPr="29C7B225" w:rsidR="007065CB">
        <w:rPr>
          <w:rFonts w:ascii="Verdana" w:hAnsi="Verdana" w:cs="Arial"/>
          <w:sz w:val="20"/>
        </w:rPr>
        <w:t xml:space="preserve">ing gaven we </w:t>
      </w:r>
      <w:r w:rsidR="00F96D12">
        <w:rPr>
          <w:rFonts w:ascii="Verdana" w:hAnsi="Verdana" w:cs="Arial"/>
          <w:sz w:val="20"/>
        </w:rPr>
        <w:t>voor 2021</w:t>
      </w:r>
      <w:r w:rsidR="007065CB">
        <w:rPr>
          <w:rFonts w:ascii="Verdana" w:hAnsi="Verdana" w:cs="Arial"/>
          <w:sz w:val="20"/>
        </w:rPr>
        <w:t xml:space="preserve"> </w:t>
      </w:r>
      <w:r w:rsidRPr="29C7B225" w:rsidR="007065CB">
        <w:rPr>
          <w:rFonts w:ascii="Verdana" w:hAnsi="Verdana" w:cs="Arial"/>
          <w:sz w:val="20"/>
        </w:rPr>
        <w:t xml:space="preserve">invulling met een </w:t>
      </w:r>
      <w:r w:rsidRPr="00F96D12" w:rsidR="007065CB">
        <w:rPr>
          <w:rFonts w:ascii="Verdana" w:hAnsi="Verdana" w:cs="Arial"/>
          <w:sz w:val="20"/>
        </w:rPr>
        <w:t>voorlopige be</w:t>
      </w:r>
      <w:r w:rsidRPr="29C7B225" w:rsidR="007065CB">
        <w:rPr>
          <w:rFonts w:ascii="Verdana" w:hAnsi="Verdana" w:cs="Arial"/>
          <w:sz w:val="20"/>
        </w:rPr>
        <w:t xml:space="preserve">paling, die </w:t>
      </w:r>
      <w:r w:rsidRPr="29C7B225" w:rsidR="007065CB">
        <w:rPr>
          <w:rFonts w:ascii="Verdana" w:hAnsi="Verdana" w:cs="Arial"/>
          <w:sz w:val="20"/>
        </w:rPr>
        <w:t>inhoudt dat er meerdere toegangspunten kunnen worden aangevraagd</w:t>
      </w:r>
      <w:r w:rsidRPr="29C7B225" w:rsidR="006F0DF1">
        <w:rPr>
          <w:rFonts w:ascii="Verdana" w:hAnsi="Verdana" w:cs="Arial"/>
          <w:sz w:val="20"/>
        </w:rPr>
        <w:t xml:space="preserve"> in dergelijke gevallen. </w:t>
      </w:r>
      <w:r w:rsidRPr="29C7B225" w:rsidR="00FF3BBB">
        <w:rPr>
          <w:rFonts w:ascii="Verdana" w:hAnsi="Verdana" w:cs="Arial"/>
          <w:sz w:val="20"/>
        </w:rPr>
        <w:t xml:space="preserve">Om enkele nadelen van de </w:t>
      </w:r>
      <w:r w:rsidRPr="29C7B225" w:rsidR="00121CFE">
        <w:rPr>
          <w:rFonts w:ascii="Verdana" w:hAnsi="Verdana" w:cs="Arial"/>
          <w:sz w:val="20"/>
        </w:rPr>
        <w:t xml:space="preserve">oplossing met </w:t>
      </w:r>
      <w:r w:rsidRPr="29C7B225" w:rsidR="00FF3BBB">
        <w:rPr>
          <w:rFonts w:ascii="Verdana" w:hAnsi="Verdana" w:cs="Arial"/>
          <w:sz w:val="20"/>
        </w:rPr>
        <w:t xml:space="preserve">meerdere toegangspunten weg te werken, hadden we al aangegeven dat hiervoor een oplossing met meerdere allocatiepunten </w:t>
      </w:r>
      <w:r w:rsidR="00636AD0">
        <w:rPr>
          <w:rFonts w:ascii="Verdana" w:hAnsi="Verdana" w:cs="Arial"/>
          <w:sz w:val="20"/>
        </w:rPr>
        <w:t>moet toe</w:t>
      </w:r>
      <w:r w:rsidR="00C645BC">
        <w:rPr>
          <w:rFonts w:ascii="Verdana" w:hAnsi="Verdana" w:cs="Arial"/>
          <w:sz w:val="20"/>
        </w:rPr>
        <w:t>ge</w:t>
      </w:r>
      <w:r w:rsidR="00636AD0">
        <w:rPr>
          <w:rFonts w:ascii="Verdana" w:hAnsi="Verdana" w:cs="Arial"/>
          <w:sz w:val="20"/>
        </w:rPr>
        <w:t>past worden</w:t>
      </w:r>
      <w:r w:rsidRPr="29C7B225" w:rsidR="00FF3BBB">
        <w:rPr>
          <w:rFonts w:ascii="Verdana" w:hAnsi="Verdana" w:cs="Arial"/>
          <w:sz w:val="20"/>
        </w:rPr>
        <w:t xml:space="preserve"> vanaf 1 januari 2022. </w:t>
      </w:r>
      <w:r w:rsidRPr="00AC7602" w:rsidR="00FF3BBB">
        <w:rPr>
          <w:rFonts w:ascii="Verdana" w:hAnsi="Verdana" w:cs="Arial"/>
          <w:sz w:val="20"/>
        </w:rPr>
        <w:t xml:space="preserve">De </w:t>
      </w:r>
      <w:r w:rsidRPr="00AC7602" w:rsidR="004131C1">
        <w:rPr>
          <w:rFonts w:ascii="Verdana" w:hAnsi="Verdana" w:cs="Arial"/>
          <w:sz w:val="20"/>
        </w:rPr>
        <w:t xml:space="preserve">concrete </w:t>
      </w:r>
      <w:r w:rsidRPr="00AC7602" w:rsidR="00FF3BBB">
        <w:rPr>
          <w:rFonts w:ascii="Verdana" w:hAnsi="Verdana" w:cs="Arial"/>
          <w:sz w:val="20"/>
        </w:rPr>
        <w:t xml:space="preserve">uitwerking hiervan </w:t>
      </w:r>
      <w:r w:rsidRPr="00AC7602" w:rsidR="00AC7602">
        <w:rPr>
          <w:rFonts w:ascii="Verdana" w:hAnsi="Verdana" w:cs="Arial"/>
          <w:sz w:val="20"/>
        </w:rPr>
        <w:t>is</w:t>
      </w:r>
      <w:r w:rsidRPr="00AC7602" w:rsidR="00A46E7C">
        <w:rPr>
          <w:rFonts w:ascii="Verdana" w:hAnsi="Verdana" w:cs="Arial"/>
          <w:sz w:val="20"/>
        </w:rPr>
        <w:t xml:space="preserve"> moment</w:t>
      </w:r>
      <w:r w:rsidRPr="00AC7602" w:rsidR="00AC7602">
        <w:rPr>
          <w:rFonts w:ascii="Verdana" w:hAnsi="Verdana" w:cs="Arial"/>
          <w:sz w:val="20"/>
        </w:rPr>
        <w:t>eel</w:t>
      </w:r>
      <w:r w:rsidRPr="00AC7602" w:rsidR="00A46E7C">
        <w:rPr>
          <w:rFonts w:ascii="Verdana" w:hAnsi="Verdana" w:cs="Arial"/>
          <w:sz w:val="20"/>
        </w:rPr>
        <w:t xml:space="preserve"> aan de gang.</w:t>
      </w:r>
    </w:p>
    <w:p w:rsidR="00376C2F" w:rsidRPr="00AC7602" w:rsidP="00376C2F">
      <w:pPr>
        <w:tabs>
          <w:tab w:val="left" w:pos="2190"/>
        </w:tabs>
        <w:jc w:val="both"/>
        <w:rPr>
          <w:rFonts w:ascii="Verdana" w:hAnsi="Verdana" w:cs="Calibri"/>
          <w:sz w:val="20"/>
        </w:rPr>
      </w:pPr>
    </w:p>
    <w:p w:rsidR="00E658EB" w:rsidP="00AE1E2B">
      <w:pPr>
        <w:tabs>
          <w:tab w:val="left" w:pos="2190"/>
        </w:tabs>
        <w:ind w:left="426"/>
        <w:jc w:val="both"/>
        <w:rPr>
          <w:rFonts w:ascii="Verdana" w:hAnsi="Verdana" w:cs="Arial"/>
          <w:sz w:val="20"/>
        </w:rPr>
      </w:pPr>
      <w:r w:rsidRPr="00AC7602">
        <w:rPr>
          <w:rFonts w:ascii="Verdana" w:hAnsi="Verdana" w:cs="Arial"/>
          <w:sz w:val="20"/>
        </w:rPr>
        <w:t xml:space="preserve">Ondertussen heeft de </w:t>
      </w:r>
      <w:r w:rsidRPr="00AC7602" w:rsidR="00FD2A31">
        <w:rPr>
          <w:rFonts w:ascii="Verdana" w:hAnsi="Verdana" w:cs="Arial"/>
          <w:sz w:val="20"/>
        </w:rPr>
        <w:t>E</w:t>
      </w:r>
      <w:r w:rsidRPr="00AC7602">
        <w:rPr>
          <w:rFonts w:ascii="Verdana" w:hAnsi="Verdana" w:cs="Arial"/>
          <w:sz w:val="20"/>
        </w:rPr>
        <w:t>le</w:t>
      </w:r>
      <w:r w:rsidRPr="00AC7602" w:rsidR="00FD2A31">
        <w:rPr>
          <w:rFonts w:ascii="Verdana" w:hAnsi="Verdana" w:cs="Arial"/>
          <w:sz w:val="20"/>
        </w:rPr>
        <w:t>c</w:t>
      </w:r>
      <w:r w:rsidRPr="00AC7602">
        <w:rPr>
          <w:rFonts w:ascii="Verdana" w:hAnsi="Verdana" w:cs="Arial"/>
          <w:sz w:val="20"/>
        </w:rPr>
        <w:t xml:space="preserve">tricity market </w:t>
      </w:r>
      <w:r w:rsidRPr="00AC7602" w:rsidR="000A4DED">
        <w:rPr>
          <w:rFonts w:ascii="Verdana" w:hAnsi="Verdana" w:cs="Arial"/>
          <w:sz w:val="20"/>
        </w:rPr>
        <w:t>directive</w:t>
      </w:r>
      <w:r w:rsidRPr="00AC7602" w:rsidR="000A4DED">
        <w:rPr>
          <w:rFonts w:ascii="Verdana" w:hAnsi="Verdana" w:cs="Arial"/>
          <w:sz w:val="20"/>
        </w:rPr>
        <w:t xml:space="preserve"> een bredere verplichting opgelegd, namelijk dat </w:t>
      </w:r>
      <w:r w:rsidRPr="00AC7602" w:rsidR="00F83DF9">
        <w:rPr>
          <w:rFonts w:ascii="Verdana" w:hAnsi="Verdana" w:cs="Arial"/>
          <w:sz w:val="20"/>
        </w:rPr>
        <w:t xml:space="preserve">afnemers op hetzelfde moment meer dan één elektriciteitsleveringscontract moeten kunnen sluiten mits de vereiste aansluit- en meetpunten werden aangelegd. </w:t>
      </w:r>
      <w:r w:rsidRPr="00AC7602" w:rsidR="00E60A66">
        <w:rPr>
          <w:rFonts w:ascii="Verdana" w:hAnsi="Verdana" w:cs="Arial"/>
          <w:sz w:val="20"/>
        </w:rPr>
        <w:t>Bij de aanpassing van het Energiedecreet is</w:t>
      </w:r>
      <w:r w:rsidRPr="00AC7602" w:rsidR="00376C2F">
        <w:rPr>
          <w:rFonts w:ascii="Verdana" w:hAnsi="Verdana" w:cs="Arial"/>
          <w:sz w:val="20"/>
        </w:rPr>
        <w:t xml:space="preserve"> voorzien in een omzetting van deze bepaling uit de richtlijn</w:t>
      </w:r>
      <w:r w:rsidRPr="00AC7602">
        <w:rPr>
          <w:rFonts w:ascii="Verdana" w:hAnsi="Verdana" w:cs="Arial"/>
          <w:sz w:val="20"/>
        </w:rPr>
        <w:t>.</w:t>
      </w:r>
      <w:r w:rsidRPr="00AC7602" w:rsidR="00FC4E5B">
        <w:rPr>
          <w:rFonts w:ascii="Verdana" w:hAnsi="Verdana" w:cs="Arial"/>
          <w:sz w:val="20"/>
        </w:rPr>
        <w:t xml:space="preserve"> Deze moet </w:t>
      </w:r>
      <w:r w:rsidRPr="00AC7602" w:rsidR="00CC30AA">
        <w:rPr>
          <w:rFonts w:ascii="Verdana" w:hAnsi="Verdana" w:cs="Arial"/>
          <w:sz w:val="20"/>
        </w:rPr>
        <w:t xml:space="preserve">(op het moment van dit antwoord) </w:t>
      </w:r>
      <w:r w:rsidRPr="00AC7602" w:rsidR="00FC4E5B">
        <w:rPr>
          <w:rFonts w:ascii="Verdana" w:hAnsi="Verdana" w:cs="Arial"/>
          <w:sz w:val="20"/>
        </w:rPr>
        <w:t>nog</w:t>
      </w:r>
      <w:r w:rsidRPr="00AC7602" w:rsidR="00CC30AA">
        <w:rPr>
          <w:rFonts w:ascii="Verdana" w:hAnsi="Verdana" w:cs="Arial"/>
          <w:sz w:val="20"/>
        </w:rPr>
        <w:t xml:space="preserve"> in het Vlaamse Parlement gestemd worden. </w:t>
      </w:r>
      <w:r w:rsidRPr="00AC7602">
        <w:rPr>
          <w:rFonts w:ascii="Verdana" w:hAnsi="Verdana" w:cs="Arial"/>
          <w:sz w:val="20"/>
        </w:rPr>
        <w:t xml:space="preserve">In het nieuwe herzieningstraject </w:t>
      </w:r>
      <w:r w:rsidRPr="00AC7602" w:rsidR="00AC2831">
        <w:rPr>
          <w:rFonts w:ascii="Verdana" w:hAnsi="Verdana" w:cs="Arial"/>
          <w:sz w:val="20"/>
        </w:rPr>
        <w:t>van het TRDE gaan we in ieder geval uit van deze bredere bepaling.</w:t>
      </w:r>
    </w:p>
    <w:p w:rsidR="00AC2831" w:rsidP="00376C2F">
      <w:pPr>
        <w:tabs>
          <w:tab w:val="left" w:pos="2190"/>
        </w:tabs>
        <w:jc w:val="both"/>
        <w:rPr>
          <w:rFonts w:ascii="Verdana" w:hAnsi="Verdana" w:cs="Calibri"/>
          <w:sz w:val="20"/>
        </w:rPr>
      </w:pPr>
    </w:p>
    <w:p w:rsidR="00AC2831" w:rsidRPr="00AE1E2B" w:rsidP="00AE1E2B">
      <w:pPr>
        <w:pStyle w:val="ListParagraph"/>
        <w:numPr>
          <w:ilvl w:val="0"/>
          <w:numId w:val="18"/>
        </w:numPr>
        <w:tabs>
          <w:tab w:val="left" w:pos="2190"/>
        </w:tabs>
        <w:jc w:val="both"/>
        <w:rPr>
          <w:rFonts w:ascii="Verdana" w:hAnsi="Verdana" w:cs="Calibri"/>
          <w:sz w:val="20"/>
        </w:rPr>
      </w:pPr>
      <w:r>
        <w:rPr>
          <w:rFonts w:ascii="Verdana" w:hAnsi="Verdana" w:cs="Calibri"/>
          <w:sz w:val="20"/>
        </w:rPr>
        <w:t>en</w:t>
      </w:r>
      <w:r w:rsidRPr="00AE1E2B" w:rsidR="002F5848">
        <w:rPr>
          <w:rFonts w:ascii="Verdana" w:hAnsi="Verdana" w:cs="Calibri"/>
          <w:sz w:val="20"/>
        </w:rPr>
        <w:t xml:space="preserve"> b)</w:t>
      </w:r>
    </w:p>
    <w:p w:rsidR="00AE1E2B" w:rsidRPr="00AE1E2B" w:rsidP="00AE1E2B">
      <w:pPr>
        <w:pStyle w:val="ListParagraph"/>
        <w:tabs>
          <w:tab w:val="left" w:pos="2190"/>
        </w:tabs>
        <w:ind w:left="786"/>
        <w:jc w:val="both"/>
        <w:rPr>
          <w:rFonts w:ascii="Verdana" w:hAnsi="Verdana" w:cs="Calibri"/>
          <w:sz w:val="20"/>
          <w:u w:val="single"/>
        </w:rPr>
      </w:pPr>
    </w:p>
    <w:p w:rsidR="00E658EB" w:rsidP="00AE1E2B">
      <w:pPr>
        <w:tabs>
          <w:tab w:val="left" w:pos="2190"/>
        </w:tabs>
        <w:ind w:left="426"/>
        <w:jc w:val="both"/>
        <w:rPr>
          <w:rFonts w:ascii="Verdana" w:hAnsi="Verdana" w:cs="Calibri"/>
          <w:sz w:val="20"/>
        </w:rPr>
      </w:pPr>
      <w:r>
        <w:rPr>
          <w:rFonts w:ascii="Verdana" w:hAnsi="Verdana" w:cs="Calibri"/>
          <w:sz w:val="20"/>
        </w:rPr>
        <w:t xml:space="preserve">Voorlopig is de bepaling in het TRDE beperkt tot elektrische voertuigen. Gezien de bredere bepaling in decreet, hebben we in onze voorstellen </w:t>
      </w:r>
      <w:r w:rsidR="002F5848">
        <w:rPr>
          <w:rFonts w:ascii="Verdana" w:hAnsi="Verdana" w:cs="Calibri"/>
          <w:sz w:val="20"/>
        </w:rPr>
        <w:t xml:space="preserve">in het </w:t>
      </w:r>
      <w:r w:rsidR="00F176A3">
        <w:rPr>
          <w:rFonts w:ascii="Verdana" w:hAnsi="Verdana" w:cs="Calibri"/>
          <w:sz w:val="20"/>
        </w:rPr>
        <w:t>nieuwe</w:t>
      </w:r>
      <w:r w:rsidR="002F5848">
        <w:rPr>
          <w:rFonts w:ascii="Verdana" w:hAnsi="Verdana" w:cs="Calibri"/>
          <w:sz w:val="20"/>
        </w:rPr>
        <w:t xml:space="preserve"> herzieningstraject </w:t>
      </w:r>
      <w:r w:rsidR="00F176A3">
        <w:rPr>
          <w:rFonts w:ascii="Verdana" w:hAnsi="Verdana" w:cs="Calibri"/>
          <w:sz w:val="20"/>
        </w:rPr>
        <w:t xml:space="preserve">van het TRDE </w:t>
      </w:r>
      <w:r w:rsidR="002F5848">
        <w:rPr>
          <w:rFonts w:ascii="Verdana" w:hAnsi="Verdana" w:cs="Calibri"/>
          <w:sz w:val="20"/>
        </w:rPr>
        <w:t>geen onderscheid meer gemaakt tussen mogelijke apart gemeten</w:t>
      </w:r>
      <w:r w:rsidR="005B78C5">
        <w:rPr>
          <w:rFonts w:ascii="Verdana" w:hAnsi="Verdana" w:cs="Calibri"/>
          <w:sz w:val="20"/>
        </w:rPr>
        <w:t xml:space="preserve"> toepassingen. Alle voorstellen en meer informatie over het herzieningstraject zijn te raadplegen </w:t>
      </w:r>
      <w:r w:rsidR="00A400C2">
        <w:rPr>
          <w:rFonts w:ascii="Verdana" w:hAnsi="Verdana" w:cs="Calibri"/>
          <w:sz w:val="20"/>
        </w:rPr>
        <w:t xml:space="preserve">via </w:t>
      </w:r>
      <w:r>
        <w:fldChar w:fldCharType="begin"/>
      </w:r>
      <w:r>
        <w:instrText xml:space="preserve"> HYPERLINK "https://www.vreg.be/nl/overleg-herziening-technische-reglementen-distributie" </w:instrText>
      </w:r>
      <w:r>
        <w:fldChar w:fldCharType="separate"/>
      </w:r>
      <w:r w:rsidRPr="000D40FA" w:rsidR="00A400C2">
        <w:rPr>
          <w:rStyle w:val="Hyperlink"/>
          <w:rFonts w:ascii="Verdana" w:hAnsi="Verdana" w:cs="Calibri"/>
          <w:sz w:val="20"/>
        </w:rPr>
        <w:t>https://www.vreg.be/nl/overleg-herziening-technische-reglementen-distributie</w:t>
      </w:r>
      <w:r>
        <w:fldChar w:fldCharType="end"/>
      </w:r>
    </w:p>
    <w:p w:rsidR="00A400C2" w:rsidP="00376C2F">
      <w:pPr>
        <w:tabs>
          <w:tab w:val="left" w:pos="2190"/>
        </w:tabs>
        <w:jc w:val="both"/>
        <w:rPr>
          <w:rFonts w:ascii="Verdana" w:hAnsi="Verdana" w:cs="Calibri"/>
          <w:sz w:val="20"/>
        </w:rPr>
      </w:pPr>
    </w:p>
    <w:p w:rsidR="00A400C2" w:rsidRPr="00AE1E2B" w:rsidP="00AE1E2B">
      <w:pPr>
        <w:tabs>
          <w:tab w:val="left" w:pos="2190"/>
        </w:tabs>
        <w:ind w:firstLine="426"/>
        <w:jc w:val="both"/>
        <w:rPr>
          <w:rFonts w:ascii="Verdana" w:hAnsi="Verdana" w:cs="Calibri"/>
          <w:sz w:val="20"/>
        </w:rPr>
      </w:pPr>
      <w:r w:rsidRPr="00AE1E2B">
        <w:rPr>
          <w:rFonts w:ascii="Verdana" w:hAnsi="Verdana" w:cs="Calibri"/>
          <w:sz w:val="20"/>
        </w:rPr>
        <w:t>c)</w:t>
      </w:r>
    </w:p>
    <w:p w:rsidR="00AE1E2B" w:rsidP="00376C2F">
      <w:pPr>
        <w:tabs>
          <w:tab w:val="left" w:pos="2190"/>
        </w:tabs>
        <w:jc w:val="both"/>
        <w:rPr>
          <w:rFonts w:ascii="Verdana" w:hAnsi="Verdana" w:cs="Calibri"/>
          <w:sz w:val="20"/>
        </w:rPr>
      </w:pPr>
    </w:p>
    <w:p w:rsidR="004B75C2" w:rsidP="00AE1E2B">
      <w:pPr>
        <w:tabs>
          <w:tab w:val="left" w:pos="2190"/>
        </w:tabs>
        <w:ind w:left="426"/>
        <w:jc w:val="both"/>
        <w:rPr>
          <w:rFonts w:ascii="Verdana" w:hAnsi="Verdana" w:cs="Calibri"/>
          <w:sz w:val="20"/>
        </w:rPr>
      </w:pPr>
      <w:r>
        <w:rPr>
          <w:rFonts w:ascii="Verdana" w:hAnsi="Verdana" w:cs="Calibri"/>
          <w:sz w:val="20"/>
        </w:rPr>
        <w:t xml:space="preserve">De VREG is als regulator technologieneutraal. </w:t>
      </w:r>
      <w:r w:rsidR="00DE4B9D">
        <w:rPr>
          <w:rFonts w:ascii="Verdana" w:hAnsi="Verdana" w:cs="Calibri"/>
          <w:sz w:val="20"/>
        </w:rPr>
        <w:t xml:space="preserve">Rechtstreekse incentives voor het promoten van elektromobiliteit of warmtepompen zijn o.i. een beleidskeuze. Anderzijds hebben we al meermaals gewezen op </w:t>
      </w:r>
      <w:r w:rsidR="002D0017">
        <w:rPr>
          <w:rFonts w:ascii="Verdana" w:hAnsi="Verdana" w:cs="Calibri"/>
          <w:sz w:val="20"/>
        </w:rPr>
        <w:t xml:space="preserve">de zware verplichtingen die rusten op de elektriciteitsfactuur, in vergelijking met alternatieven voor zowel mobiliteit als verwarming (brandstoffen, aardgas, </w:t>
      </w:r>
      <w:r w:rsidR="00EE7A02">
        <w:rPr>
          <w:rFonts w:ascii="Verdana" w:hAnsi="Verdana" w:cs="Calibri"/>
          <w:sz w:val="20"/>
        </w:rPr>
        <w:t>stookolie, pellets, …).</w:t>
      </w:r>
      <w:r w:rsidR="00DA0212">
        <w:rPr>
          <w:rFonts w:ascii="Verdana" w:hAnsi="Verdana" w:cs="Calibri"/>
          <w:sz w:val="20"/>
        </w:rPr>
        <w:t xml:space="preserve"> Eerder dan het verschuiven van de lasten van één </w:t>
      </w:r>
      <w:r w:rsidR="008868BB">
        <w:rPr>
          <w:rFonts w:ascii="Verdana" w:hAnsi="Verdana" w:cs="Calibri"/>
          <w:sz w:val="20"/>
        </w:rPr>
        <w:t>elektriciteits</w:t>
      </w:r>
      <w:r w:rsidR="00DA0212">
        <w:rPr>
          <w:rFonts w:ascii="Verdana" w:hAnsi="Verdana" w:cs="Calibri"/>
          <w:sz w:val="20"/>
        </w:rPr>
        <w:t xml:space="preserve">gebruiker (met elektrisch voertuig of warmtepomp) naar een </w:t>
      </w:r>
      <w:r w:rsidR="008868BB">
        <w:rPr>
          <w:rFonts w:ascii="Verdana" w:hAnsi="Verdana" w:cs="Calibri"/>
          <w:sz w:val="20"/>
        </w:rPr>
        <w:t xml:space="preserve">andere elektriciteitsgebruiker (met andere elektrische toepassingen), blijven we ervoor pleiten om het </w:t>
      </w:r>
      <w:r w:rsidR="007B1905">
        <w:rPr>
          <w:rFonts w:ascii="Verdana" w:hAnsi="Verdana" w:cs="Calibri"/>
          <w:sz w:val="20"/>
        </w:rPr>
        <w:t xml:space="preserve">speelveld tussen de verschillende brandstoffen onderling gelijk te trekken door belangrijke </w:t>
      </w:r>
      <w:r w:rsidR="007B1905">
        <w:rPr>
          <w:rFonts w:ascii="Verdana" w:hAnsi="Verdana" w:cs="Calibri"/>
          <w:sz w:val="20"/>
        </w:rPr>
        <w:t>openbaredienstverplichtingen</w:t>
      </w:r>
      <w:r w:rsidR="007B1905">
        <w:rPr>
          <w:rFonts w:ascii="Verdana" w:hAnsi="Verdana" w:cs="Calibri"/>
          <w:sz w:val="20"/>
        </w:rPr>
        <w:t xml:space="preserve"> niet langer te financieren via de elektriciteitsfactuur.</w:t>
      </w:r>
    </w:p>
    <w:sectPr>
      <w:type w:val="nextPag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EDFA53D8"/>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nsid w:val="604A5241"/>
    <w:multiLevelType w:val="multilevel"/>
    <w:tmpl w:val="00000002"/>
    <w:lvl w:ilvl="0">
      <w:start w:val="1"/>
      <w:numFmt w:val="lowerLetter"/>
      <w:lvlText w:val="%1."/>
      <w:lvlJc w:val="left"/>
      <w:pPr>
        <w:tabs>
          <w:tab w:val="num" w:pos="720"/>
        </w:tabs>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nsid w:val="604A5242"/>
    <w:multiLevelType w:val="hybridMultilevel"/>
    <w:tmpl w:val="AC687FBA"/>
    <w:lvl w:ilvl="0">
      <w:start w:val="1"/>
      <w:numFmt w:val="decimal"/>
      <w:lvlText w:val="%1."/>
      <w:lvlJc w:val="left"/>
      <w:pPr>
        <w:ind w:left="360" w:hanging="360"/>
      </w:pPr>
      <w:rPr>
        <w:rFonts w:ascii="Verdana" w:eastAsia="Verdana" w:hAnsi="Verdana" w:cs="Verdana" w:hint="default"/>
        <w:sz w:val="20"/>
      </w:rPr>
    </w:lvl>
    <w:lvl w:ilvl="1" w:tentative="1">
      <w:start w:val="1"/>
      <w:numFmt w:val="lowerLetter"/>
      <w:lvlText w:val="%2."/>
      <w:lvlJc w:val="left"/>
      <w:pPr>
        <w:ind w:left="1080" w:hanging="360"/>
      </w:pPr>
      <w:rPr>
        <w:rFonts w:ascii="Verdana" w:eastAsia="Verdana" w:hAnsi="Verdana" w:cs="Verdana"/>
        <w:sz w:val="20"/>
      </w:rPr>
    </w:lvl>
    <w:lvl w:ilvl="2" w:tentative="1">
      <w:start w:val="1"/>
      <w:numFmt w:val="lowerRoman"/>
      <w:lvlText w:val="%3."/>
      <w:lvlJc w:val="right"/>
      <w:pPr>
        <w:ind w:left="1800" w:hanging="180"/>
      </w:pPr>
      <w:rPr>
        <w:rFonts w:ascii="Verdana" w:eastAsia="Verdana" w:hAnsi="Verdana" w:cs="Verdana"/>
        <w:sz w:val="20"/>
      </w:rPr>
    </w:lvl>
    <w:lvl w:ilvl="3" w:tentative="1">
      <w:start w:val="1"/>
      <w:numFmt w:val="decimal"/>
      <w:lvlText w:val="%4."/>
      <w:lvlJc w:val="left"/>
      <w:pPr>
        <w:ind w:left="2520" w:hanging="360"/>
      </w:pPr>
      <w:rPr>
        <w:rFonts w:ascii="Verdana" w:eastAsia="Verdana" w:hAnsi="Verdana" w:cs="Verdana"/>
        <w:sz w:val="20"/>
      </w:rPr>
    </w:lvl>
    <w:lvl w:ilvl="4" w:tentative="1">
      <w:start w:val="1"/>
      <w:numFmt w:val="lowerLetter"/>
      <w:lvlText w:val="%5."/>
      <w:lvlJc w:val="left"/>
      <w:pPr>
        <w:ind w:left="3240" w:hanging="360"/>
      </w:pPr>
      <w:rPr>
        <w:rFonts w:ascii="Verdana" w:eastAsia="Verdana" w:hAnsi="Verdana" w:cs="Verdana"/>
        <w:sz w:val="20"/>
      </w:rPr>
    </w:lvl>
    <w:lvl w:ilvl="5" w:tentative="1">
      <w:start w:val="1"/>
      <w:numFmt w:val="lowerRoman"/>
      <w:lvlText w:val="%6."/>
      <w:lvlJc w:val="right"/>
      <w:pPr>
        <w:ind w:left="3960" w:hanging="180"/>
      </w:pPr>
      <w:rPr>
        <w:rFonts w:ascii="Verdana" w:eastAsia="Verdana" w:hAnsi="Verdana" w:cs="Verdana"/>
        <w:sz w:val="20"/>
      </w:rPr>
    </w:lvl>
    <w:lvl w:ilvl="6" w:tentative="1">
      <w:start w:val="1"/>
      <w:numFmt w:val="decimal"/>
      <w:lvlText w:val="%7."/>
      <w:lvlJc w:val="left"/>
      <w:pPr>
        <w:ind w:left="4680" w:hanging="360"/>
      </w:pPr>
      <w:rPr>
        <w:rFonts w:ascii="Verdana" w:eastAsia="Verdana" w:hAnsi="Verdana" w:cs="Verdana"/>
        <w:sz w:val="20"/>
      </w:rPr>
    </w:lvl>
    <w:lvl w:ilvl="7" w:tentative="1">
      <w:start w:val="1"/>
      <w:numFmt w:val="lowerLetter"/>
      <w:lvlText w:val="%8."/>
      <w:lvlJc w:val="left"/>
      <w:pPr>
        <w:ind w:left="5400" w:hanging="360"/>
      </w:pPr>
      <w:rPr>
        <w:rFonts w:ascii="Verdana" w:eastAsia="Verdana" w:hAnsi="Verdana" w:cs="Verdana"/>
        <w:sz w:val="20"/>
      </w:rPr>
    </w:lvl>
    <w:lvl w:ilvl="8" w:tentative="1">
      <w:start w:val="1"/>
      <w:numFmt w:val="lowerRoman"/>
      <w:lvlText w:val="%9."/>
      <w:lvlJc w:val="right"/>
      <w:pPr>
        <w:ind w:left="6120" w:hanging="180"/>
      </w:pPr>
      <w:rPr>
        <w:rFonts w:ascii="Verdana" w:eastAsia="Verdana" w:hAnsi="Verdana" w:cs="Verdana"/>
        <w:sz w:val="20"/>
      </w:rPr>
    </w:lvl>
  </w:abstractNum>
  <w:abstractNum w:abstractNumId="13">
    <w:nsid w:val="604A5243"/>
    <w:multiLevelType w:val="hybridMultilevel"/>
    <w:tmpl w:val="11D695AE"/>
    <w:lvl w:ilvl="0">
      <w:start w:val="1"/>
      <w:numFmt w:val="lowerLetter"/>
      <w:lvlText w:val="%1)"/>
      <w:lvlJc w:val="left"/>
      <w:pPr>
        <w:ind w:left="786" w:hanging="360"/>
      </w:pPr>
      <w:rPr>
        <w:rFonts w:ascii="Verdana" w:eastAsia="Verdana" w:hAnsi="Verdana" w:cs="Verdana" w:hint="default"/>
        <w:sz w:val="20"/>
      </w:rPr>
    </w:lvl>
    <w:lvl w:ilvl="1" w:tentative="1">
      <w:start w:val="1"/>
      <w:numFmt w:val="lowerLetter"/>
      <w:lvlText w:val="%2."/>
      <w:lvlJc w:val="left"/>
      <w:pPr>
        <w:ind w:left="1506" w:hanging="360"/>
      </w:pPr>
      <w:rPr>
        <w:rFonts w:ascii="Verdana" w:eastAsia="Verdana" w:hAnsi="Verdana" w:cs="Verdana"/>
        <w:sz w:val="20"/>
      </w:rPr>
    </w:lvl>
    <w:lvl w:ilvl="2" w:tentative="1">
      <w:start w:val="1"/>
      <w:numFmt w:val="lowerRoman"/>
      <w:lvlText w:val="%3."/>
      <w:lvlJc w:val="right"/>
      <w:pPr>
        <w:ind w:left="2226" w:hanging="180"/>
      </w:pPr>
      <w:rPr>
        <w:rFonts w:ascii="Verdana" w:eastAsia="Verdana" w:hAnsi="Verdana" w:cs="Verdana"/>
        <w:sz w:val="20"/>
      </w:rPr>
    </w:lvl>
    <w:lvl w:ilvl="3" w:tentative="1">
      <w:start w:val="1"/>
      <w:numFmt w:val="decimal"/>
      <w:lvlText w:val="%4."/>
      <w:lvlJc w:val="left"/>
      <w:pPr>
        <w:ind w:left="2946" w:hanging="360"/>
      </w:pPr>
      <w:rPr>
        <w:rFonts w:ascii="Verdana" w:eastAsia="Verdana" w:hAnsi="Verdana" w:cs="Verdana"/>
        <w:sz w:val="20"/>
      </w:rPr>
    </w:lvl>
    <w:lvl w:ilvl="4" w:tentative="1">
      <w:start w:val="1"/>
      <w:numFmt w:val="lowerLetter"/>
      <w:lvlText w:val="%5."/>
      <w:lvlJc w:val="left"/>
      <w:pPr>
        <w:ind w:left="3666" w:hanging="360"/>
      </w:pPr>
      <w:rPr>
        <w:rFonts w:ascii="Verdana" w:eastAsia="Verdana" w:hAnsi="Verdana" w:cs="Verdana"/>
        <w:sz w:val="20"/>
      </w:rPr>
    </w:lvl>
    <w:lvl w:ilvl="5" w:tentative="1">
      <w:start w:val="1"/>
      <w:numFmt w:val="lowerRoman"/>
      <w:lvlText w:val="%6."/>
      <w:lvlJc w:val="right"/>
      <w:pPr>
        <w:ind w:left="4386" w:hanging="180"/>
      </w:pPr>
      <w:rPr>
        <w:rFonts w:ascii="Verdana" w:eastAsia="Verdana" w:hAnsi="Verdana" w:cs="Verdana"/>
        <w:sz w:val="20"/>
      </w:rPr>
    </w:lvl>
    <w:lvl w:ilvl="6" w:tentative="1">
      <w:start w:val="1"/>
      <w:numFmt w:val="decimal"/>
      <w:lvlText w:val="%7."/>
      <w:lvlJc w:val="left"/>
      <w:pPr>
        <w:ind w:left="5106" w:hanging="360"/>
      </w:pPr>
      <w:rPr>
        <w:rFonts w:ascii="Verdana" w:eastAsia="Verdana" w:hAnsi="Verdana" w:cs="Verdana"/>
        <w:sz w:val="20"/>
      </w:rPr>
    </w:lvl>
    <w:lvl w:ilvl="7" w:tentative="1">
      <w:start w:val="1"/>
      <w:numFmt w:val="lowerLetter"/>
      <w:lvlText w:val="%8."/>
      <w:lvlJc w:val="left"/>
      <w:pPr>
        <w:ind w:left="5826" w:hanging="360"/>
      </w:pPr>
      <w:rPr>
        <w:rFonts w:ascii="Verdana" w:eastAsia="Verdana" w:hAnsi="Verdana" w:cs="Verdana"/>
        <w:sz w:val="20"/>
      </w:rPr>
    </w:lvl>
    <w:lvl w:ilvl="8" w:tentative="1">
      <w:start w:val="1"/>
      <w:numFmt w:val="lowerRoman"/>
      <w:lvlText w:val="%9."/>
      <w:lvlJc w:val="right"/>
      <w:pPr>
        <w:ind w:left="6546"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Hyperlink">
    <w:name w:val="Hyperlink"/>
    <w:basedOn w:val="DefaultParagraphFont"/>
    <w:uiPriority w:val="99"/>
    <w:unhideWhenUsed/>
    <w:rsid w:val="00913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FB08-03F1-4D01-9B86-31291462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2020-11-30T10:27:00Z</dcterms:created>
  <dcterms:modified xsi:type="dcterms:W3CDTF">2020-11-30T10:27:00Z</dcterms:modified>
</cp:coreProperties>
</file>