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22F8" w14:textId="7CF10B6E" w:rsidR="00453938" w:rsidRPr="00683874" w:rsidRDefault="00490BD6" w:rsidP="0045393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683874">
        <w:rPr>
          <w:rFonts w:ascii="Verdana" w:hAnsi="Verdana"/>
          <w:b/>
          <w:sz w:val="20"/>
          <w:szCs w:val="20"/>
          <w:u w:val="single"/>
        </w:rPr>
        <w:t xml:space="preserve">Bijlage: Financiële stromen van de gewesten in </w:t>
      </w:r>
      <w:r w:rsidR="00F55BE0" w:rsidRPr="00683874">
        <w:rPr>
          <w:rFonts w:ascii="Verdana" w:hAnsi="Verdana"/>
          <w:b/>
          <w:sz w:val="20"/>
          <w:szCs w:val="20"/>
          <w:u w:val="single"/>
        </w:rPr>
        <w:t>% van</w:t>
      </w:r>
      <w:r w:rsidRPr="00683874">
        <w:rPr>
          <w:rFonts w:ascii="Verdana" w:hAnsi="Verdana"/>
          <w:b/>
          <w:sz w:val="20"/>
          <w:szCs w:val="20"/>
          <w:u w:val="single"/>
        </w:rPr>
        <w:t xml:space="preserve"> het </w:t>
      </w:r>
      <w:r w:rsidR="00E5462A" w:rsidRPr="00683874">
        <w:rPr>
          <w:rFonts w:ascii="Verdana" w:hAnsi="Verdana"/>
          <w:b/>
          <w:sz w:val="20"/>
          <w:szCs w:val="20"/>
          <w:u w:val="single"/>
        </w:rPr>
        <w:t>bbp</w:t>
      </w:r>
      <w:r w:rsidRPr="00683874">
        <w:rPr>
          <w:rFonts w:ascii="Verdana" w:hAnsi="Verdana"/>
          <w:b/>
          <w:sz w:val="20"/>
          <w:szCs w:val="20"/>
          <w:u w:val="single"/>
        </w:rPr>
        <w:t xml:space="preserve">, </w:t>
      </w:r>
      <w:r w:rsidR="00F55BE0" w:rsidRPr="00683874">
        <w:rPr>
          <w:rFonts w:ascii="Verdana" w:hAnsi="Verdana"/>
          <w:b/>
          <w:sz w:val="20"/>
          <w:szCs w:val="20"/>
          <w:u w:val="single"/>
        </w:rPr>
        <w:t>geselecteerde jaren</w:t>
      </w:r>
    </w:p>
    <w:p w14:paraId="26BB39F8" w14:textId="37B3FBFE" w:rsidR="00490BD6" w:rsidRDefault="00490BD6" w:rsidP="00453938">
      <w:pPr>
        <w:jc w:val="both"/>
        <w:rPr>
          <w:rFonts w:ascii="Verdana" w:hAnsi="Verdana"/>
          <w:bCs/>
          <w:smallCaps/>
          <w:sz w:val="20"/>
          <w:szCs w:val="20"/>
        </w:rPr>
      </w:pPr>
    </w:p>
    <w:p w14:paraId="0ED711B3" w14:textId="77777777" w:rsidR="00DD3D59" w:rsidRPr="00DD3D59" w:rsidRDefault="00DD3D59" w:rsidP="00453938">
      <w:pPr>
        <w:jc w:val="both"/>
        <w:rPr>
          <w:rFonts w:ascii="Verdana" w:hAnsi="Verdana"/>
          <w:bCs/>
          <w:smallCaps/>
          <w:sz w:val="20"/>
          <w:szCs w:val="20"/>
        </w:rPr>
      </w:pPr>
    </w:p>
    <w:p w14:paraId="1EACEA19" w14:textId="07FEF2E5" w:rsidR="00A03ED3" w:rsidRDefault="00A03ED3" w:rsidP="00683874">
      <w:pPr>
        <w:pStyle w:val="Lijstalinea"/>
        <w:tabs>
          <w:tab w:val="left" w:pos="284"/>
        </w:tabs>
        <w:ind w:left="0"/>
        <w:contextualSpacing w:val="0"/>
        <w:jc w:val="both"/>
        <w:rPr>
          <w:rFonts w:eastAsia="Calibri" w:cs="Tahoma"/>
          <w:sz w:val="20"/>
          <w:szCs w:val="20"/>
          <w:lang w:eastAsia="en-US"/>
        </w:rPr>
      </w:pPr>
      <w:r w:rsidRPr="00A03ED3">
        <w:rPr>
          <w:rFonts w:eastAsia="Calibri" w:cs="Tahoma"/>
          <w:sz w:val="20"/>
          <w:szCs w:val="20"/>
          <w:lang w:eastAsia="en-US"/>
        </w:rPr>
        <w:t>De tweede update leert dat de uitgaande financiële stroom vanuit het Vlaamse Gewest naar de andere gewesten €6,864 mld. bedroeg in 2019 (in lopende prijzen volgens de bevolkingsijking). Deze zou toenemen tot €6,920 mld. in 2020 en nadien tot €7,076 mld. in 2021 en €7,245 mld. in 2022.</w:t>
      </w:r>
    </w:p>
    <w:p w14:paraId="5AB8F02A" w14:textId="77777777" w:rsidR="00683874" w:rsidRPr="00A03ED3" w:rsidRDefault="00683874" w:rsidP="00683874">
      <w:pPr>
        <w:pStyle w:val="Lijstalinea"/>
        <w:tabs>
          <w:tab w:val="left" w:pos="284"/>
        </w:tabs>
        <w:ind w:left="0"/>
        <w:contextualSpacing w:val="0"/>
        <w:jc w:val="both"/>
        <w:rPr>
          <w:rFonts w:eastAsia="Calibri" w:cs="Tahoma"/>
          <w:sz w:val="20"/>
          <w:szCs w:val="20"/>
          <w:lang w:eastAsia="en-US"/>
        </w:rPr>
      </w:pPr>
    </w:p>
    <w:p w14:paraId="6A9D8DBB" w14:textId="6B9C5D9B" w:rsidR="00A03ED3" w:rsidRDefault="00A03ED3" w:rsidP="00683874">
      <w:pPr>
        <w:pStyle w:val="Lijstalinea"/>
        <w:tabs>
          <w:tab w:val="left" w:pos="284"/>
        </w:tabs>
        <w:ind w:left="0"/>
        <w:contextualSpacing w:val="0"/>
        <w:jc w:val="both"/>
        <w:rPr>
          <w:rFonts w:eastAsia="Calibri" w:cs="Tahoma"/>
          <w:sz w:val="20"/>
          <w:szCs w:val="20"/>
          <w:lang w:eastAsia="en-US"/>
        </w:rPr>
      </w:pPr>
      <w:r w:rsidRPr="00A03ED3">
        <w:rPr>
          <w:rFonts w:eastAsia="Calibri" w:cs="Tahoma"/>
          <w:sz w:val="20"/>
          <w:szCs w:val="20"/>
          <w:lang w:eastAsia="en-US"/>
        </w:rPr>
        <w:t xml:space="preserve">De stromen uit de federale overheid zijn de belangrijkste en vertegenwoordigden 60,1% van de totale financiële stromen in 2019. </w:t>
      </w:r>
      <w:r w:rsidR="0065004C">
        <w:rPr>
          <w:rFonts w:eastAsia="Calibri" w:cs="Tahoma"/>
          <w:sz w:val="20"/>
          <w:szCs w:val="20"/>
          <w:lang w:eastAsia="en-US"/>
        </w:rPr>
        <w:t>Zij worden g</w:t>
      </w:r>
      <w:r w:rsidRPr="00A03ED3">
        <w:rPr>
          <w:rFonts w:eastAsia="Calibri" w:cs="Tahoma"/>
          <w:sz w:val="20"/>
          <w:szCs w:val="20"/>
          <w:lang w:eastAsia="en-US"/>
        </w:rPr>
        <w:t>evolgd door de stromen uit de sociale zekerheid (25,6% in 2019) en de stromen uit de dotatiefinanciering (14,3% in 2019).</w:t>
      </w:r>
    </w:p>
    <w:p w14:paraId="1F5175F3" w14:textId="77777777" w:rsidR="00683874" w:rsidRPr="00A03ED3" w:rsidRDefault="00683874" w:rsidP="00683874">
      <w:pPr>
        <w:pStyle w:val="Lijstalinea"/>
        <w:tabs>
          <w:tab w:val="left" w:pos="284"/>
        </w:tabs>
        <w:ind w:left="0"/>
        <w:contextualSpacing w:val="0"/>
        <w:jc w:val="both"/>
        <w:rPr>
          <w:rFonts w:eastAsia="Calibri" w:cs="Tahoma"/>
          <w:sz w:val="20"/>
          <w:szCs w:val="20"/>
          <w:lang w:eastAsia="en-US"/>
        </w:rPr>
      </w:pPr>
    </w:p>
    <w:p w14:paraId="3953382B" w14:textId="2825B7FE" w:rsidR="00A03ED3" w:rsidRPr="00A03ED3" w:rsidRDefault="00A03ED3" w:rsidP="0065004C">
      <w:pPr>
        <w:pStyle w:val="Lijstalinea"/>
        <w:tabs>
          <w:tab w:val="left" w:pos="284"/>
        </w:tabs>
        <w:spacing w:after="240"/>
        <w:ind w:left="0"/>
        <w:contextualSpacing w:val="0"/>
        <w:jc w:val="both"/>
        <w:rPr>
          <w:rFonts w:eastAsia="Calibri" w:cs="Tahoma"/>
          <w:sz w:val="20"/>
          <w:szCs w:val="20"/>
          <w:lang w:eastAsia="en-US"/>
        </w:rPr>
      </w:pPr>
      <w:r w:rsidRPr="00A03ED3">
        <w:rPr>
          <w:rFonts w:eastAsia="Calibri" w:cs="Tahoma"/>
          <w:sz w:val="20"/>
          <w:szCs w:val="20"/>
          <w:lang w:eastAsia="en-US"/>
        </w:rPr>
        <w:t>Een belangrijke vaststelling uit het basisrapport blijft overeind: de financiële stromen volgens de bevolkingsijking in verhouding tot het Belgische bbp (uitgaand van het Vlaamse en Brusselse Gewest; inkomend voor het Waalse Gewest) nemen af in de periode 2019-2022.</w:t>
      </w:r>
    </w:p>
    <w:p w14:paraId="489E9F6A" w14:textId="3C2FA398" w:rsidR="00A03ED3" w:rsidRPr="00340021" w:rsidRDefault="00A03ED3" w:rsidP="00A03ED3">
      <w:pPr>
        <w:pStyle w:val="Bijschrift"/>
        <w:rPr>
          <w:vertAlign w:val="superscript"/>
        </w:rPr>
      </w:pPr>
      <w:r w:rsidRPr="00CE2940">
        <w:t>Financiële stromen van de gewesten in procent van het bbp</w:t>
      </w:r>
      <w:r w:rsidR="00340021">
        <w:rPr>
          <w:vertAlign w:val="superscript"/>
        </w:rPr>
        <w:t>*</w:t>
      </w:r>
    </w:p>
    <w:tbl>
      <w:tblPr>
        <w:tblW w:w="95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907"/>
        <w:gridCol w:w="907"/>
        <w:gridCol w:w="907"/>
        <w:gridCol w:w="907"/>
        <w:gridCol w:w="907"/>
        <w:gridCol w:w="227"/>
        <w:gridCol w:w="907"/>
        <w:gridCol w:w="907"/>
        <w:gridCol w:w="907"/>
        <w:gridCol w:w="908"/>
      </w:tblGrid>
      <w:tr w:rsidR="00281FAA" w:rsidRPr="00B32FE3" w14:paraId="5AD95ABE" w14:textId="77777777" w:rsidTr="001803D5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567E87" w14:textId="77777777" w:rsidR="00281FAA" w:rsidRPr="00376710" w:rsidRDefault="00281FAA" w:rsidP="001D20C9">
            <w:pPr>
              <w:pStyle w:val="Table"/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AC6C" w14:textId="77777777" w:rsidR="00281FAA" w:rsidRPr="0065004C" w:rsidRDefault="00281FAA" w:rsidP="001803D5">
            <w:pPr>
              <w:pStyle w:val="Table"/>
              <w:jc w:val="right"/>
              <w:rPr>
                <w:b/>
                <w:bCs/>
              </w:rPr>
            </w:pPr>
            <w:r w:rsidRPr="0065004C">
              <w:rPr>
                <w:b/>
                <w:bCs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1F5" w14:textId="77777777" w:rsidR="00281FAA" w:rsidRPr="0065004C" w:rsidRDefault="00281FAA" w:rsidP="001803D5">
            <w:pPr>
              <w:pStyle w:val="Table"/>
              <w:jc w:val="right"/>
              <w:rPr>
                <w:b/>
                <w:bCs/>
              </w:rPr>
            </w:pPr>
            <w:r w:rsidRPr="0065004C">
              <w:rPr>
                <w:b/>
                <w:bCs/>
              </w:rPr>
              <w:t>2005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CE43" w14:textId="77777777" w:rsidR="00281FAA" w:rsidRPr="0065004C" w:rsidRDefault="00281FAA" w:rsidP="001803D5">
            <w:pPr>
              <w:pStyle w:val="Table"/>
              <w:jc w:val="right"/>
              <w:rPr>
                <w:b/>
                <w:bCs/>
              </w:rPr>
            </w:pPr>
            <w:r w:rsidRPr="0065004C">
              <w:rPr>
                <w:b/>
                <w:bCs/>
              </w:rPr>
              <w:t>2010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40A" w14:textId="77777777" w:rsidR="00281FAA" w:rsidRPr="0065004C" w:rsidRDefault="00281FAA" w:rsidP="001803D5">
            <w:pPr>
              <w:pStyle w:val="Table"/>
              <w:jc w:val="right"/>
              <w:rPr>
                <w:b/>
                <w:bCs/>
              </w:rPr>
            </w:pPr>
            <w:r w:rsidRPr="0065004C">
              <w:rPr>
                <w:b/>
                <w:bCs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2A37" w14:textId="77777777" w:rsidR="00281FAA" w:rsidRPr="0065004C" w:rsidRDefault="00281FAA" w:rsidP="001803D5">
            <w:pPr>
              <w:pStyle w:val="Table"/>
              <w:jc w:val="right"/>
              <w:rPr>
                <w:b/>
                <w:bCs/>
              </w:rPr>
            </w:pPr>
            <w:r w:rsidRPr="0065004C">
              <w:rPr>
                <w:b/>
                <w:bCs/>
              </w:rPr>
              <w:t>2016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14:paraId="5C0F85E3" w14:textId="77777777" w:rsidR="00281FAA" w:rsidRPr="0065004C" w:rsidRDefault="00281FAA" w:rsidP="001803D5">
            <w:pPr>
              <w:pStyle w:val="Table"/>
              <w:jc w:val="right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B070" w14:textId="549B1207" w:rsidR="00281FAA" w:rsidRPr="0065004C" w:rsidRDefault="00281FAA" w:rsidP="001803D5">
            <w:pPr>
              <w:pStyle w:val="Table"/>
              <w:jc w:val="right"/>
              <w:rPr>
                <w:b/>
                <w:bCs/>
              </w:rPr>
            </w:pPr>
            <w:r w:rsidRPr="0065004C">
              <w:rPr>
                <w:b/>
                <w:bCs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8A95" w14:textId="77777777" w:rsidR="00281FAA" w:rsidRPr="0065004C" w:rsidRDefault="00281FAA" w:rsidP="001803D5">
            <w:pPr>
              <w:pStyle w:val="Table"/>
              <w:jc w:val="right"/>
              <w:rPr>
                <w:b/>
                <w:bCs/>
              </w:rPr>
            </w:pPr>
            <w:r w:rsidRPr="0065004C">
              <w:rPr>
                <w:b/>
                <w:bCs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646C" w14:textId="77777777" w:rsidR="00281FAA" w:rsidRPr="0065004C" w:rsidRDefault="00281FAA" w:rsidP="001803D5">
            <w:pPr>
              <w:pStyle w:val="Table"/>
              <w:jc w:val="right"/>
              <w:rPr>
                <w:b/>
                <w:bCs/>
              </w:rPr>
            </w:pPr>
            <w:r w:rsidRPr="0065004C">
              <w:rPr>
                <w:b/>
                <w:bCs/>
              </w:rPr>
              <w:t>2021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6B76" w14:textId="77777777" w:rsidR="00281FAA" w:rsidRPr="0065004C" w:rsidRDefault="00281FAA" w:rsidP="001803D5">
            <w:pPr>
              <w:pStyle w:val="Table"/>
              <w:jc w:val="right"/>
              <w:rPr>
                <w:b/>
                <w:bCs/>
              </w:rPr>
            </w:pPr>
            <w:r w:rsidRPr="0065004C">
              <w:rPr>
                <w:b/>
                <w:bCs/>
              </w:rPr>
              <w:t>2022</w:t>
            </w:r>
          </w:p>
        </w:tc>
      </w:tr>
      <w:tr w:rsidR="00E5462A" w:rsidRPr="00B32FE3" w14:paraId="0F8D0BE8" w14:textId="77777777" w:rsidTr="00E5462A">
        <w:trPr>
          <w:trHeight w:val="340"/>
        </w:trPr>
        <w:tc>
          <w:tcPr>
            <w:tcW w:w="955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766"/>
            <w:vAlign w:val="center"/>
          </w:tcPr>
          <w:p w14:paraId="5F7B12CC" w14:textId="35C685A2" w:rsidR="00E5462A" w:rsidRPr="0065004C" w:rsidRDefault="00E5462A" w:rsidP="001D20C9">
            <w:pPr>
              <w:pStyle w:val="Table"/>
              <w:rPr>
                <w:b/>
                <w:bCs/>
              </w:rPr>
            </w:pPr>
            <w:r w:rsidRPr="0065004C">
              <w:rPr>
                <w:b/>
                <w:bCs/>
              </w:rPr>
              <w:t>Volgens bevolkingsijking (i.e. op basis van gewestelijke bevolkingsverhoudingen)</w:t>
            </w:r>
          </w:p>
        </w:tc>
      </w:tr>
      <w:tr w:rsidR="00E5462A" w:rsidRPr="00B32FE3" w14:paraId="12FA41A2" w14:textId="77777777" w:rsidTr="00E5462A">
        <w:trPr>
          <w:trHeight w:val="340"/>
        </w:trPr>
        <w:tc>
          <w:tcPr>
            <w:tcW w:w="955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770F" w14:textId="1C01778A" w:rsidR="00E5462A" w:rsidRPr="0065004C" w:rsidRDefault="00E5462A" w:rsidP="001D20C9">
            <w:pPr>
              <w:pStyle w:val="Table"/>
              <w:rPr>
                <w:u w:val="single"/>
              </w:rPr>
            </w:pPr>
            <w:r w:rsidRPr="0065004C">
              <w:rPr>
                <w:u w:val="single"/>
              </w:rPr>
              <w:t>Exclusief ambtenarenlonen</w:t>
            </w:r>
          </w:p>
        </w:tc>
      </w:tr>
      <w:tr w:rsidR="00281FAA" w:rsidRPr="00376710" w14:paraId="6CE3BBD7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25B4ACC2" w14:textId="77777777" w:rsidR="00281FAA" w:rsidRPr="00376710" w:rsidRDefault="00281FAA" w:rsidP="001D20C9">
            <w:pPr>
              <w:pStyle w:val="Table"/>
            </w:pPr>
            <w:r w:rsidRPr="00376710">
              <w:t>Vlaanderen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F545E34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1,89%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2AEAE90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1,86%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26B6A3C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1,53%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DD741CF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1,72%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6049402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1,54%</w:t>
            </w:r>
          </w:p>
        </w:tc>
        <w:tc>
          <w:tcPr>
            <w:tcW w:w="227" w:type="dxa"/>
          </w:tcPr>
          <w:p w14:paraId="695EDC75" w14:textId="77777777" w:rsidR="00281FAA" w:rsidRPr="00B32FE3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A350993" w14:textId="30A5F2C2" w:rsidR="00281FAA" w:rsidRPr="00376710" w:rsidRDefault="00281FAA" w:rsidP="001D20C9">
            <w:pPr>
              <w:pStyle w:val="Table"/>
              <w:jc w:val="right"/>
            </w:pPr>
            <w:r w:rsidRPr="00B32FE3">
              <w:t>1,48%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FBD2C8A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1,45%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7625F54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1,44%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185F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1,43%</w:t>
            </w:r>
          </w:p>
        </w:tc>
      </w:tr>
      <w:tr w:rsidR="00281FAA" w:rsidRPr="00376710" w14:paraId="141B5355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77AA244F" w14:textId="77777777" w:rsidR="00281FAA" w:rsidRPr="00376710" w:rsidRDefault="00281FAA" w:rsidP="001D20C9">
            <w:pPr>
              <w:pStyle w:val="Table"/>
            </w:pPr>
            <w:r w:rsidRPr="00376710">
              <w:t>Wallonië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53FD89E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-2,08%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D661139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-1,99%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FAF79CC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-1,65%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9E04287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-1,82%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B651075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-1,72%</w:t>
            </w:r>
          </w:p>
        </w:tc>
        <w:tc>
          <w:tcPr>
            <w:tcW w:w="227" w:type="dxa"/>
          </w:tcPr>
          <w:p w14:paraId="7923B9F4" w14:textId="77777777" w:rsidR="00281FAA" w:rsidRPr="00B32FE3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44FAA45" w14:textId="7BAB63E1" w:rsidR="00281FAA" w:rsidRPr="00376710" w:rsidRDefault="00281FAA" w:rsidP="001D20C9">
            <w:pPr>
              <w:pStyle w:val="Table"/>
              <w:jc w:val="right"/>
            </w:pPr>
            <w:r w:rsidRPr="00B32FE3">
              <w:t>-1,71%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F440DF5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-1,68%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0D83144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-1,68%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DF8F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-1,68%</w:t>
            </w:r>
          </w:p>
        </w:tc>
      </w:tr>
      <w:tr w:rsidR="00281FAA" w:rsidRPr="00376710" w14:paraId="048F9989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7758AA4F" w14:textId="77777777" w:rsidR="00281FAA" w:rsidRPr="00376710" w:rsidRDefault="00281FAA" w:rsidP="001D20C9">
            <w:pPr>
              <w:pStyle w:val="Table"/>
            </w:pPr>
            <w:r w:rsidRPr="00376710">
              <w:t>Brussel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F8A8F03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0,19%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19D38BD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0,13%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7966B8D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0,12%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0A8BF3D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0,11%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4BD57C8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0,18%</w:t>
            </w:r>
          </w:p>
        </w:tc>
        <w:tc>
          <w:tcPr>
            <w:tcW w:w="227" w:type="dxa"/>
          </w:tcPr>
          <w:p w14:paraId="13B3CDFE" w14:textId="77777777" w:rsidR="00281FAA" w:rsidRPr="00B32FE3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F007787" w14:textId="5290AFC4" w:rsidR="00281FAA" w:rsidRPr="00376710" w:rsidRDefault="00281FAA" w:rsidP="001D20C9">
            <w:pPr>
              <w:pStyle w:val="Table"/>
              <w:jc w:val="right"/>
            </w:pPr>
            <w:r w:rsidRPr="00B32FE3">
              <w:t>0,22%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FF66F33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0,23%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C14ECCB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0,24%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590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0,24%</w:t>
            </w:r>
          </w:p>
        </w:tc>
      </w:tr>
      <w:tr w:rsidR="00E5462A" w:rsidRPr="00376710" w14:paraId="259047B2" w14:textId="77777777" w:rsidTr="00E5462A">
        <w:trPr>
          <w:trHeight w:val="340"/>
        </w:trPr>
        <w:tc>
          <w:tcPr>
            <w:tcW w:w="955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D68B" w14:textId="7F539AE2" w:rsidR="00E5462A" w:rsidRPr="0065004C" w:rsidRDefault="00E5462A" w:rsidP="001D20C9">
            <w:pPr>
              <w:pStyle w:val="Table"/>
              <w:rPr>
                <w:u w:val="single"/>
              </w:rPr>
            </w:pPr>
            <w:r w:rsidRPr="0065004C">
              <w:rPr>
                <w:u w:val="single"/>
              </w:rPr>
              <w:t>Inclusief ambtenarenlonen</w:t>
            </w:r>
          </w:p>
        </w:tc>
      </w:tr>
      <w:tr w:rsidR="00281FAA" w:rsidRPr="00376710" w14:paraId="77B86C83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2B1B5028" w14:textId="77777777" w:rsidR="00281FAA" w:rsidRPr="00376710" w:rsidRDefault="00281FAA" w:rsidP="001D20C9">
            <w:pPr>
              <w:pStyle w:val="Table"/>
            </w:pPr>
            <w:r w:rsidRPr="00376710">
              <w:t>Vlaanderen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1DED5DD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1,97%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CBF5620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1,94%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357F779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1,60%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0BD9B85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1,78%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50430DB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1,60%</w:t>
            </w:r>
          </w:p>
        </w:tc>
        <w:tc>
          <w:tcPr>
            <w:tcW w:w="227" w:type="dxa"/>
          </w:tcPr>
          <w:p w14:paraId="0CEFF912" w14:textId="77777777" w:rsidR="00281FAA" w:rsidRPr="00B32FE3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29064EE" w14:textId="625FB6AD" w:rsidR="00281FAA" w:rsidRPr="00376710" w:rsidRDefault="00281FAA" w:rsidP="001D20C9">
            <w:pPr>
              <w:pStyle w:val="Table"/>
              <w:jc w:val="right"/>
            </w:pPr>
            <w:r w:rsidRPr="00B32FE3">
              <w:t>1,54%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87CDDFE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1,51%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95D49D1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1,50%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A06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1,49%</w:t>
            </w:r>
          </w:p>
        </w:tc>
      </w:tr>
      <w:tr w:rsidR="00281FAA" w:rsidRPr="00376710" w14:paraId="12201ED0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7927D09A" w14:textId="77777777" w:rsidR="00281FAA" w:rsidRPr="00376710" w:rsidRDefault="00281FAA" w:rsidP="001D20C9">
            <w:pPr>
              <w:pStyle w:val="Table"/>
            </w:pPr>
            <w:r w:rsidRPr="00376710">
              <w:t>Wallonië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77A9D42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-2,18%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5EFA374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-2,10%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55E4EA3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-1,76%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DFBB795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-1,93%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CBE85FA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-1,82%</w:t>
            </w:r>
          </w:p>
        </w:tc>
        <w:tc>
          <w:tcPr>
            <w:tcW w:w="227" w:type="dxa"/>
          </w:tcPr>
          <w:p w14:paraId="2E1886A0" w14:textId="77777777" w:rsidR="00281FAA" w:rsidRPr="00B32FE3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A19F9C0" w14:textId="3FAB6A44" w:rsidR="00281FAA" w:rsidRPr="00376710" w:rsidRDefault="00281FAA" w:rsidP="001D20C9">
            <w:pPr>
              <w:pStyle w:val="Table"/>
              <w:jc w:val="right"/>
            </w:pPr>
            <w:r w:rsidRPr="00B32FE3">
              <w:t>-1,80%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18F27D8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-1,78%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BF8754A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-1,77%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8056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-1,77%</w:t>
            </w:r>
          </w:p>
        </w:tc>
      </w:tr>
      <w:tr w:rsidR="00281FAA" w:rsidRPr="00376710" w14:paraId="41DCB1D5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754AD48C" w14:textId="77777777" w:rsidR="00281FAA" w:rsidRPr="00376710" w:rsidRDefault="00281FAA" w:rsidP="001D20C9">
            <w:pPr>
              <w:pStyle w:val="Table"/>
            </w:pPr>
            <w:r w:rsidRPr="00376710">
              <w:t>Brussel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2C8E789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0,21%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067432C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0,16%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4889EA4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0,16%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83AC123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0,15%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1102F77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0,22%</w:t>
            </w:r>
          </w:p>
        </w:tc>
        <w:tc>
          <w:tcPr>
            <w:tcW w:w="227" w:type="dxa"/>
          </w:tcPr>
          <w:p w14:paraId="762E42C4" w14:textId="77777777" w:rsidR="00281FAA" w:rsidRPr="00B32FE3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0F85D60" w14:textId="4078D272" w:rsidR="00281FAA" w:rsidRPr="00376710" w:rsidRDefault="00281FAA" w:rsidP="001D20C9">
            <w:pPr>
              <w:pStyle w:val="Table"/>
              <w:jc w:val="right"/>
            </w:pPr>
            <w:r w:rsidRPr="00B32FE3">
              <w:t>0,26%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322E2F2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0,27%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C694B29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0,27%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3771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0,28%</w:t>
            </w:r>
          </w:p>
        </w:tc>
      </w:tr>
      <w:tr w:rsidR="00E5462A" w:rsidRPr="00376710" w14:paraId="539BFF3D" w14:textId="77777777" w:rsidTr="00E5462A">
        <w:trPr>
          <w:trHeight w:val="340"/>
        </w:trPr>
        <w:tc>
          <w:tcPr>
            <w:tcW w:w="955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766"/>
            <w:vAlign w:val="center"/>
          </w:tcPr>
          <w:p w14:paraId="4A9F12AB" w14:textId="4569C151" w:rsidR="00E5462A" w:rsidRPr="0065004C" w:rsidRDefault="00E5462A" w:rsidP="001D20C9">
            <w:pPr>
              <w:pStyle w:val="Table"/>
              <w:rPr>
                <w:b/>
                <w:bCs/>
              </w:rPr>
            </w:pPr>
            <w:r w:rsidRPr="0065004C">
              <w:rPr>
                <w:b/>
                <w:bCs/>
              </w:rPr>
              <w:t>Volgens inkomensijking (i.e. op basis van de bijdrage van een gewest tot de federale inkomsten)</w:t>
            </w:r>
          </w:p>
        </w:tc>
      </w:tr>
      <w:tr w:rsidR="00E5462A" w:rsidRPr="00376710" w14:paraId="497637E9" w14:textId="77777777" w:rsidTr="00E5462A">
        <w:trPr>
          <w:trHeight w:val="340"/>
        </w:trPr>
        <w:tc>
          <w:tcPr>
            <w:tcW w:w="955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BAE30" w14:textId="052A2BF4" w:rsidR="00E5462A" w:rsidRPr="0065004C" w:rsidRDefault="00E5462A" w:rsidP="001D20C9">
            <w:pPr>
              <w:pStyle w:val="Table"/>
              <w:rPr>
                <w:u w:val="single"/>
              </w:rPr>
            </w:pPr>
            <w:r w:rsidRPr="0065004C">
              <w:rPr>
                <w:u w:val="single"/>
              </w:rPr>
              <w:t>Exclusief ambtenarenlonen</w:t>
            </w:r>
          </w:p>
        </w:tc>
      </w:tr>
      <w:tr w:rsidR="00281FAA" w:rsidRPr="00376710" w14:paraId="62B88811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574BC2A1" w14:textId="77777777" w:rsidR="00281FAA" w:rsidRPr="00376710" w:rsidRDefault="00281FAA" w:rsidP="001D20C9">
            <w:pPr>
              <w:pStyle w:val="Table"/>
            </w:pPr>
            <w:r w:rsidRPr="00376710">
              <w:t>Vlaanderen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076844A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1,51%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DBDD0A4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1,54%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5FA0189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1,33%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319DC6E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1,46%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22A44DF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1,31%</w:t>
            </w:r>
          </w:p>
        </w:tc>
        <w:tc>
          <w:tcPr>
            <w:tcW w:w="227" w:type="dxa"/>
          </w:tcPr>
          <w:p w14:paraId="355F4EE9" w14:textId="77777777" w:rsidR="00281FAA" w:rsidRPr="00B32FE3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39884EB" w14:textId="09CDC084" w:rsidR="00281FAA" w:rsidRPr="00376710" w:rsidRDefault="00281FAA" w:rsidP="001D20C9">
            <w:pPr>
              <w:pStyle w:val="Table"/>
              <w:jc w:val="right"/>
            </w:pPr>
            <w:r w:rsidRPr="00B32FE3">
              <w:t>1,26%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D300031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1,24%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58422F4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1,24%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B99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1,24%</w:t>
            </w:r>
          </w:p>
        </w:tc>
      </w:tr>
      <w:tr w:rsidR="00281FAA" w:rsidRPr="00376710" w14:paraId="3D9EC399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5C48EC0F" w14:textId="77777777" w:rsidR="00281FAA" w:rsidRPr="00376710" w:rsidRDefault="00281FAA" w:rsidP="001D20C9">
            <w:pPr>
              <w:pStyle w:val="Table"/>
            </w:pPr>
            <w:r w:rsidRPr="00376710">
              <w:t>Wallonië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494ED43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-1,64%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05F202C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-1,66%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C620324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-1,47%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71F36AC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-1,60%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3813FFA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-1,52%</w:t>
            </w:r>
          </w:p>
        </w:tc>
        <w:tc>
          <w:tcPr>
            <w:tcW w:w="227" w:type="dxa"/>
          </w:tcPr>
          <w:p w14:paraId="3417D171" w14:textId="77777777" w:rsidR="00281FAA" w:rsidRPr="00B32FE3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B5C2FAF" w14:textId="44A2C978" w:rsidR="00281FAA" w:rsidRPr="00376710" w:rsidRDefault="00281FAA" w:rsidP="001D20C9">
            <w:pPr>
              <w:pStyle w:val="Table"/>
              <w:jc w:val="right"/>
            </w:pPr>
            <w:r w:rsidRPr="00B32FE3">
              <w:t>-1,50%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A9E1793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-1,50%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DFB5BC8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-1,50%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1C0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-1,51%</w:t>
            </w:r>
          </w:p>
        </w:tc>
      </w:tr>
      <w:tr w:rsidR="00281FAA" w:rsidRPr="00376710" w14:paraId="1B539E14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0EC29E0D" w14:textId="77777777" w:rsidR="00281FAA" w:rsidRPr="00376710" w:rsidRDefault="00281FAA" w:rsidP="001D20C9">
            <w:pPr>
              <w:pStyle w:val="Table"/>
            </w:pPr>
            <w:r w:rsidRPr="00376710">
              <w:t>Brussel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B36078D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0,13%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2CC9A38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0,12%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E4522B2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0,14%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D50E405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0,14%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348A075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0,20%</w:t>
            </w:r>
          </w:p>
        </w:tc>
        <w:tc>
          <w:tcPr>
            <w:tcW w:w="227" w:type="dxa"/>
          </w:tcPr>
          <w:p w14:paraId="12AB580B" w14:textId="77777777" w:rsidR="00281FAA" w:rsidRPr="00B32FE3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81D7340" w14:textId="2F029F70" w:rsidR="00281FAA" w:rsidRPr="00376710" w:rsidRDefault="00281FAA" w:rsidP="001D20C9">
            <w:pPr>
              <w:pStyle w:val="Table"/>
              <w:jc w:val="right"/>
            </w:pPr>
            <w:r w:rsidRPr="00B32FE3">
              <w:t>0,25%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CDB213C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0,26%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D96E379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0,26%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95C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0,27%</w:t>
            </w:r>
          </w:p>
        </w:tc>
      </w:tr>
      <w:tr w:rsidR="00E5462A" w:rsidRPr="00376710" w14:paraId="59986009" w14:textId="77777777" w:rsidTr="00E5462A">
        <w:trPr>
          <w:trHeight w:val="340"/>
        </w:trPr>
        <w:tc>
          <w:tcPr>
            <w:tcW w:w="955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42CD2" w14:textId="3DE4D5DB" w:rsidR="00E5462A" w:rsidRPr="0065004C" w:rsidRDefault="00E5462A" w:rsidP="001D20C9">
            <w:pPr>
              <w:pStyle w:val="Table"/>
              <w:rPr>
                <w:u w:val="single"/>
              </w:rPr>
            </w:pPr>
            <w:bookmarkStart w:id="0" w:name="_GoBack"/>
            <w:bookmarkEnd w:id="0"/>
            <w:r w:rsidRPr="0065004C">
              <w:rPr>
                <w:u w:val="single"/>
              </w:rPr>
              <w:t>Inclusief ambtenarenlonen</w:t>
            </w:r>
          </w:p>
        </w:tc>
      </w:tr>
      <w:tr w:rsidR="00281FAA" w:rsidRPr="00746220" w14:paraId="67EC390A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45A91AE7" w14:textId="77777777" w:rsidR="00281FAA" w:rsidRPr="00746220" w:rsidRDefault="00281FAA" w:rsidP="001D20C9">
            <w:pPr>
              <w:pStyle w:val="Table"/>
            </w:pPr>
            <w:r w:rsidRPr="00746220">
              <w:t>Vlaanderen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379DD66" w14:textId="77777777" w:rsidR="00281FAA" w:rsidRPr="00746220" w:rsidRDefault="00281FAA" w:rsidP="001D20C9">
            <w:pPr>
              <w:pStyle w:val="Table"/>
              <w:jc w:val="right"/>
            </w:pPr>
            <w:r w:rsidRPr="00746220">
              <w:t>1,68%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52F3E7C" w14:textId="77777777" w:rsidR="00281FAA" w:rsidRPr="00746220" w:rsidRDefault="00281FAA" w:rsidP="001D20C9">
            <w:pPr>
              <w:pStyle w:val="Table"/>
              <w:jc w:val="right"/>
            </w:pPr>
            <w:r w:rsidRPr="00746220">
              <w:t>1,72%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07D103C" w14:textId="77777777" w:rsidR="00281FAA" w:rsidRPr="00746220" w:rsidRDefault="00281FAA" w:rsidP="001D20C9">
            <w:pPr>
              <w:pStyle w:val="Table"/>
              <w:jc w:val="right"/>
            </w:pPr>
            <w:r w:rsidRPr="00746220">
              <w:t>1,50%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8E4AAEF" w14:textId="77777777" w:rsidR="00281FAA" w:rsidRPr="00746220" w:rsidRDefault="00281FAA" w:rsidP="001D20C9">
            <w:pPr>
              <w:pStyle w:val="Table"/>
              <w:jc w:val="right"/>
            </w:pPr>
            <w:r w:rsidRPr="00746220">
              <w:t>1,61%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77E6433" w14:textId="77777777" w:rsidR="00281FAA" w:rsidRPr="00746220" w:rsidRDefault="00281FAA" w:rsidP="001D20C9">
            <w:pPr>
              <w:pStyle w:val="Table"/>
              <w:jc w:val="right"/>
            </w:pPr>
            <w:r w:rsidRPr="00746220">
              <w:t>1,46%</w:t>
            </w:r>
          </w:p>
        </w:tc>
        <w:tc>
          <w:tcPr>
            <w:tcW w:w="227" w:type="dxa"/>
          </w:tcPr>
          <w:p w14:paraId="4D1CF2B8" w14:textId="77777777" w:rsidR="00281FAA" w:rsidRPr="00746220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3F8C402" w14:textId="61CE9452" w:rsidR="00281FAA" w:rsidRPr="00746220" w:rsidRDefault="00281FAA" w:rsidP="001D20C9">
            <w:pPr>
              <w:pStyle w:val="Table"/>
              <w:jc w:val="right"/>
            </w:pPr>
            <w:r w:rsidRPr="00746220">
              <w:t>1,39%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9845ACB" w14:textId="77777777" w:rsidR="00281FAA" w:rsidRPr="00746220" w:rsidRDefault="00281FAA" w:rsidP="001D20C9">
            <w:pPr>
              <w:pStyle w:val="Table"/>
              <w:jc w:val="right"/>
            </w:pPr>
            <w:r w:rsidRPr="00746220">
              <w:t>1,38%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59BDDF6" w14:textId="77777777" w:rsidR="00281FAA" w:rsidRPr="00746220" w:rsidRDefault="00281FAA" w:rsidP="001D20C9">
            <w:pPr>
              <w:pStyle w:val="Table"/>
              <w:jc w:val="right"/>
            </w:pPr>
            <w:r w:rsidRPr="00746220">
              <w:t>1,37%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365" w14:textId="77777777" w:rsidR="00281FAA" w:rsidRPr="00746220" w:rsidRDefault="00281FAA" w:rsidP="001D20C9">
            <w:pPr>
              <w:pStyle w:val="Table"/>
              <w:jc w:val="right"/>
            </w:pPr>
            <w:r w:rsidRPr="00746220">
              <w:t>1,37%</w:t>
            </w:r>
          </w:p>
        </w:tc>
      </w:tr>
      <w:tr w:rsidR="00281FAA" w:rsidRPr="00376710" w14:paraId="74BE9186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6C551C2E" w14:textId="77777777" w:rsidR="00281FAA" w:rsidRPr="00376710" w:rsidRDefault="00281FAA" w:rsidP="001D20C9">
            <w:pPr>
              <w:pStyle w:val="Table"/>
            </w:pPr>
            <w:r w:rsidRPr="00376710">
              <w:t>Wallonië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82711F7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-1,84%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DE8F0F2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-1,87%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C7040F0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-1,67%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9782CE6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-1,79%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25F5B1A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-1,69%</w:t>
            </w:r>
          </w:p>
        </w:tc>
        <w:tc>
          <w:tcPr>
            <w:tcW w:w="227" w:type="dxa"/>
          </w:tcPr>
          <w:p w14:paraId="67BBB2C0" w14:textId="77777777" w:rsidR="00281FAA" w:rsidRPr="00B32FE3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84FDB8C" w14:textId="4A84E7C1" w:rsidR="00281FAA" w:rsidRPr="00376710" w:rsidRDefault="00281FAA" w:rsidP="001D20C9">
            <w:pPr>
              <w:pStyle w:val="Table"/>
              <w:jc w:val="right"/>
            </w:pPr>
            <w:r w:rsidRPr="00B32FE3">
              <w:t>-1,67%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AA67F92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-1,66%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078EB97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-1,66%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ABE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-1,67%</w:t>
            </w:r>
          </w:p>
        </w:tc>
      </w:tr>
      <w:tr w:rsidR="00281FAA" w:rsidRPr="00376710" w14:paraId="239F817F" w14:textId="77777777" w:rsidTr="00E5462A">
        <w:trPr>
          <w:trHeight w:val="283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1AE1A" w14:textId="77777777" w:rsidR="00281FAA" w:rsidRPr="00376710" w:rsidRDefault="00281FAA" w:rsidP="001D20C9">
            <w:pPr>
              <w:pStyle w:val="Table"/>
            </w:pPr>
            <w:r w:rsidRPr="00376710">
              <w:t>Brussel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EEFD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0,16%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4E0F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0,15%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960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0,17%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BCFF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0,17%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4ECD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0,24%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6C5622C1" w14:textId="77777777" w:rsidR="00281FAA" w:rsidRPr="00B32FE3" w:rsidRDefault="00281FAA" w:rsidP="001D20C9">
            <w:pPr>
              <w:pStyle w:val="Table"/>
              <w:jc w:val="right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D0C" w14:textId="1759D53C" w:rsidR="00281FAA" w:rsidRPr="00376710" w:rsidRDefault="00281FAA" w:rsidP="001D20C9">
            <w:pPr>
              <w:pStyle w:val="Table"/>
              <w:jc w:val="right"/>
            </w:pPr>
            <w:r w:rsidRPr="00B32FE3">
              <w:t>0,28%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2683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0,29%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4F6D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0,29%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849" w14:textId="77777777" w:rsidR="00281FAA" w:rsidRPr="00376710" w:rsidRDefault="00281FAA" w:rsidP="001D20C9">
            <w:pPr>
              <w:pStyle w:val="Table"/>
              <w:jc w:val="right"/>
            </w:pPr>
            <w:r w:rsidRPr="00B32FE3">
              <w:t>0,30%</w:t>
            </w:r>
          </w:p>
        </w:tc>
      </w:tr>
    </w:tbl>
    <w:p w14:paraId="6645A3AB" w14:textId="77777777" w:rsidR="00D50A2D" w:rsidRPr="00D50A2D" w:rsidRDefault="00D50A2D" w:rsidP="0065004C">
      <w:pPr>
        <w:pStyle w:val="Table"/>
        <w:spacing w:before="120" w:after="120"/>
        <w:jc w:val="both"/>
        <w:rPr>
          <w:rFonts w:ascii="Verdana" w:hAnsi="Verdana"/>
          <w:sz w:val="18"/>
          <w:szCs w:val="18"/>
        </w:rPr>
      </w:pPr>
      <w:r w:rsidRPr="00D50A2D">
        <w:rPr>
          <w:rFonts w:ascii="Verdana" w:hAnsi="Verdana"/>
          <w:sz w:val="18"/>
          <w:szCs w:val="18"/>
        </w:rPr>
        <w:t>Bron: MONIFLOW – update 2020</w:t>
      </w:r>
    </w:p>
    <w:p w14:paraId="598D40FD" w14:textId="609540E3" w:rsidR="00D50A2D" w:rsidRPr="00D50A2D" w:rsidRDefault="00D50A2D" w:rsidP="0065004C">
      <w:pPr>
        <w:tabs>
          <w:tab w:val="left" w:pos="142"/>
        </w:tabs>
        <w:ind w:left="142" w:hanging="142"/>
        <w:rPr>
          <w:rFonts w:ascii="Verdana" w:hAnsi="Verdana"/>
          <w:sz w:val="18"/>
          <w:szCs w:val="18"/>
        </w:rPr>
      </w:pPr>
      <w:r w:rsidRPr="00D50A2D">
        <w:rPr>
          <w:rFonts w:ascii="Verdana" w:hAnsi="Verdana"/>
          <w:sz w:val="18"/>
          <w:szCs w:val="18"/>
          <w:vertAlign w:val="superscript"/>
        </w:rPr>
        <w:t>*</w:t>
      </w:r>
      <w:r w:rsidR="0065004C">
        <w:rPr>
          <w:rFonts w:ascii="Verdana" w:hAnsi="Verdana"/>
          <w:sz w:val="18"/>
          <w:szCs w:val="18"/>
          <w:vertAlign w:val="superscript"/>
        </w:rPr>
        <w:tab/>
      </w:r>
      <w:r w:rsidRPr="00D50A2D">
        <w:rPr>
          <w:rFonts w:ascii="Verdana" w:hAnsi="Verdana"/>
          <w:sz w:val="18"/>
          <w:szCs w:val="18"/>
        </w:rPr>
        <w:t>De financiële stromen voor 2017 en 2018 zijn niet opgenomen omdat de kwaliteit van het bronmateriaal voor deze jaren nog wordt onderzocht.</w:t>
      </w:r>
    </w:p>
    <w:p w14:paraId="1FA70A5F" w14:textId="3C41CA0D" w:rsidR="00D50A2D" w:rsidRDefault="00D50A2D" w:rsidP="00A03ED3">
      <w:pPr>
        <w:rPr>
          <w:rFonts w:ascii="Verdana" w:hAnsi="Verdana"/>
          <w:sz w:val="18"/>
          <w:szCs w:val="18"/>
        </w:rPr>
      </w:pPr>
    </w:p>
    <w:p w14:paraId="42F12C8A" w14:textId="77777777" w:rsidR="0065004C" w:rsidRPr="00D50A2D" w:rsidRDefault="0065004C" w:rsidP="00A03ED3">
      <w:pPr>
        <w:rPr>
          <w:rFonts w:ascii="Verdana" w:hAnsi="Verdana"/>
          <w:sz w:val="18"/>
          <w:szCs w:val="18"/>
        </w:rPr>
      </w:pPr>
    </w:p>
    <w:p w14:paraId="0C453B2A" w14:textId="70DE241C" w:rsidR="00490BD6" w:rsidRPr="00453938" w:rsidRDefault="00A03ED3" w:rsidP="0065004C">
      <w:pPr>
        <w:pStyle w:val="Lijstalinea"/>
        <w:tabs>
          <w:tab w:val="left" w:pos="284"/>
        </w:tabs>
        <w:spacing w:after="240"/>
        <w:ind w:left="0"/>
        <w:contextualSpacing w:val="0"/>
        <w:jc w:val="both"/>
        <w:rPr>
          <w:rFonts w:eastAsia="Calibri" w:cs="Tahoma"/>
          <w:sz w:val="20"/>
          <w:szCs w:val="20"/>
          <w:lang w:eastAsia="en-US"/>
        </w:rPr>
      </w:pPr>
      <w:r w:rsidRPr="00A03ED3">
        <w:rPr>
          <w:rFonts w:eastAsia="Calibri" w:cs="Tahoma"/>
          <w:sz w:val="20"/>
          <w:szCs w:val="20"/>
          <w:lang w:eastAsia="en-US"/>
        </w:rPr>
        <w:t>Het is belangrijk om op te merken dat deze update geen rekening houdt met impact van de COVID-19 crisis. He is immers te vroeg om uitspraken te doen over de impact van de COVID-19 crisis op de publieke financiën. De volgende update, voorzien in het voorjaar van 2021, zal de impact van COVID-19 waarschijnlijk gedeeltelijk kunnen meenemen.</w:t>
      </w:r>
    </w:p>
    <w:sectPr w:rsidR="00490BD6" w:rsidRPr="0045393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EE62" w14:textId="77777777" w:rsidR="005C4181" w:rsidRDefault="005C4181" w:rsidP="004364AC">
      <w:r>
        <w:separator/>
      </w:r>
    </w:p>
  </w:endnote>
  <w:endnote w:type="continuationSeparator" w:id="0">
    <w:p w14:paraId="4B04957F" w14:textId="77777777" w:rsidR="005C4181" w:rsidRDefault="005C4181" w:rsidP="004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">
    <w:altName w:val="FlandersArtSans-Regular"/>
    <w:charset w:val="00"/>
    <w:family w:val="auto"/>
    <w:pitch w:val="variable"/>
    <w:sig w:usb0="00000007" w:usb1="10000000" w:usb2="00000000" w:usb3="00000000" w:csb0="00000093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58C7" w14:textId="77777777" w:rsidR="005C4181" w:rsidRDefault="005C4181" w:rsidP="004364AC">
      <w:r>
        <w:separator/>
      </w:r>
    </w:p>
  </w:footnote>
  <w:footnote w:type="continuationSeparator" w:id="0">
    <w:p w14:paraId="47925DD6" w14:textId="77777777" w:rsidR="005C4181" w:rsidRDefault="005C4181" w:rsidP="0043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853"/>
    <w:multiLevelType w:val="hybridMultilevel"/>
    <w:tmpl w:val="D61A2BB8"/>
    <w:lvl w:ilvl="0" w:tplc="CC1A83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5F17"/>
    <w:multiLevelType w:val="hybridMultilevel"/>
    <w:tmpl w:val="1F9AD6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1AF9"/>
    <w:multiLevelType w:val="hybridMultilevel"/>
    <w:tmpl w:val="492815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0D41"/>
    <w:multiLevelType w:val="hybridMultilevel"/>
    <w:tmpl w:val="CBA8A670"/>
    <w:lvl w:ilvl="0" w:tplc="0813000F">
      <w:start w:val="1"/>
      <w:numFmt w:val="decimal"/>
      <w:lvlText w:val="%1."/>
      <w:lvlJc w:val="left"/>
      <w:pPr>
        <w:ind w:left="9007" w:hanging="360"/>
      </w:pPr>
      <w:rPr>
        <w:rFonts w:hint="default"/>
      </w:rPr>
    </w:lvl>
    <w:lvl w:ilvl="1" w:tplc="95B24648">
      <w:numFmt w:val="bullet"/>
      <w:lvlText w:val="-"/>
      <w:lvlJc w:val="left"/>
      <w:pPr>
        <w:ind w:left="5976" w:hanging="360"/>
      </w:pPr>
      <w:rPr>
        <w:rFonts w:ascii="Tahoma" w:eastAsia="Calibri" w:hAnsi="Tahoma" w:cs="Tahoma" w:hint="default"/>
      </w:r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5" w15:restartNumberingAfterBreak="0">
    <w:nsid w:val="25612357"/>
    <w:multiLevelType w:val="hybridMultilevel"/>
    <w:tmpl w:val="1C0E8A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8" w15:restartNumberingAfterBreak="0">
    <w:nsid w:val="6C595448"/>
    <w:multiLevelType w:val="hybridMultilevel"/>
    <w:tmpl w:val="C01A3D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8C"/>
    <w:rsid w:val="000360C8"/>
    <w:rsid w:val="00080772"/>
    <w:rsid w:val="000976E9"/>
    <w:rsid w:val="000A499C"/>
    <w:rsid w:val="000C4E8C"/>
    <w:rsid w:val="000E457A"/>
    <w:rsid w:val="000F3532"/>
    <w:rsid w:val="000F6BA8"/>
    <w:rsid w:val="00144F1A"/>
    <w:rsid w:val="001803D5"/>
    <w:rsid w:val="00210C07"/>
    <w:rsid w:val="002346BF"/>
    <w:rsid w:val="002469FB"/>
    <w:rsid w:val="00281FAA"/>
    <w:rsid w:val="002A2D05"/>
    <w:rsid w:val="002C2EA2"/>
    <w:rsid w:val="00301372"/>
    <w:rsid w:val="00326A58"/>
    <w:rsid w:val="00340021"/>
    <w:rsid w:val="003A470F"/>
    <w:rsid w:val="003E6843"/>
    <w:rsid w:val="004364AC"/>
    <w:rsid w:val="00453455"/>
    <w:rsid w:val="00453938"/>
    <w:rsid w:val="0048098D"/>
    <w:rsid w:val="00485A57"/>
    <w:rsid w:val="00490BD6"/>
    <w:rsid w:val="00497011"/>
    <w:rsid w:val="00514F25"/>
    <w:rsid w:val="005267A2"/>
    <w:rsid w:val="0056360C"/>
    <w:rsid w:val="005B1D48"/>
    <w:rsid w:val="005C4181"/>
    <w:rsid w:val="005D5073"/>
    <w:rsid w:val="005E29AE"/>
    <w:rsid w:val="005E38CA"/>
    <w:rsid w:val="005E7166"/>
    <w:rsid w:val="005F0435"/>
    <w:rsid w:val="00623D9C"/>
    <w:rsid w:val="00624A72"/>
    <w:rsid w:val="0065004C"/>
    <w:rsid w:val="006563FB"/>
    <w:rsid w:val="00683874"/>
    <w:rsid w:val="0069528B"/>
    <w:rsid w:val="0071248C"/>
    <w:rsid w:val="007252C7"/>
    <w:rsid w:val="007338E3"/>
    <w:rsid w:val="007348D1"/>
    <w:rsid w:val="00745C35"/>
    <w:rsid w:val="0075030D"/>
    <w:rsid w:val="007558FA"/>
    <w:rsid w:val="007C07F4"/>
    <w:rsid w:val="007E5F62"/>
    <w:rsid w:val="00821E06"/>
    <w:rsid w:val="008327A8"/>
    <w:rsid w:val="0084562E"/>
    <w:rsid w:val="008D17CE"/>
    <w:rsid w:val="008D1BFB"/>
    <w:rsid w:val="008D5DB4"/>
    <w:rsid w:val="0090528C"/>
    <w:rsid w:val="00932B48"/>
    <w:rsid w:val="009347E0"/>
    <w:rsid w:val="009660A7"/>
    <w:rsid w:val="00981607"/>
    <w:rsid w:val="009C160D"/>
    <w:rsid w:val="009D7043"/>
    <w:rsid w:val="009E4CC1"/>
    <w:rsid w:val="00A02D4E"/>
    <w:rsid w:val="00A03ED3"/>
    <w:rsid w:val="00A41050"/>
    <w:rsid w:val="00A51FBA"/>
    <w:rsid w:val="00AD2F2B"/>
    <w:rsid w:val="00AE4255"/>
    <w:rsid w:val="00AF015F"/>
    <w:rsid w:val="00B00FAB"/>
    <w:rsid w:val="00B3455D"/>
    <w:rsid w:val="00B45EB2"/>
    <w:rsid w:val="00B51DF9"/>
    <w:rsid w:val="00BA0186"/>
    <w:rsid w:val="00BB27A1"/>
    <w:rsid w:val="00BE425A"/>
    <w:rsid w:val="00BF2DC9"/>
    <w:rsid w:val="00BF7E42"/>
    <w:rsid w:val="00C442A1"/>
    <w:rsid w:val="00C46D02"/>
    <w:rsid w:val="00C91441"/>
    <w:rsid w:val="00C91FD8"/>
    <w:rsid w:val="00CE137A"/>
    <w:rsid w:val="00CE5BC7"/>
    <w:rsid w:val="00CF746A"/>
    <w:rsid w:val="00D02FE6"/>
    <w:rsid w:val="00D50A2D"/>
    <w:rsid w:val="00D52B43"/>
    <w:rsid w:val="00D64EB4"/>
    <w:rsid w:val="00D71D99"/>
    <w:rsid w:val="00D754F2"/>
    <w:rsid w:val="00DB41C0"/>
    <w:rsid w:val="00DC4DB6"/>
    <w:rsid w:val="00DD1E03"/>
    <w:rsid w:val="00DD3D59"/>
    <w:rsid w:val="00DE7AE2"/>
    <w:rsid w:val="00E16A56"/>
    <w:rsid w:val="00E238EF"/>
    <w:rsid w:val="00E5462A"/>
    <w:rsid w:val="00E55200"/>
    <w:rsid w:val="00E85679"/>
    <w:rsid w:val="00E85C8D"/>
    <w:rsid w:val="00E965D8"/>
    <w:rsid w:val="00EC1AFC"/>
    <w:rsid w:val="00ED1C02"/>
    <w:rsid w:val="00ED3E60"/>
    <w:rsid w:val="00ED4AD8"/>
    <w:rsid w:val="00F46C70"/>
    <w:rsid w:val="00F55BE0"/>
    <w:rsid w:val="00F87AF4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4C447"/>
  <w15:docId w15:val="{4865F500-7EC3-4014-9036-4646B16E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Lijstalinea">
    <w:name w:val="List Paragraph"/>
    <w:basedOn w:val="Standaard"/>
    <w:uiPriority w:val="34"/>
    <w:qFormat/>
    <w:rsid w:val="004364AC"/>
    <w:pPr>
      <w:ind w:left="720"/>
      <w:contextualSpacing/>
    </w:pPr>
    <w:rPr>
      <w:rFonts w:ascii="Verdana" w:hAnsi="Verdana"/>
      <w:sz w:val="24"/>
    </w:rPr>
  </w:style>
  <w:style w:type="paragraph" w:styleId="Voetnoottekst">
    <w:name w:val="footnote text"/>
    <w:basedOn w:val="Standaard"/>
    <w:link w:val="VoetnoottekstChar"/>
    <w:unhideWhenUsed/>
    <w:rsid w:val="004364AC"/>
    <w:rPr>
      <w:rFonts w:ascii="Verdana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364AC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4364AC"/>
    <w:rPr>
      <w:vertAlign w:val="superscript"/>
    </w:rPr>
  </w:style>
  <w:style w:type="character" w:styleId="Hyperlink">
    <w:name w:val="Hyperlink"/>
    <w:basedOn w:val="Standaardalinea-lettertype"/>
    <w:uiPriority w:val="99"/>
    <w:rsid w:val="007558FA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7558F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58F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semiHidden/>
    <w:unhideWhenUsed/>
    <w:rsid w:val="000A49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A499C"/>
    <w:rPr>
      <w:rFonts w:ascii="Segoe UI" w:hAnsi="Segoe UI" w:cs="Segoe UI"/>
      <w:sz w:val="18"/>
      <w:szCs w:val="18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A03ED3"/>
    <w:pPr>
      <w:tabs>
        <w:tab w:val="left" w:pos="3686"/>
      </w:tabs>
      <w:spacing w:before="120"/>
    </w:pPr>
    <w:rPr>
      <w:rFonts w:ascii="Flanders Art Sans" w:eastAsiaTheme="minorHAnsi" w:hAnsi="Flanders Art Sans" w:cstheme="minorBidi"/>
      <w:bCs/>
      <w:szCs w:val="22"/>
      <w:lang w:val="nl-BE" w:eastAsia="en-US"/>
    </w:rPr>
  </w:style>
  <w:style w:type="paragraph" w:customStyle="1" w:styleId="Table">
    <w:name w:val="Table"/>
    <w:basedOn w:val="Standaard"/>
    <w:link w:val="TableChar"/>
    <w:qFormat/>
    <w:rsid w:val="00A03ED3"/>
    <w:rPr>
      <w:rFonts w:ascii="FlandersArtSans-Light" w:hAnsi="FlandersArtSans-Light" w:cs="Calibri"/>
      <w:sz w:val="21"/>
      <w:szCs w:val="21"/>
      <w:lang w:val="nl-BE" w:eastAsia="nl-BE"/>
    </w:rPr>
  </w:style>
  <w:style w:type="character" w:customStyle="1" w:styleId="TableChar">
    <w:name w:val="Table Char"/>
    <w:basedOn w:val="Standaardalinea-lettertype"/>
    <w:link w:val="Table"/>
    <w:rsid w:val="00A03ED3"/>
    <w:rPr>
      <w:rFonts w:ascii="FlandersArtSans-Light" w:hAnsi="FlandersArtSans-Light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F180577583B41A134A03FD21944E2" ma:contentTypeVersion="6" ma:contentTypeDescription="Een nieuw document maken." ma:contentTypeScope="" ma:versionID="98329c977166e41e5e990e2c7d470020">
  <xsd:schema xmlns:xsd="http://www.w3.org/2001/XMLSchema" xmlns:xs="http://www.w3.org/2001/XMLSchema" xmlns:p="http://schemas.microsoft.com/office/2006/metadata/properties" xmlns:ns2="702627b3-aecc-44f2-b5d0-77434d445fc8" xmlns:ns3="d069ed24-b949-439f-8c39-ff7abd572d32" targetNamespace="http://schemas.microsoft.com/office/2006/metadata/properties" ma:root="true" ma:fieldsID="a1baa6fba51d02ed20341981bd7dee38" ns2:_="" ns3:_="">
    <xsd:import namespace="702627b3-aecc-44f2-b5d0-77434d445fc8"/>
    <xsd:import namespace="d069ed24-b949-439f-8c39-ff7abd572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627b3-aecc-44f2-b5d0-77434d445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9ed24-b949-439f-8c39-ff7abd572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E85B-7CA6-48F3-866C-E81E89D65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627b3-aecc-44f2-b5d0-77434d445fc8"/>
    <ds:schemaRef ds:uri="d069ed24-b949-439f-8c39-ff7abd572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20B56-DF63-440B-B21B-A6691D825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C9294-A3BB-42B9-AA01-E809F6E7116E}">
  <ds:schemaRefs>
    <ds:schemaRef ds:uri="http://schemas.microsoft.com/office/2006/metadata/properties"/>
    <ds:schemaRef ds:uri="702627b3-aecc-44f2-b5d0-77434d445f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069ed24-b949-439f-8c39-ff7abd572d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5CF31E-2330-468A-8370-3985AAEF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45</TotalTime>
  <Pages>1</Pages>
  <Words>394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Cauwberghs Gaetan</cp:lastModifiedBy>
  <cp:revision>4</cp:revision>
  <cp:lastPrinted>2014-08-26T13:40:00Z</cp:lastPrinted>
  <dcterms:created xsi:type="dcterms:W3CDTF">2021-01-14T08:45:00Z</dcterms:created>
  <dcterms:modified xsi:type="dcterms:W3CDTF">2021-01-14T09:54:00Z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0x01010036DF180577583B41A134A03FD21944E2</vt:lpwstr>
  </property>
  <property fmtid="{D5CDD505-2E9C-101B-9397-08002B2CF9AE}" pid="3" name="Order">
    <vt:r8>15000</vt:r8>
  </property>
</Properties>
</file>