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D97AF" w14:textId="71E61941" w:rsidR="0068216A" w:rsidRPr="004A3D85" w:rsidRDefault="28421F4E" w:rsidP="004A3D85">
      <w:pPr>
        <w:jc w:val="both"/>
        <w:outlineLvl w:val="0"/>
        <w:rPr>
          <w:b/>
          <w:bCs/>
          <w:smallCaps/>
        </w:rPr>
      </w:pPr>
      <w:r w:rsidRPr="004A3D85">
        <w:rPr>
          <w:b/>
          <w:bCs/>
          <w:smallCaps/>
        </w:rPr>
        <w:t xml:space="preserve">hilde </w:t>
      </w:r>
      <w:proofErr w:type="spellStart"/>
      <w:r w:rsidRPr="004A3D85">
        <w:rPr>
          <w:b/>
          <w:bCs/>
          <w:smallCaps/>
        </w:rPr>
        <w:t>crevits</w:t>
      </w:r>
      <w:proofErr w:type="spellEnd"/>
    </w:p>
    <w:p w14:paraId="7C5FFB73" w14:textId="45B88366" w:rsidR="0068216A" w:rsidRPr="004A3D85" w:rsidRDefault="28421F4E" w:rsidP="004A3D85">
      <w:pPr>
        <w:pStyle w:val="A-TitelMinister"/>
        <w:jc w:val="both"/>
        <w:rPr>
          <w:sz w:val="20"/>
          <w:szCs w:val="20"/>
        </w:rPr>
      </w:pPr>
      <w:r w:rsidRPr="004A3D85">
        <w:rPr>
          <w:sz w:val="20"/>
          <w:szCs w:val="20"/>
        </w:rPr>
        <w:t xml:space="preserve">viceminister-president van de </w:t>
      </w:r>
      <w:proofErr w:type="spellStart"/>
      <w:r w:rsidRPr="004A3D85">
        <w:rPr>
          <w:sz w:val="20"/>
          <w:szCs w:val="20"/>
        </w:rPr>
        <w:t>vlaamse</w:t>
      </w:r>
      <w:proofErr w:type="spellEnd"/>
      <w:r w:rsidRPr="004A3D85">
        <w:rPr>
          <w:sz w:val="20"/>
          <w:szCs w:val="20"/>
        </w:rPr>
        <w:t xml:space="preserve"> regering, </w:t>
      </w:r>
      <w:proofErr w:type="spellStart"/>
      <w:r w:rsidRPr="004A3D85">
        <w:rPr>
          <w:sz w:val="20"/>
          <w:szCs w:val="20"/>
        </w:rPr>
        <w:t>vlaams</w:t>
      </w:r>
      <w:proofErr w:type="spellEnd"/>
      <w:r w:rsidRPr="004A3D85">
        <w:rPr>
          <w:sz w:val="20"/>
          <w:szCs w:val="20"/>
        </w:rPr>
        <w:t xml:space="preserve"> minister van economie, innovatie, werk, sociale economie en landbouw</w:t>
      </w:r>
    </w:p>
    <w:p w14:paraId="6469BB6F" w14:textId="77777777" w:rsidR="00ED7658" w:rsidRPr="004A3D85" w:rsidRDefault="00ED7658" w:rsidP="004A3D85">
      <w:pPr>
        <w:pBdr>
          <w:bottom w:val="single" w:sz="4" w:space="1" w:color="auto"/>
        </w:pBdr>
        <w:jc w:val="both"/>
      </w:pPr>
    </w:p>
    <w:p w14:paraId="093E67D6" w14:textId="77777777" w:rsidR="0068216A" w:rsidRPr="004A3D85" w:rsidRDefault="0068216A" w:rsidP="004A3D85">
      <w:pPr>
        <w:jc w:val="both"/>
      </w:pPr>
    </w:p>
    <w:p w14:paraId="3A22365D" w14:textId="77777777" w:rsidR="00482870" w:rsidRPr="004A3D85" w:rsidRDefault="28421F4E" w:rsidP="004A3D85">
      <w:pPr>
        <w:jc w:val="both"/>
      </w:pPr>
      <w:r w:rsidRPr="004A3D85">
        <w:rPr>
          <w:b/>
          <w:bCs/>
          <w:smallCaps/>
        </w:rPr>
        <w:t>antwoord</w:t>
      </w:r>
      <w:r w:rsidRPr="004A3D85">
        <w:t xml:space="preserve"> </w:t>
      </w:r>
    </w:p>
    <w:p w14:paraId="4D8C5B69" w14:textId="4CBFA514" w:rsidR="0068216A" w:rsidRPr="004A3D85" w:rsidRDefault="28421F4E" w:rsidP="004A3D85">
      <w:pPr>
        <w:jc w:val="both"/>
      </w:pPr>
      <w:r w:rsidRPr="004A3D85">
        <w:t>op vraag nr. 75 van 3 november 2020</w:t>
      </w:r>
    </w:p>
    <w:p w14:paraId="1C9BABE1" w14:textId="121E7D6B" w:rsidR="0068216A" w:rsidRPr="004A3D85" w:rsidRDefault="28421F4E" w:rsidP="004A3D85">
      <w:pPr>
        <w:jc w:val="both"/>
      </w:pPr>
      <w:r w:rsidRPr="004A3D85">
        <w:t xml:space="preserve">van </w:t>
      </w:r>
      <w:r w:rsidRPr="004A3D85">
        <w:rPr>
          <w:b/>
          <w:bCs/>
          <w:smallCaps/>
        </w:rPr>
        <w:t xml:space="preserve">cathy </w:t>
      </w:r>
      <w:proofErr w:type="spellStart"/>
      <w:r w:rsidRPr="004A3D85">
        <w:rPr>
          <w:b/>
          <w:bCs/>
          <w:smallCaps/>
        </w:rPr>
        <w:t>coudyser</w:t>
      </w:r>
      <w:proofErr w:type="spellEnd"/>
    </w:p>
    <w:p w14:paraId="1B1D9D53" w14:textId="77777777" w:rsidR="0068216A" w:rsidRPr="004A3D85" w:rsidRDefault="0068216A" w:rsidP="004A3D85">
      <w:pPr>
        <w:pBdr>
          <w:bottom w:val="single" w:sz="4" w:space="1" w:color="auto"/>
        </w:pBdr>
        <w:jc w:val="both"/>
      </w:pPr>
    </w:p>
    <w:p w14:paraId="700B1696" w14:textId="77777777" w:rsidR="0068216A" w:rsidRPr="004A3D85" w:rsidRDefault="0068216A" w:rsidP="004A3D85">
      <w:pPr>
        <w:jc w:val="both"/>
        <w:sectPr w:rsidR="0068216A" w:rsidRPr="004A3D85" w:rsidSect="004004D4">
          <w:pgSz w:w="11906" w:h="16838"/>
          <w:pgMar w:top="1417" w:right="1417" w:bottom="1417" w:left="1417" w:header="709" w:footer="709" w:gutter="0"/>
          <w:cols w:space="708"/>
          <w:docGrid w:linePitch="360"/>
        </w:sectPr>
      </w:pPr>
    </w:p>
    <w:p w14:paraId="746E70C0" w14:textId="77777777" w:rsidR="0068216A" w:rsidRPr="004A3D85" w:rsidRDefault="0068216A" w:rsidP="004A3D85">
      <w:pPr>
        <w:jc w:val="both"/>
      </w:pPr>
    </w:p>
    <w:p w14:paraId="46027AD5" w14:textId="77777777" w:rsidR="002A5174" w:rsidRPr="004A3D85" w:rsidRDefault="002A5174" w:rsidP="004A3D85">
      <w:pPr>
        <w:jc w:val="both"/>
      </w:pPr>
    </w:p>
    <w:p w14:paraId="0D3D92B8" w14:textId="7CB5986C" w:rsidR="00A77E78" w:rsidRPr="004A3D85" w:rsidRDefault="00A77E78" w:rsidP="004A3D85">
      <w:pPr>
        <w:pStyle w:val="Nummering"/>
        <w:spacing w:after="0"/>
        <w:rPr>
          <w:szCs w:val="20"/>
          <w:lang w:val="nl-BE"/>
        </w:rPr>
      </w:pPr>
      <w:r w:rsidRPr="004A3D85">
        <w:rPr>
          <w:rFonts w:eastAsia="Verdana"/>
          <w:szCs w:val="20"/>
          <w:lang w:val="nl-BE"/>
        </w:rPr>
        <w:t>Bijlage 1 bevat een overzicht van de ingediende aanvragen voor de compensatiepremie</w:t>
      </w:r>
      <w:r w:rsidR="0028556A" w:rsidRPr="004A3D85">
        <w:rPr>
          <w:rFonts w:eastAsia="Verdana"/>
          <w:szCs w:val="20"/>
          <w:lang w:val="nl-BE"/>
        </w:rPr>
        <w:t>.</w:t>
      </w:r>
      <w:r w:rsidRPr="004A3D85">
        <w:rPr>
          <w:rFonts w:eastAsia="Verdana"/>
          <w:szCs w:val="20"/>
          <w:lang w:val="nl-BE"/>
        </w:rPr>
        <w:t xml:space="preserve"> </w:t>
      </w:r>
    </w:p>
    <w:p w14:paraId="5DA567BC" w14:textId="77777777" w:rsidR="004A3D85" w:rsidRPr="004A3D85" w:rsidRDefault="004A3D85" w:rsidP="004A3D85">
      <w:pPr>
        <w:pStyle w:val="Nummering"/>
        <w:numPr>
          <w:ilvl w:val="0"/>
          <w:numId w:val="0"/>
        </w:numPr>
        <w:spacing w:after="0"/>
        <w:ind w:left="425"/>
        <w:rPr>
          <w:szCs w:val="20"/>
          <w:lang w:val="nl-BE"/>
        </w:rPr>
      </w:pPr>
    </w:p>
    <w:p w14:paraId="0E325D10" w14:textId="2D8984EB" w:rsidR="00A77E78" w:rsidRPr="004A3D85" w:rsidRDefault="00A77E78" w:rsidP="004A3D85">
      <w:pPr>
        <w:pStyle w:val="Nummering"/>
        <w:spacing w:after="0"/>
        <w:rPr>
          <w:rFonts w:eastAsia="Verdana" w:cs="Verdana"/>
          <w:szCs w:val="20"/>
          <w:lang w:val="nl-BE"/>
        </w:rPr>
      </w:pPr>
      <w:r w:rsidRPr="004A3D85">
        <w:rPr>
          <w:rFonts w:eastAsia="Verdana"/>
          <w:szCs w:val="20"/>
          <w:lang w:val="nl-BE"/>
        </w:rPr>
        <w:t xml:space="preserve">Bijlage 2 bevat een overzicht van de uitbetaalde steun per type onderneming, provincie en sector. Onderstaande tabel bevat een globaal overzicht. </w:t>
      </w:r>
    </w:p>
    <w:p w14:paraId="3D28D57A" w14:textId="77777777" w:rsidR="00A77E78" w:rsidRPr="004A3D85" w:rsidRDefault="00A77E78" w:rsidP="004A3D85">
      <w:pPr>
        <w:pStyle w:val="Nummering"/>
        <w:numPr>
          <w:ilvl w:val="0"/>
          <w:numId w:val="0"/>
        </w:numPr>
        <w:spacing w:after="0"/>
        <w:ind w:left="425"/>
        <w:rPr>
          <w:rFonts w:eastAsia="Verdana" w:cs="Verdana"/>
          <w:szCs w:val="20"/>
          <w:lang w:val="nl-BE"/>
        </w:rPr>
      </w:pPr>
    </w:p>
    <w:tbl>
      <w:tblPr>
        <w:tblW w:w="9498" w:type="dxa"/>
        <w:tblCellMar>
          <w:left w:w="70" w:type="dxa"/>
          <w:right w:w="70" w:type="dxa"/>
        </w:tblCellMar>
        <w:tblLook w:val="04A0" w:firstRow="1" w:lastRow="0" w:firstColumn="1" w:lastColumn="0" w:noHBand="0" w:noVBand="1"/>
      </w:tblPr>
      <w:tblGrid>
        <w:gridCol w:w="5529"/>
        <w:gridCol w:w="2200"/>
        <w:gridCol w:w="1769"/>
      </w:tblGrid>
      <w:tr w:rsidR="00A77E78" w:rsidRPr="004A3D85" w14:paraId="7290F703" w14:textId="77777777" w:rsidTr="0034183D">
        <w:trPr>
          <w:trHeight w:val="290"/>
        </w:trPr>
        <w:tc>
          <w:tcPr>
            <w:tcW w:w="5529" w:type="dxa"/>
            <w:tcBorders>
              <w:top w:val="nil"/>
              <w:left w:val="nil"/>
              <w:bottom w:val="single" w:sz="4" w:space="0" w:color="8EA9DB"/>
              <w:right w:val="nil"/>
            </w:tcBorders>
            <w:shd w:val="clear" w:color="D9E1F2" w:fill="D9E1F2"/>
            <w:vAlign w:val="bottom"/>
            <w:hideMark/>
          </w:tcPr>
          <w:p w14:paraId="629278AB" w14:textId="77777777" w:rsidR="00A77E78" w:rsidRPr="004A3D85" w:rsidRDefault="00A77E78" w:rsidP="004A3D85">
            <w:pPr>
              <w:rPr>
                <w:rFonts w:cs="Calibri"/>
                <w:b/>
                <w:bCs/>
                <w:color w:val="000000"/>
              </w:rPr>
            </w:pPr>
            <w:bookmarkStart w:id="0" w:name="_Hlk56584747"/>
            <w:r w:rsidRPr="004A3D85">
              <w:rPr>
                <w:rFonts w:cs="Calibri"/>
                <w:b/>
                <w:bCs/>
                <w:color w:val="000000"/>
              </w:rPr>
              <w:t>Type onderneming</w:t>
            </w:r>
          </w:p>
        </w:tc>
        <w:tc>
          <w:tcPr>
            <w:tcW w:w="2200" w:type="dxa"/>
            <w:tcBorders>
              <w:top w:val="nil"/>
              <w:left w:val="nil"/>
              <w:bottom w:val="single" w:sz="4" w:space="0" w:color="8EA9DB"/>
              <w:right w:val="nil"/>
            </w:tcBorders>
            <w:shd w:val="clear" w:color="D9E1F2" w:fill="D9E1F2"/>
            <w:noWrap/>
            <w:vAlign w:val="bottom"/>
            <w:hideMark/>
          </w:tcPr>
          <w:p w14:paraId="282C1FAC" w14:textId="77777777" w:rsidR="00A77E78" w:rsidRPr="004A3D85" w:rsidRDefault="00A77E78" w:rsidP="004A3D85">
            <w:pPr>
              <w:rPr>
                <w:rFonts w:cs="Calibri"/>
                <w:b/>
                <w:bCs/>
                <w:color w:val="000000"/>
              </w:rPr>
            </w:pPr>
            <w:r w:rsidRPr="004A3D85">
              <w:rPr>
                <w:rFonts w:cs="Calibri"/>
                <w:b/>
                <w:bCs/>
                <w:color w:val="000000"/>
              </w:rPr>
              <w:t>Aantal goedgekeurde dossiers</w:t>
            </w:r>
          </w:p>
        </w:tc>
        <w:tc>
          <w:tcPr>
            <w:tcW w:w="1769" w:type="dxa"/>
            <w:tcBorders>
              <w:top w:val="nil"/>
              <w:left w:val="nil"/>
              <w:bottom w:val="single" w:sz="4" w:space="0" w:color="8EA9DB"/>
              <w:right w:val="nil"/>
            </w:tcBorders>
            <w:shd w:val="clear" w:color="D9E1F2" w:fill="D9E1F2"/>
            <w:noWrap/>
            <w:vAlign w:val="bottom"/>
            <w:hideMark/>
          </w:tcPr>
          <w:p w14:paraId="3FC7E45F" w14:textId="77777777" w:rsidR="00A77E78" w:rsidRPr="004A3D85" w:rsidRDefault="00A77E78" w:rsidP="004A3D85">
            <w:pPr>
              <w:rPr>
                <w:rFonts w:cs="Calibri"/>
                <w:b/>
                <w:bCs/>
                <w:color w:val="000000"/>
              </w:rPr>
            </w:pPr>
            <w:r w:rsidRPr="004A3D85">
              <w:rPr>
                <w:rFonts w:cs="Calibri"/>
                <w:b/>
                <w:bCs/>
                <w:color w:val="000000"/>
              </w:rPr>
              <w:t>Totaal uitbetaalde steun</w:t>
            </w:r>
          </w:p>
        </w:tc>
      </w:tr>
      <w:tr w:rsidR="00A77E78" w:rsidRPr="004A3D85" w14:paraId="2DA26F6D" w14:textId="77777777" w:rsidTr="0034183D">
        <w:trPr>
          <w:trHeight w:val="290"/>
        </w:trPr>
        <w:tc>
          <w:tcPr>
            <w:tcW w:w="5529" w:type="dxa"/>
            <w:tcBorders>
              <w:top w:val="nil"/>
              <w:left w:val="nil"/>
              <w:bottom w:val="single" w:sz="4" w:space="0" w:color="8EA9DB"/>
              <w:right w:val="nil"/>
            </w:tcBorders>
            <w:shd w:val="clear" w:color="auto" w:fill="auto"/>
            <w:vAlign w:val="bottom"/>
            <w:hideMark/>
          </w:tcPr>
          <w:p w14:paraId="3E611A83" w14:textId="77777777" w:rsidR="00A77E78" w:rsidRPr="004A3D85" w:rsidRDefault="00A77E78" w:rsidP="004A3D85">
            <w:pPr>
              <w:rPr>
                <w:rFonts w:cs="Calibri"/>
                <w:color w:val="000000"/>
              </w:rPr>
            </w:pPr>
            <w:r w:rsidRPr="004A3D85">
              <w:rPr>
                <w:rFonts w:cs="Calibri"/>
                <w:color w:val="000000"/>
              </w:rPr>
              <w:t>Zelfstandige in Hoofdberoep</w:t>
            </w:r>
          </w:p>
        </w:tc>
        <w:tc>
          <w:tcPr>
            <w:tcW w:w="2200" w:type="dxa"/>
            <w:tcBorders>
              <w:top w:val="nil"/>
              <w:left w:val="nil"/>
              <w:bottom w:val="single" w:sz="4" w:space="0" w:color="8EA9DB"/>
              <w:right w:val="nil"/>
            </w:tcBorders>
            <w:shd w:val="clear" w:color="auto" w:fill="auto"/>
            <w:noWrap/>
            <w:vAlign w:val="bottom"/>
            <w:hideMark/>
          </w:tcPr>
          <w:p w14:paraId="2E42E723" w14:textId="77777777" w:rsidR="00A77E78" w:rsidRPr="004A3D85" w:rsidRDefault="00A77E78" w:rsidP="004A3D85">
            <w:pPr>
              <w:jc w:val="right"/>
              <w:rPr>
                <w:rFonts w:cs="Calibri"/>
                <w:color w:val="000000"/>
              </w:rPr>
            </w:pPr>
            <w:r w:rsidRPr="004A3D85">
              <w:rPr>
                <w:rFonts w:cs="Calibri"/>
                <w:color w:val="000000"/>
              </w:rPr>
              <w:t>2784</w:t>
            </w:r>
          </w:p>
        </w:tc>
        <w:tc>
          <w:tcPr>
            <w:tcW w:w="1769" w:type="dxa"/>
            <w:tcBorders>
              <w:top w:val="nil"/>
              <w:left w:val="nil"/>
              <w:bottom w:val="single" w:sz="4" w:space="0" w:color="8EA9DB"/>
              <w:right w:val="nil"/>
            </w:tcBorders>
            <w:shd w:val="clear" w:color="auto" w:fill="auto"/>
            <w:noWrap/>
            <w:vAlign w:val="bottom"/>
            <w:hideMark/>
          </w:tcPr>
          <w:p w14:paraId="57A9F17F" w14:textId="77777777" w:rsidR="00A77E78" w:rsidRPr="004A3D85" w:rsidRDefault="00A77E78" w:rsidP="004A3D85">
            <w:pPr>
              <w:jc w:val="right"/>
              <w:rPr>
                <w:rFonts w:cs="Calibri"/>
                <w:color w:val="000000"/>
              </w:rPr>
            </w:pPr>
            <w:r w:rsidRPr="004A3D85">
              <w:rPr>
                <w:rFonts w:cs="Calibri"/>
                <w:color w:val="000000"/>
              </w:rPr>
              <w:t>8.368.500</w:t>
            </w:r>
          </w:p>
        </w:tc>
      </w:tr>
      <w:tr w:rsidR="00A77E78" w:rsidRPr="004A3D85" w14:paraId="309C8B04" w14:textId="77777777" w:rsidTr="0034183D">
        <w:trPr>
          <w:trHeight w:val="290"/>
        </w:trPr>
        <w:tc>
          <w:tcPr>
            <w:tcW w:w="5529" w:type="dxa"/>
            <w:tcBorders>
              <w:top w:val="nil"/>
              <w:left w:val="nil"/>
              <w:bottom w:val="single" w:sz="4" w:space="0" w:color="8EA9DB"/>
              <w:right w:val="nil"/>
            </w:tcBorders>
            <w:shd w:val="clear" w:color="auto" w:fill="auto"/>
            <w:vAlign w:val="bottom"/>
            <w:hideMark/>
          </w:tcPr>
          <w:p w14:paraId="4B997DB7" w14:textId="77777777" w:rsidR="00A77E78" w:rsidRPr="004A3D85" w:rsidRDefault="00A77E78" w:rsidP="004A3D85">
            <w:pPr>
              <w:rPr>
                <w:rFonts w:cs="Calibri"/>
                <w:color w:val="000000"/>
              </w:rPr>
            </w:pPr>
            <w:r w:rsidRPr="004A3D85">
              <w:rPr>
                <w:rFonts w:cs="Calibri"/>
                <w:color w:val="000000"/>
              </w:rPr>
              <w:t>Vennootschap</w:t>
            </w:r>
          </w:p>
        </w:tc>
        <w:tc>
          <w:tcPr>
            <w:tcW w:w="2200" w:type="dxa"/>
            <w:tcBorders>
              <w:top w:val="nil"/>
              <w:left w:val="nil"/>
              <w:bottom w:val="single" w:sz="4" w:space="0" w:color="8EA9DB"/>
              <w:right w:val="nil"/>
            </w:tcBorders>
            <w:shd w:val="clear" w:color="auto" w:fill="auto"/>
            <w:noWrap/>
            <w:vAlign w:val="bottom"/>
            <w:hideMark/>
          </w:tcPr>
          <w:p w14:paraId="5A78BC81" w14:textId="77777777" w:rsidR="00A77E78" w:rsidRPr="004A3D85" w:rsidRDefault="00A77E78" w:rsidP="004A3D85">
            <w:pPr>
              <w:jc w:val="right"/>
              <w:rPr>
                <w:rFonts w:cs="Calibri"/>
                <w:color w:val="000000"/>
              </w:rPr>
            </w:pPr>
            <w:r w:rsidRPr="004A3D85">
              <w:rPr>
                <w:rFonts w:cs="Calibri"/>
                <w:color w:val="000000"/>
              </w:rPr>
              <w:t>2914</w:t>
            </w:r>
          </w:p>
        </w:tc>
        <w:tc>
          <w:tcPr>
            <w:tcW w:w="1769" w:type="dxa"/>
            <w:tcBorders>
              <w:top w:val="nil"/>
              <w:left w:val="nil"/>
              <w:bottom w:val="single" w:sz="4" w:space="0" w:color="8EA9DB"/>
              <w:right w:val="nil"/>
            </w:tcBorders>
            <w:shd w:val="clear" w:color="auto" w:fill="auto"/>
            <w:noWrap/>
            <w:vAlign w:val="bottom"/>
            <w:hideMark/>
          </w:tcPr>
          <w:p w14:paraId="64E497B3" w14:textId="77777777" w:rsidR="00A77E78" w:rsidRPr="004A3D85" w:rsidRDefault="00A77E78" w:rsidP="004A3D85">
            <w:pPr>
              <w:jc w:val="right"/>
              <w:rPr>
                <w:rFonts w:cs="Calibri"/>
                <w:color w:val="000000"/>
              </w:rPr>
            </w:pPr>
            <w:r w:rsidRPr="004A3D85">
              <w:rPr>
                <w:rFonts w:cs="Calibri"/>
                <w:color w:val="000000"/>
              </w:rPr>
              <w:t>8.898.000</w:t>
            </w:r>
          </w:p>
        </w:tc>
      </w:tr>
      <w:tr w:rsidR="00A77E78" w:rsidRPr="004A3D85" w14:paraId="1BECEDE8" w14:textId="77777777" w:rsidTr="0034183D">
        <w:trPr>
          <w:trHeight w:val="290"/>
        </w:trPr>
        <w:tc>
          <w:tcPr>
            <w:tcW w:w="5529" w:type="dxa"/>
            <w:tcBorders>
              <w:top w:val="nil"/>
              <w:left w:val="nil"/>
              <w:bottom w:val="single" w:sz="4" w:space="0" w:color="8EA9DB"/>
              <w:right w:val="nil"/>
            </w:tcBorders>
            <w:shd w:val="clear" w:color="auto" w:fill="auto"/>
            <w:vAlign w:val="bottom"/>
            <w:hideMark/>
          </w:tcPr>
          <w:p w14:paraId="008DDBE5" w14:textId="77777777" w:rsidR="00A77E78" w:rsidRPr="004A3D85" w:rsidRDefault="00A77E78" w:rsidP="004A3D85">
            <w:pPr>
              <w:rPr>
                <w:rFonts w:cs="Calibri"/>
                <w:color w:val="000000"/>
              </w:rPr>
            </w:pPr>
            <w:r w:rsidRPr="004A3D85">
              <w:rPr>
                <w:rFonts w:cs="Calibri"/>
                <w:color w:val="000000"/>
              </w:rPr>
              <w:t>VZW</w:t>
            </w:r>
          </w:p>
        </w:tc>
        <w:tc>
          <w:tcPr>
            <w:tcW w:w="2200" w:type="dxa"/>
            <w:tcBorders>
              <w:top w:val="nil"/>
              <w:left w:val="nil"/>
              <w:bottom w:val="single" w:sz="4" w:space="0" w:color="8EA9DB"/>
              <w:right w:val="nil"/>
            </w:tcBorders>
            <w:shd w:val="clear" w:color="auto" w:fill="auto"/>
            <w:noWrap/>
            <w:vAlign w:val="bottom"/>
            <w:hideMark/>
          </w:tcPr>
          <w:p w14:paraId="5D397F96" w14:textId="77777777" w:rsidR="00A77E78" w:rsidRPr="004A3D85" w:rsidRDefault="00A77E78" w:rsidP="004A3D85">
            <w:pPr>
              <w:jc w:val="right"/>
              <w:rPr>
                <w:rFonts w:cs="Calibri"/>
                <w:color w:val="000000"/>
              </w:rPr>
            </w:pPr>
            <w:r w:rsidRPr="004A3D85">
              <w:rPr>
                <w:rFonts w:cs="Calibri"/>
                <w:color w:val="000000"/>
              </w:rPr>
              <w:t>82</w:t>
            </w:r>
          </w:p>
        </w:tc>
        <w:tc>
          <w:tcPr>
            <w:tcW w:w="1769" w:type="dxa"/>
            <w:tcBorders>
              <w:top w:val="nil"/>
              <w:left w:val="nil"/>
              <w:bottom w:val="single" w:sz="4" w:space="0" w:color="8EA9DB"/>
              <w:right w:val="nil"/>
            </w:tcBorders>
            <w:shd w:val="clear" w:color="auto" w:fill="auto"/>
            <w:noWrap/>
            <w:vAlign w:val="bottom"/>
            <w:hideMark/>
          </w:tcPr>
          <w:p w14:paraId="01E07B75" w14:textId="77777777" w:rsidR="00A77E78" w:rsidRPr="004A3D85" w:rsidRDefault="00A77E78" w:rsidP="004A3D85">
            <w:pPr>
              <w:jc w:val="right"/>
              <w:rPr>
                <w:rFonts w:cs="Calibri"/>
                <w:color w:val="000000"/>
              </w:rPr>
            </w:pPr>
            <w:r w:rsidRPr="004A3D85">
              <w:rPr>
                <w:rFonts w:cs="Calibri"/>
                <w:color w:val="000000"/>
              </w:rPr>
              <w:t>246.000</w:t>
            </w:r>
          </w:p>
        </w:tc>
      </w:tr>
      <w:tr w:rsidR="00A77E78" w:rsidRPr="004A3D85" w14:paraId="651FCE4F" w14:textId="77777777" w:rsidTr="0034183D">
        <w:trPr>
          <w:trHeight w:val="290"/>
        </w:trPr>
        <w:tc>
          <w:tcPr>
            <w:tcW w:w="5529" w:type="dxa"/>
            <w:tcBorders>
              <w:top w:val="nil"/>
              <w:left w:val="nil"/>
              <w:bottom w:val="single" w:sz="4" w:space="0" w:color="8EA9DB"/>
              <w:right w:val="nil"/>
            </w:tcBorders>
            <w:shd w:val="clear" w:color="auto" w:fill="auto"/>
            <w:vAlign w:val="bottom"/>
            <w:hideMark/>
          </w:tcPr>
          <w:p w14:paraId="6B6F8BD0" w14:textId="77777777" w:rsidR="00A77E78" w:rsidRPr="004A3D85" w:rsidRDefault="00A77E78" w:rsidP="004A3D85">
            <w:pPr>
              <w:rPr>
                <w:rFonts w:cs="Calibri"/>
                <w:color w:val="000000"/>
              </w:rPr>
            </w:pPr>
            <w:r w:rsidRPr="004A3D85">
              <w:rPr>
                <w:rFonts w:cs="Calibri"/>
                <w:color w:val="000000"/>
              </w:rPr>
              <w:t>Zelfstandige (Hoofd- of bijberoep niet geregistreerd)</w:t>
            </w:r>
          </w:p>
        </w:tc>
        <w:tc>
          <w:tcPr>
            <w:tcW w:w="2200" w:type="dxa"/>
            <w:tcBorders>
              <w:top w:val="nil"/>
              <w:left w:val="nil"/>
              <w:bottom w:val="single" w:sz="4" w:space="0" w:color="8EA9DB"/>
              <w:right w:val="nil"/>
            </w:tcBorders>
            <w:shd w:val="clear" w:color="auto" w:fill="auto"/>
            <w:noWrap/>
            <w:vAlign w:val="bottom"/>
            <w:hideMark/>
          </w:tcPr>
          <w:p w14:paraId="315393B0" w14:textId="77777777" w:rsidR="00A77E78" w:rsidRPr="004A3D85" w:rsidRDefault="00A77E78" w:rsidP="004A3D85">
            <w:pPr>
              <w:jc w:val="right"/>
              <w:rPr>
                <w:rFonts w:cs="Calibri"/>
                <w:color w:val="000000"/>
              </w:rPr>
            </w:pPr>
            <w:r w:rsidRPr="004A3D85">
              <w:rPr>
                <w:rFonts w:cs="Calibri"/>
                <w:color w:val="000000"/>
              </w:rPr>
              <w:t>2</w:t>
            </w:r>
          </w:p>
        </w:tc>
        <w:tc>
          <w:tcPr>
            <w:tcW w:w="1769" w:type="dxa"/>
            <w:tcBorders>
              <w:top w:val="nil"/>
              <w:left w:val="nil"/>
              <w:bottom w:val="single" w:sz="4" w:space="0" w:color="8EA9DB"/>
              <w:right w:val="nil"/>
            </w:tcBorders>
            <w:shd w:val="clear" w:color="auto" w:fill="auto"/>
            <w:noWrap/>
            <w:vAlign w:val="bottom"/>
            <w:hideMark/>
          </w:tcPr>
          <w:p w14:paraId="6E559AC8" w14:textId="77777777" w:rsidR="00A77E78" w:rsidRPr="004A3D85" w:rsidRDefault="00A77E78" w:rsidP="004A3D85">
            <w:pPr>
              <w:jc w:val="right"/>
              <w:rPr>
                <w:rFonts w:cs="Calibri"/>
                <w:color w:val="000000"/>
              </w:rPr>
            </w:pPr>
            <w:r w:rsidRPr="004A3D85">
              <w:rPr>
                <w:rFonts w:cs="Calibri"/>
                <w:color w:val="000000"/>
              </w:rPr>
              <w:t>6.000</w:t>
            </w:r>
          </w:p>
        </w:tc>
      </w:tr>
      <w:tr w:rsidR="00A77E78" w:rsidRPr="004A3D85" w14:paraId="1999A921" w14:textId="77777777" w:rsidTr="0034183D">
        <w:trPr>
          <w:trHeight w:val="580"/>
        </w:trPr>
        <w:tc>
          <w:tcPr>
            <w:tcW w:w="5529" w:type="dxa"/>
            <w:tcBorders>
              <w:top w:val="nil"/>
              <w:left w:val="nil"/>
              <w:bottom w:val="single" w:sz="4" w:space="0" w:color="8EA9DB"/>
              <w:right w:val="nil"/>
            </w:tcBorders>
            <w:shd w:val="clear" w:color="auto" w:fill="FFFFFF" w:themeFill="background1"/>
            <w:vAlign w:val="bottom"/>
            <w:hideMark/>
          </w:tcPr>
          <w:p w14:paraId="103A9D05" w14:textId="77777777" w:rsidR="00A77E78" w:rsidRPr="004A3D85" w:rsidRDefault="00A77E78" w:rsidP="004A3D85">
            <w:pPr>
              <w:rPr>
                <w:rFonts w:cs="Calibri"/>
                <w:color w:val="000000"/>
              </w:rPr>
            </w:pPr>
            <w:r w:rsidRPr="004A3D85">
              <w:rPr>
                <w:rFonts w:cs="Calibri"/>
                <w:color w:val="000000"/>
              </w:rPr>
              <w:t>Zelfstandige in bijberoep met een beroepsinkomen lager dan 6996,89 euro en geen loontrekkende voor meer dan 80% van een voltijdse functie,</w:t>
            </w:r>
          </w:p>
        </w:tc>
        <w:tc>
          <w:tcPr>
            <w:tcW w:w="2200" w:type="dxa"/>
            <w:tcBorders>
              <w:top w:val="nil"/>
              <w:left w:val="nil"/>
              <w:bottom w:val="single" w:sz="4" w:space="0" w:color="8EA9DB"/>
              <w:right w:val="nil"/>
            </w:tcBorders>
            <w:shd w:val="clear" w:color="auto" w:fill="FFFFFF" w:themeFill="background1"/>
            <w:noWrap/>
            <w:vAlign w:val="bottom"/>
            <w:hideMark/>
          </w:tcPr>
          <w:p w14:paraId="33A68702" w14:textId="77777777" w:rsidR="00A77E78" w:rsidRPr="004A3D85" w:rsidRDefault="00A77E78" w:rsidP="004A3D85">
            <w:pPr>
              <w:jc w:val="right"/>
              <w:rPr>
                <w:rFonts w:cs="Calibri"/>
                <w:color w:val="000000"/>
              </w:rPr>
            </w:pPr>
            <w:r w:rsidRPr="004A3D85">
              <w:rPr>
                <w:rFonts w:cs="Calibri"/>
                <w:color w:val="000000"/>
              </w:rPr>
              <w:t>151</w:t>
            </w:r>
          </w:p>
        </w:tc>
        <w:tc>
          <w:tcPr>
            <w:tcW w:w="1769" w:type="dxa"/>
            <w:tcBorders>
              <w:top w:val="nil"/>
              <w:left w:val="nil"/>
              <w:bottom w:val="single" w:sz="4" w:space="0" w:color="8EA9DB"/>
              <w:right w:val="nil"/>
            </w:tcBorders>
            <w:shd w:val="clear" w:color="auto" w:fill="FFFFFF" w:themeFill="background1"/>
            <w:noWrap/>
            <w:vAlign w:val="bottom"/>
            <w:hideMark/>
          </w:tcPr>
          <w:p w14:paraId="1696286D" w14:textId="77777777" w:rsidR="00A77E78" w:rsidRPr="004A3D85" w:rsidRDefault="00A77E78" w:rsidP="004A3D85">
            <w:pPr>
              <w:jc w:val="right"/>
              <w:rPr>
                <w:rFonts w:cs="Calibri"/>
                <w:color w:val="000000"/>
              </w:rPr>
            </w:pPr>
            <w:r w:rsidRPr="004A3D85">
              <w:rPr>
                <w:rFonts w:cs="Calibri"/>
                <w:color w:val="000000"/>
              </w:rPr>
              <w:t>232.500</w:t>
            </w:r>
          </w:p>
        </w:tc>
      </w:tr>
      <w:tr w:rsidR="00A77E78" w:rsidRPr="004A3D85" w14:paraId="13A071A9" w14:textId="77777777" w:rsidTr="0034183D">
        <w:trPr>
          <w:trHeight w:val="580"/>
        </w:trPr>
        <w:tc>
          <w:tcPr>
            <w:tcW w:w="5529" w:type="dxa"/>
            <w:tcBorders>
              <w:top w:val="nil"/>
              <w:left w:val="nil"/>
              <w:bottom w:val="single" w:sz="4" w:space="0" w:color="8EA9DB"/>
              <w:right w:val="nil"/>
            </w:tcBorders>
            <w:shd w:val="clear" w:color="auto" w:fill="auto"/>
            <w:vAlign w:val="bottom"/>
            <w:hideMark/>
          </w:tcPr>
          <w:p w14:paraId="36FA0E10" w14:textId="77777777" w:rsidR="00A77E78" w:rsidRPr="004A3D85" w:rsidRDefault="00A77E78" w:rsidP="004A3D85">
            <w:pPr>
              <w:rPr>
                <w:rFonts w:cs="Calibri"/>
                <w:color w:val="000000"/>
              </w:rPr>
            </w:pPr>
            <w:r w:rsidRPr="004A3D85">
              <w:rPr>
                <w:rFonts w:cs="Calibri"/>
                <w:color w:val="000000"/>
              </w:rPr>
              <w:t>Zelfstandige in bijberoep met een beroepsinkomen tussen 6996,89 euro en 13993,78 en geen betrekking als loontrekkende van minstens 80%,</w:t>
            </w:r>
          </w:p>
        </w:tc>
        <w:tc>
          <w:tcPr>
            <w:tcW w:w="2200" w:type="dxa"/>
            <w:tcBorders>
              <w:top w:val="nil"/>
              <w:left w:val="nil"/>
              <w:bottom w:val="single" w:sz="4" w:space="0" w:color="8EA9DB"/>
              <w:right w:val="nil"/>
            </w:tcBorders>
            <w:shd w:val="clear" w:color="auto" w:fill="auto"/>
            <w:noWrap/>
            <w:vAlign w:val="bottom"/>
            <w:hideMark/>
          </w:tcPr>
          <w:p w14:paraId="31FA42B2" w14:textId="77777777" w:rsidR="00A77E78" w:rsidRPr="004A3D85" w:rsidRDefault="00A77E78" w:rsidP="004A3D85">
            <w:pPr>
              <w:jc w:val="right"/>
              <w:rPr>
                <w:rFonts w:cs="Calibri"/>
                <w:color w:val="000000"/>
              </w:rPr>
            </w:pPr>
            <w:r w:rsidRPr="004A3D85">
              <w:rPr>
                <w:rFonts w:cs="Calibri"/>
                <w:color w:val="000000"/>
              </w:rPr>
              <w:t>336</w:t>
            </w:r>
          </w:p>
        </w:tc>
        <w:tc>
          <w:tcPr>
            <w:tcW w:w="1769" w:type="dxa"/>
            <w:tcBorders>
              <w:top w:val="nil"/>
              <w:left w:val="nil"/>
              <w:bottom w:val="single" w:sz="4" w:space="0" w:color="8EA9DB"/>
              <w:right w:val="nil"/>
            </w:tcBorders>
            <w:shd w:val="clear" w:color="auto" w:fill="auto"/>
            <w:noWrap/>
            <w:vAlign w:val="bottom"/>
            <w:hideMark/>
          </w:tcPr>
          <w:p w14:paraId="68DD7A0F" w14:textId="77777777" w:rsidR="00A77E78" w:rsidRPr="004A3D85" w:rsidRDefault="00A77E78" w:rsidP="004A3D85">
            <w:pPr>
              <w:jc w:val="right"/>
              <w:rPr>
                <w:rFonts w:cs="Calibri"/>
                <w:color w:val="000000"/>
              </w:rPr>
            </w:pPr>
            <w:r w:rsidRPr="004A3D85">
              <w:rPr>
                <w:rFonts w:cs="Calibri"/>
                <w:color w:val="000000"/>
              </w:rPr>
              <w:t>525.000</w:t>
            </w:r>
          </w:p>
        </w:tc>
      </w:tr>
      <w:tr w:rsidR="00A77E78" w:rsidRPr="004A3D85" w14:paraId="631E2E7A" w14:textId="77777777" w:rsidTr="0034183D">
        <w:trPr>
          <w:trHeight w:val="290"/>
        </w:trPr>
        <w:tc>
          <w:tcPr>
            <w:tcW w:w="5529" w:type="dxa"/>
            <w:tcBorders>
              <w:top w:val="nil"/>
              <w:left w:val="nil"/>
              <w:bottom w:val="single" w:sz="4" w:space="0" w:color="8EA9DB"/>
              <w:right w:val="nil"/>
            </w:tcBorders>
            <w:shd w:val="clear" w:color="auto" w:fill="auto"/>
            <w:vAlign w:val="bottom"/>
            <w:hideMark/>
          </w:tcPr>
          <w:p w14:paraId="0D351C91" w14:textId="77777777" w:rsidR="00A77E78" w:rsidRPr="004A3D85" w:rsidRDefault="00A77E78" w:rsidP="004A3D85">
            <w:pPr>
              <w:rPr>
                <w:rFonts w:cs="Calibri"/>
                <w:color w:val="000000"/>
              </w:rPr>
            </w:pPr>
            <w:r w:rsidRPr="004A3D85">
              <w:rPr>
                <w:rFonts w:cs="Calibri"/>
                <w:color w:val="000000"/>
              </w:rPr>
              <w:t>Zelfstandige in bijberoep met een beroepsinkomen van minstens 13993,78 euro</w:t>
            </w:r>
          </w:p>
        </w:tc>
        <w:tc>
          <w:tcPr>
            <w:tcW w:w="2200" w:type="dxa"/>
            <w:tcBorders>
              <w:top w:val="nil"/>
              <w:left w:val="nil"/>
              <w:bottom w:val="single" w:sz="4" w:space="0" w:color="8EA9DB"/>
              <w:right w:val="nil"/>
            </w:tcBorders>
            <w:shd w:val="clear" w:color="auto" w:fill="auto"/>
            <w:noWrap/>
            <w:vAlign w:val="bottom"/>
            <w:hideMark/>
          </w:tcPr>
          <w:p w14:paraId="499594AE" w14:textId="77777777" w:rsidR="00A77E78" w:rsidRPr="004A3D85" w:rsidRDefault="00A77E78" w:rsidP="004A3D85">
            <w:pPr>
              <w:jc w:val="right"/>
              <w:rPr>
                <w:rFonts w:cs="Calibri"/>
                <w:color w:val="000000"/>
              </w:rPr>
            </w:pPr>
            <w:r w:rsidRPr="004A3D85">
              <w:rPr>
                <w:rFonts w:cs="Calibri"/>
                <w:color w:val="000000"/>
              </w:rPr>
              <w:t>238</w:t>
            </w:r>
          </w:p>
        </w:tc>
        <w:tc>
          <w:tcPr>
            <w:tcW w:w="1769" w:type="dxa"/>
            <w:tcBorders>
              <w:top w:val="nil"/>
              <w:left w:val="nil"/>
              <w:bottom w:val="single" w:sz="4" w:space="0" w:color="8EA9DB"/>
              <w:right w:val="nil"/>
            </w:tcBorders>
            <w:shd w:val="clear" w:color="auto" w:fill="auto"/>
            <w:noWrap/>
            <w:vAlign w:val="bottom"/>
            <w:hideMark/>
          </w:tcPr>
          <w:p w14:paraId="0A75C549" w14:textId="77777777" w:rsidR="00A77E78" w:rsidRPr="004A3D85" w:rsidRDefault="00A77E78" w:rsidP="004A3D85">
            <w:pPr>
              <w:jc w:val="right"/>
              <w:rPr>
                <w:rFonts w:cs="Calibri"/>
                <w:color w:val="000000"/>
              </w:rPr>
            </w:pPr>
            <w:r w:rsidRPr="004A3D85">
              <w:rPr>
                <w:rFonts w:cs="Calibri"/>
                <w:color w:val="000000"/>
              </w:rPr>
              <w:t>705.000</w:t>
            </w:r>
          </w:p>
        </w:tc>
      </w:tr>
      <w:tr w:rsidR="00A77E78" w:rsidRPr="004A3D85" w14:paraId="7A06FAC7" w14:textId="77777777" w:rsidTr="0034183D">
        <w:trPr>
          <w:trHeight w:val="290"/>
        </w:trPr>
        <w:tc>
          <w:tcPr>
            <w:tcW w:w="5529" w:type="dxa"/>
            <w:tcBorders>
              <w:top w:val="single" w:sz="4" w:space="0" w:color="8EA9DB"/>
              <w:left w:val="nil"/>
              <w:bottom w:val="nil"/>
              <w:right w:val="nil"/>
            </w:tcBorders>
            <w:shd w:val="clear" w:color="D9E1F2" w:fill="D9E1F2"/>
            <w:vAlign w:val="bottom"/>
            <w:hideMark/>
          </w:tcPr>
          <w:p w14:paraId="17E9D790" w14:textId="77777777" w:rsidR="00A77E78" w:rsidRPr="004A3D85" w:rsidRDefault="00A77E78" w:rsidP="004A3D85">
            <w:pPr>
              <w:rPr>
                <w:rFonts w:cs="Calibri"/>
                <w:b/>
                <w:bCs/>
                <w:color w:val="000000"/>
              </w:rPr>
            </w:pPr>
            <w:r w:rsidRPr="004A3D85">
              <w:rPr>
                <w:rFonts w:cs="Calibri"/>
                <w:b/>
                <w:bCs/>
                <w:color w:val="000000"/>
              </w:rPr>
              <w:t>Eindtotaal</w:t>
            </w:r>
          </w:p>
        </w:tc>
        <w:tc>
          <w:tcPr>
            <w:tcW w:w="2200" w:type="dxa"/>
            <w:tcBorders>
              <w:top w:val="single" w:sz="4" w:space="0" w:color="8EA9DB"/>
              <w:left w:val="nil"/>
              <w:bottom w:val="nil"/>
              <w:right w:val="nil"/>
            </w:tcBorders>
            <w:shd w:val="clear" w:color="D9E1F2" w:fill="D9E1F2"/>
            <w:noWrap/>
            <w:vAlign w:val="bottom"/>
            <w:hideMark/>
          </w:tcPr>
          <w:p w14:paraId="00FF6F9B" w14:textId="77777777" w:rsidR="00A77E78" w:rsidRPr="004A3D85" w:rsidRDefault="00A77E78" w:rsidP="004A3D85">
            <w:pPr>
              <w:jc w:val="right"/>
              <w:rPr>
                <w:rFonts w:cs="Calibri"/>
                <w:b/>
                <w:bCs/>
                <w:color w:val="000000"/>
              </w:rPr>
            </w:pPr>
            <w:r w:rsidRPr="004A3D85">
              <w:rPr>
                <w:rFonts w:cs="Calibri"/>
                <w:b/>
                <w:bCs/>
                <w:color w:val="000000"/>
              </w:rPr>
              <w:t>6507</w:t>
            </w:r>
          </w:p>
        </w:tc>
        <w:tc>
          <w:tcPr>
            <w:tcW w:w="1769" w:type="dxa"/>
            <w:tcBorders>
              <w:top w:val="single" w:sz="4" w:space="0" w:color="8EA9DB"/>
              <w:left w:val="nil"/>
              <w:bottom w:val="nil"/>
              <w:right w:val="nil"/>
            </w:tcBorders>
            <w:shd w:val="clear" w:color="D9E1F2" w:fill="D9E1F2"/>
            <w:noWrap/>
            <w:vAlign w:val="bottom"/>
            <w:hideMark/>
          </w:tcPr>
          <w:p w14:paraId="62693AF0" w14:textId="77777777" w:rsidR="00A77E78" w:rsidRPr="004A3D85" w:rsidRDefault="00A77E78" w:rsidP="004A3D85">
            <w:pPr>
              <w:jc w:val="right"/>
              <w:rPr>
                <w:rFonts w:cs="Calibri"/>
                <w:b/>
                <w:bCs/>
                <w:color w:val="000000"/>
              </w:rPr>
            </w:pPr>
            <w:r w:rsidRPr="004A3D85">
              <w:rPr>
                <w:rFonts w:cs="Calibri"/>
                <w:b/>
                <w:bCs/>
                <w:color w:val="000000"/>
              </w:rPr>
              <w:t>18.981.000</w:t>
            </w:r>
          </w:p>
        </w:tc>
      </w:tr>
    </w:tbl>
    <w:bookmarkEnd w:id="0"/>
    <w:p w14:paraId="78CF97AE" w14:textId="77777777" w:rsidR="00A77E78" w:rsidRPr="004A3D85" w:rsidRDefault="00A77E78" w:rsidP="004A3D85">
      <w:pPr>
        <w:rPr>
          <w:color w:val="365F91" w:themeColor="accent1" w:themeShade="BF"/>
        </w:rPr>
      </w:pPr>
      <w:r w:rsidRPr="004A3D85">
        <w:rPr>
          <w:color w:val="365F91" w:themeColor="accent1" w:themeShade="BF"/>
        </w:rPr>
        <w:t>Noot: De categorisering naar type onderneming gebeurt op basis van het type onderneming zoals opgenomen in de online aanvraag. Indien bij dossierbehandeling blijkt dat bepaalde ondernemingen verkeerdelijk steun aangevraagd hebben onder de categorie “Zelfstandige (Hoofd- of bijberoep niet geregistreerd)” of “Zelfstandige in bijberoep met een beroepsinkomen lager dan 6996,89 euro en geen loontrekkende voor meer dan 80% van een voltijdse functie” wordt alsnog steun toegekend.</w:t>
      </w:r>
    </w:p>
    <w:p w14:paraId="0A06BC5D" w14:textId="77777777" w:rsidR="00A77E78" w:rsidRPr="004A3D85" w:rsidRDefault="00A77E78" w:rsidP="004A3D85">
      <w:pPr>
        <w:pStyle w:val="Nummering"/>
        <w:numPr>
          <w:ilvl w:val="0"/>
          <w:numId w:val="0"/>
        </w:numPr>
        <w:spacing w:after="0"/>
        <w:ind w:left="425"/>
        <w:rPr>
          <w:szCs w:val="20"/>
          <w:lang w:val="nl-BE"/>
        </w:rPr>
      </w:pPr>
    </w:p>
    <w:p w14:paraId="3F74F747" w14:textId="77777777" w:rsidR="00A77E78" w:rsidRPr="004A3D85" w:rsidRDefault="00A77E78" w:rsidP="004A3D85">
      <w:pPr>
        <w:pStyle w:val="Nummering"/>
        <w:spacing w:after="0"/>
        <w:rPr>
          <w:rFonts w:eastAsia="Verdana" w:cs="Verdana"/>
          <w:szCs w:val="20"/>
          <w:lang w:val="nl-BE"/>
        </w:rPr>
      </w:pPr>
      <w:r w:rsidRPr="004A3D85">
        <w:rPr>
          <w:rFonts w:eastAsia="Verdana" w:cs="Verdana"/>
          <w:szCs w:val="20"/>
          <w:lang w:val="nl-BE"/>
        </w:rPr>
        <w:t>In totaal werden 340 aanvragen geweigerd. Hiervan waren er 192 weigeringen omwille van het zelfstandigheidsstatuut van de zelfstandige in bijberoep; namelijk zelfstandigen in bijberoep met een beroepsinkomen lager dan 6996,89 euro en geen loontrekkende voor meer dan 80% van een voltijdse functie komen niet in aanmerking voor steun.</w:t>
      </w:r>
    </w:p>
    <w:p w14:paraId="07D3AD34" w14:textId="77777777" w:rsidR="004A3D85" w:rsidRDefault="004A3D85" w:rsidP="004A3D85">
      <w:pPr>
        <w:ind w:left="425"/>
        <w:jc w:val="both"/>
        <w:rPr>
          <w:rFonts w:eastAsia="Verdana" w:cs="Verdana"/>
        </w:rPr>
      </w:pPr>
    </w:p>
    <w:p w14:paraId="053F412D" w14:textId="04B3FBE8" w:rsidR="00A77E78" w:rsidRPr="004A3D85" w:rsidRDefault="00A77E78" w:rsidP="004A3D85">
      <w:pPr>
        <w:ind w:left="425"/>
        <w:jc w:val="both"/>
        <w:rPr>
          <w:rFonts w:eastAsia="Verdana" w:cs="Verdana"/>
        </w:rPr>
      </w:pPr>
      <w:r w:rsidRPr="004A3D85">
        <w:rPr>
          <w:rFonts w:eastAsia="Verdana" w:cs="Verdana"/>
        </w:rPr>
        <w:t>De overige aanvragen werden veelal geweigerd omdat er onvoldoende werd aangetoond dat hun omzetdaling het gevolg is van de exploitatiebeperkingen omwille van de coronavirusmaatregelen.</w:t>
      </w:r>
    </w:p>
    <w:p w14:paraId="7D8547CA" w14:textId="77777777" w:rsidR="004A3D85" w:rsidRDefault="004A3D85" w:rsidP="004A3D85">
      <w:pPr>
        <w:ind w:left="425"/>
        <w:rPr>
          <w:rFonts w:eastAsia="Verdana" w:cs="Verdana"/>
        </w:rPr>
      </w:pPr>
    </w:p>
    <w:p w14:paraId="66B421C7" w14:textId="5EA86706" w:rsidR="00A77E78" w:rsidRPr="004A3D85" w:rsidRDefault="00A77E78" w:rsidP="004A3D85">
      <w:pPr>
        <w:ind w:left="425"/>
        <w:rPr>
          <w:rFonts w:eastAsia="Verdana" w:cs="Verdana"/>
        </w:rPr>
      </w:pPr>
      <w:r w:rsidRPr="004A3D85">
        <w:rPr>
          <w:rFonts w:eastAsia="Verdana" w:cs="Verdana"/>
        </w:rPr>
        <w:t>Bijlage 3 bevat een overzicht van de geweigerde aanvragen.</w:t>
      </w:r>
    </w:p>
    <w:p w14:paraId="04202652" w14:textId="77777777" w:rsidR="00A77E78" w:rsidRPr="004A3D85" w:rsidRDefault="00A77E78" w:rsidP="004A3D85">
      <w:pPr>
        <w:pStyle w:val="Nummering"/>
        <w:numPr>
          <w:ilvl w:val="0"/>
          <w:numId w:val="0"/>
        </w:numPr>
        <w:spacing w:after="0"/>
        <w:ind w:left="425"/>
        <w:rPr>
          <w:szCs w:val="20"/>
          <w:lang w:val="nl-BE"/>
        </w:rPr>
      </w:pPr>
    </w:p>
    <w:p w14:paraId="606AC1AC" w14:textId="77777777" w:rsidR="00A77E78" w:rsidRPr="004A3D85" w:rsidRDefault="00A77E78" w:rsidP="004A3D85">
      <w:pPr>
        <w:pStyle w:val="Nummering"/>
        <w:spacing w:after="0"/>
        <w:rPr>
          <w:szCs w:val="20"/>
          <w:lang w:val="nl-BE"/>
        </w:rPr>
      </w:pPr>
      <w:r w:rsidRPr="004A3D85">
        <w:rPr>
          <w:rFonts w:eastAsia="Verdana" w:cs="Verdana"/>
          <w:szCs w:val="20"/>
          <w:lang w:val="nl-NL"/>
        </w:rPr>
        <w:t>Op dit moment is er voor 72.000 euro steun teruggevorderd in 48 dossiers. Nagenoeg alle terugvorderingen waren te wijten aan het niet voldoen aan de voorwaarden van zelfstandigheidsstatuut van de zelfstandige in bijberoep.</w:t>
      </w:r>
    </w:p>
    <w:p w14:paraId="7A94D1ED" w14:textId="77777777" w:rsidR="00A77E78" w:rsidRPr="004A3D85" w:rsidRDefault="00A77E78" w:rsidP="004A3D85">
      <w:pPr>
        <w:pStyle w:val="Nummering"/>
        <w:numPr>
          <w:ilvl w:val="0"/>
          <w:numId w:val="0"/>
        </w:numPr>
        <w:spacing w:after="0"/>
        <w:ind w:left="425"/>
        <w:rPr>
          <w:rFonts w:eastAsia="Verdana" w:cs="Verdana"/>
          <w:szCs w:val="20"/>
          <w:lang w:val="nl-NL"/>
        </w:rPr>
      </w:pPr>
    </w:p>
    <w:p w14:paraId="3A466743" w14:textId="4E5DEF59" w:rsidR="00A77E78" w:rsidRPr="004A3D85" w:rsidRDefault="00A77E78" w:rsidP="004A3D85">
      <w:pPr>
        <w:pStyle w:val="Nummering"/>
        <w:numPr>
          <w:ilvl w:val="0"/>
          <w:numId w:val="0"/>
        </w:numPr>
        <w:spacing w:after="0"/>
        <w:ind w:left="425"/>
        <w:rPr>
          <w:rFonts w:eastAsia="Verdana" w:cs="Verdana"/>
          <w:szCs w:val="20"/>
          <w:lang w:val="nl-NL"/>
        </w:rPr>
      </w:pPr>
      <w:r w:rsidRPr="004A3D85">
        <w:rPr>
          <w:rFonts w:eastAsia="Verdana" w:cs="Verdana"/>
          <w:szCs w:val="20"/>
          <w:lang w:val="nl-NL"/>
        </w:rPr>
        <w:lastRenderedPageBreak/>
        <w:t xml:space="preserve">Weldra starten de controles door de inspectiedienst van VLAIO waarbij op basis van btw-gegevens verstrekt door de FOD Financiën zal nagegaan worden of de omzetdaling van minstens 60% in de periode van 14 maart tot 30 april 2020 </w:t>
      </w:r>
      <w:r w:rsidR="004A3D85" w:rsidRPr="004A3D85">
        <w:rPr>
          <w:rFonts w:eastAsia="Verdana" w:cs="Verdana"/>
          <w:szCs w:val="20"/>
          <w:lang w:val="nl-NL"/>
        </w:rPr>
        <w:t>t.o.v.</w:t>
      </w:r>
      <w:r w:rsidRPr="004A3D85">
        <w:rPr>
          <w:rFonts w:eastAsia="Verdana" w:cs="Verdana"/>
          <w:szCs w:val="20"/>
          <w:lang w:val="nl-NL"/>
        </w:rPr>
        <w:t xml:space="preserve"> de periode van 14 maart tot 30 april 2019 effectief behaald werd.</w:t>
      </w:r>
    </w:p>
    <w:p w14:paraId="39F43A0D" w14:textId="77777777" w:rsidR="00A77E78" w:rsidRPr="004A3D85" w:rsidRDefault="00A77E78" w:rsidP="004A3D85">
      <w:pPr>
        <w:pStyle w:val="Nummering"/>
        <w:numPr>
          <w:ilvl w:val="0"/>
          <w:numId w:val="0"/>
        </w:numPr>
        <w:spacing w:after="0"/>
        <w:ind w:left="425"/>
        <w:rPr>
          <w:rFonts w:eastAsia="Verdana" w:cs="Verdana"/>
          <w:szCs w:val="20"/>
          <w:lang w:val="nl-NL"/>
        </w:rPr>
      </w:pPr>
    </w:p>
    <w:p w14:paraId="6963CDDA" w14:textId="77777777" w:rsidR="00A77E78" w:rsidRPr="004A3D85" w:rsidRDefault="00A77E78" w:rsidP="004A3D85">
      <w:pPr>
        <w:pStyle w:val="Nummering"/>
        <w:numPr>
          <w:ilvl w:val="0"/>
          <w:numId w:val="0"/>
        </w:numPr>
        <w:spacing w:after="0"/>
        <w:ind w:left="425"/>
        <w:rPr>
          <w:rFonts w:eastAsia="Verdana" w:cs="Verdana"/>
          <w:szCs w:val="20"/>
          <w:lang w:val="nl-NL"/>
        </w:rPr>
      </w:pPr>
      <w:r w:rsidRPr="004A3D85">
        <w:rPr>
          <w:rFonts w:eastAsia="Verdana" w:cs="Verdana"/>
          <w:szCs w:val="20"/>
          <w:lang w:val="nl-NL"/>
        </w:rPr>
        <w:t>Bijlage 4 bevat een overzicht van de terugvorderingen.</w:t>
      </w:r>
    </w:p>
    <w:p w14:paraId="1EA85E52" w14:textId="77777777" w:rsidR="00A77E78" w:rsidRPr="004A3D85" w:rsidRDefault="00A77E78" w:rsidP="004A3D85">
      <w:pPr>
        <w:rPr>
          <w:rFonts w:eastAsia="Verdana"/>
        </w:rPr>
      </w:pPr>
    </w:p>
    <w:p w14:paraId="3C373732" w14:textId="77777777" w:rsidR="00A77E78" w:rsidRPr="004A3D85" w:rsidRDefault="00A77E78" w:rsidP="004A3D85">
      <w:pPr>
        <w:pStyle w:val="Nummering"/>
        <w:spacing w:after="0"/>
        <w:rPr>
          <w:szCs w:val="20"/>
          <w:lang w:val="nl-BE"/>
        </w:rPr>
      </w:pPr>
      <w:r w:rsidRPr="004A3D85">
        <w:rPr>
          <w:rFonts w:eastAsia="Verdana"/>
          <w:szCs w:val="20"/>
          <w:lang w:val="nl-BE"/>
        </w:rPr>
        <w:t>Vanuit de corona compensatiepremie werd een cumulverbod opgelegd met volgende maatregelen:</w:t>
      </w:r>
    </w:p>
    <w:p w14:paraId="2D4D56FA" w14:textId="5786EC3B" w:rsidR="00A77E78" w:rsidRPr="004A3D85" w:rsidRDefault="00A77E78" w:rsidP="004A3D85">
      <w:pPr>
        <w:pStyle w:val="Nummering"/>
        <w:numPr>
          <w:ilvl w:val="0"/>
          <w:numId w:val="16"/>
        </w:numPr>
        <w:spacing w:after="0"/>
        <w:rPr>
          <w:rFonts w:eastAsia="Verdana"/>
          <w:szCs w:val="20"/>
          <w:lang w:val="nl-BE"/>
        </w:rPr>
      </w:pPr>
      <w:r w:rsidRPr="004A3D85">
        <w:rPr>
          <w:rFonts w:eastAsia="Verdana"/>
          <w:szCs w:val="20"/>
          <w:lang w:val="nl-BE"/>
        </w:rPr>
        <w:t>de corona hinderpremie</w:t>
      </w:r>
      <w:r w:rsidR="001E7BA9" w:rsidRPr="004A3D85">
        <w:rPr>
          <w:rFonts w:eastAsia="Verdana"/>
          <w:szCs w:val="20"/>
          <w:lang w:val="nl-BE"/>
        </w:rPr>
        <w:t>;</w:t>
      </w:r>
    </w:p>
    <w:p w14:paraId="0B0E782F" w14:textId="6E216C12" w:rsidR="00A77E78" w:rsidRPr="004A3D85" w:rsidRDefault="00A77E78" w:rsidP="004A3D85">
      <w:pPr>
        <w:pStyle w:val="Nummering"/>
        <w:numPr>
          <w:ilvl w:val="0"/>
          <w:numId w:val="16"/>
        </w:numPr>
        <w:spacing w:after="0"/>
        <w:rPr>
          <w:rFonts w:eastAsia="Verdana"/>
          <w:szCs w:val="20"/>
          <w:lang w:val="nl-BE"/>
        </w:rPr>
      </w:pPr>
      <w:r w:rsidRPr="004A3D85">
        <w:rPr>
          <w:rFonts w:eastAsia="Verdana"/>
          <w:szCs w:val="20"/>
          <w:lang w:val="nl-BE"/>
        </w:rPr>
        <w:t>achtergestelde leningen in het kader van de coronavirusmaatregelen bij PMV vanaf 75.000 euro</w:t>
      </w:r>
      <w:r w:rsidR="001E7BA9" w:rsidRPr="004A3D85">
        <w:rPr>
          <w:rFonts w:eastAsia="Verdana"/>
          <w:szCs w:val="20"/>
          <w:lang w:val="nl-BE"/>
        </w:rPr>
        <w:t>;</w:t>
      </w:r>
    </w:p>
    <w:p w14:paraId="452561DD" w14:textId="133BEA2C" w:rsidR="00A77E78" w:rsidRPr="004A3D85" w:rsidRDefault="00A77E78" w:rsidP="004A3D85">
      <w:pPr>
        <w:pStyle w:val="Nummering"/>
        <w:numPr>
          <w:ilvl w:val="0"/>
          <w:numId w:val="16"/>
        </w:numPr>
        <w:spacing w:after="0"/>
        <w:rPr>
          <w:rFonts w:eastAsia="Verdana"/>
          <w:szCs w:val="20"/>
          <w:lang w:val="nl-BE"/>
        </w:rPr>
      </w:pPr>
      <w:r w:rsidRPr="004A3D85">
        <w:rPr>
          <w:rFonts w:eastAsia="Verdana"/>
          <w:szCs w:val="20"/>
          <w:lang w:val="nl-BE"/>
        </w:rPr>
        <w:t xml:space="preserve">de </w:t>
      </w:r>
      <w:proofErr w:type="spellStart"/>
      <w:r w:rsidRPr="004A3D85">
        <w:rPr>
          <w:rFonts w:eastAsia="Verdana"/>
          <w:szCs w:val="20"/>
          <w:lang w:val="nl-BE"/>
        </w:rPr>
        <w:t>gigarantwaarborg</w:t>
      </w:r>
      <w:proofErr w:type="spellEnd"/>
      <w:r w:rsidRPr="004A3D85">
        <w:rPr>
          <w:rFonts w:eastAsia="Verdana"/>
          <w:szCs w:val="20"/>
          <w:lang w:val="nl-BE"/>
        </w:rPr>
        <w:t xml:space="preserve"> verleend door PMV ten gevolge van de coronavirusmaatregelen</w:t>
      </w:r>
      <w:r w:rsidR="001E7BA9" w:rsidRPr="004A3D85">
        <w:rPr>
          <w:rFonts w:eastAsia="Verdana"/>
          <w:szCs w:val="20"/>
          <w:lang w:val="nl-BE"/>
        </w:rPr>
        <w:t>;</w:t>
      </w:r>
    </w:p>
    <w:p w14:paraId="46283D5E" w14:textId="77777777" w:rsidR="00A77E78" w:rsidRPr="004A3D85" w:rsidRDefault="00A77E78" w:rsidP="004A3D85">
      <w:pPr>
        <w:pStyle w:val="Nummering"/>
        <w:numPr>
          <w:ilvl w:val="0"/>
          <w:numId w:val="16"/>
        </w:numPr>
        <w:spacing w:after="0"/>
        <w:rPr>
          <w:rFonts w:eastAsia="Verdana"/>
          <w:szCs w:val="20"/>
          <w:lang w:val="nl-BE"/>
        </w:rPr>
      </w:pPr>
      <w:r w:rsidRPr="004A3D85">
        <w:rPr>
          <w:rFonts w:eastAsia="Verdana"/>
          <w:szCs w:val="20"/>
          <w:lang w:val="nl-BE"/>
        </w:rPr>
        <w:t>de sluitingspremie ingevolge hinder openbare werken voor de periode van 14 maart 2020 tot 30 april 2020.</w:t>
      </w:r>
    </w:p>
    <w:p w14:paraId="10C71013" w14:textId="7D1FFED3" w:rsidR="00A77E78" w:rsidRDefault="00A77E78" w:rsidP="004A3D85">
      <w:pPr>
        <w:jc w:val="both"/>
      </w:pPr>
    </w:p>
    <w:p w14:paraId="4F7FDAF7" w14:textId="77777777" w:rsidR="004A3D85" w:rsidRPr="004A3D85" w:rsidRDefault="004A3D85" w:rsidP="004A3D85">
      <w:pPr>
        <w:jc w:val="both"/>
      </w:pPr>
    </w:p>
    <w:p w14:paraId="3FC062F9" w14:textId="4B9A1BA9" w:rsidR="00A77E78" w:rsidRPr="004A3D85" w:rsidRDefault="00A77E78" w:rsidP="004A3D85">
      <w:pPr>
        <w:pStyle w:val="Lijstalinea"/>
        <w:ind w:left="0"/>
        <w:jc w:val="both"/>
        <w:rPr>
          <w:rFonts w:ascii="Verdana" w:hAnsi="Verdana"/>
          <w:b/>
          <w:bCs/>
          <w:color w:val="FF0000"/>
          <w:sz w:val="20"/>
          <w:szCs w:val="20"/>
        </w:rPr>
      </w:pPr>
      <w:r w:rsidRPr="004A3D85">
        <w:rPr>
          <w:rFonts w:ascii="Verdana" w:hAnsi="Verdana"/>
          <w:b/>
          <w:bCs/>
          <w:smallCaps/>
          <w:color w:val="FF0000"/>
          <w:sz w:val="20"/>
          <w:szCs w:val="20"/>
          <w:u w:val="single"/>
        </w:rPr>
        <w:t>bijlagen</w:t>
      </w:r>
      <w:r w:rsidRPr="004A3D85">
        <w:rPr>
          <w:rFonts w:ascii="Verdana" w:hAnsi="Verdana"/>
          <w:b/>
          <w:bCs/>
          <w:smallCaps/>
          <w:color w:val="FF0000"/>
          <w:sz w:val="20"/>
          <w:szCs w:val="20"/>
        </w:rPr>
        <w:t xml:space="preserve"> </w:t>
      </w:r>
    </w:p>
    <w:p w14:paraId="72234D80" w14:textId="77777777" w:rsidR="004A3D85" w:rsidRPr="004A3D85" w:rsidRDefault="004A3D85" w:rsidP="004A3D85">
      <w:pPr>
        <w:pStyle w:val="Lijstalinea"/>
        <w:ind w:left="426"/>
        <w:jc w:val="both"/>
        <w:rPr>
          <w:rFonts w:ascii="Verdana" w:hAnsi="Verdana"/>
          <w:sz w:val="20"/>
          <w:szCs w:val="20"/>
        </w:rPr>
      </w:pPr>
    </w:p>
    <w:p w14:paraId="52A1BB87" w14:textId="36D9C3F1" w:rsidR="00A77E78" w:rsidRPr="004A3D85" w:rsidRDefault="005C474C" w:rsidP="004A3D85">
      <w:pPr>
        <w:pStyle w:val="Lijstalinea"/>
        <w:numPr>
          <w:ilvl w:val="0"/>
          <w:numId w:val="11"/>
        </w:numPr>
        <w:ind w:left="426" w:hanging="426"/>
        <w:jc w:val="both"/>
        <w:rPr>
          <w:rFonts w:ascii="Verdana" w:hAnsi="Verdana"/>
          <w:sz w:val="20"/>
          <w:szCs w:val="20"/>
        </w:rPr>
      </w:pPr>
      <w:hyperlink r:id="rId12" w:history="1">
        <w:r w:rsidR="00A77E78" w:rsidRPr="005C474C">
          <w:rPr>
            <w:rStyle w:val="Hyperlink"/>
            <w:rFonts w:ascii="Verdana" w:hAnsi="Verdana"/>
            <w:sz w:val="20"/>
            <w:szCs w:val="20"/>
          </w:rPr>
          <w:t>Overzicht toegekende steun</w:t>
        </w:r>
      </w:hyperlink>
    </w:p>
    <w:p w14:paraId="21A4186A" w14:textId="75CF1B1B" w:rsidR="00A77E78" w:rsidRPr="004A3D85" w:rsidRDefault="00237238" w:rsidP="004A3D85">
      <w:pPr>
        <w:pStyle w:val="Lijstalinea"/>
        <w:numPr>
          <w:ilvl w:val="0"/>
          <w:numId w:val="11"/>
        </w:numPr>
        <w:ind w:left="426" w:hanging="426"/>
        <w:jc w:val="both"/>
        <w:rPr>
          <w:rFonts w:ascii="Verdana" w:hAnsi="Verdana"/>
          <w:sz w:val="20"/>
          <w:szCs w:val="20"/>
        </w:rPr>
      </w:pPr>
      <w:hyperlink r:id="rId13" w:history="1">
        <w:r w:rsidR="00A77E78" w:rsidRPr="00237238">
          <w:rPr>
            <w:rStyle w:val="Hyperlink"/>
            <w:rFonts w:ascii="Verdana" w:hAnsi="Verdana"/>
            <w:sz w:val="20"/>
            <w:szCs w:val="20"/>
          </w:rPr>
          <w:t>Overzicht uitbetaalde steun</w:t>
        </w:r>
      </w:hyperlink>
    </w:p>
    <w:p w14:paraId="2F496357" w14:textId="0EC3EC1B" w:rsidR="00A77E78" w:rsidRPr="004A3D85" w:rsidRDefault="00237238" w:rsidP="004A3D85">
      <w:pPr>
        <w:pStyle w:val="Lijstalinea"/>
        <w:numPr>
          <w:ilvl w:val="0"/>
          <w:numId w:val="11"/>
        </w:numPr>
        <w:ind w:left="426" w:hanging="426"/>
        <w:jc w:val="both"/>
        <w:rPr>
          <w:rFonts w:ascii="Verdana" w:hAnsi="Verdana"/>
          <w:sz w:val="20"/>
          <w:szCs w:val="20"/>
        </w:rPr>
      </w:pPr>
      <w:hyperlink r:id="rId14" w:history="1">
        <w:r w:rsidR="00A77E78" w:rsidRPr="00237238">
          <w:rPr>
            <w:rStyle w:val="Hyperlink"/>
            <w:rFonts w:ascii="Verdana" w:hAnsi="Verdana"/>
            <w:sz w:val="20"/>
            <w:szCs w:val="20"/>
          </w:rPr>
          <w:t>Compensatiepremie – geweigerde aanvragen</w:t>
        </w:r>
      </w:hyperlink>
    </w:p>
    <w:p w14:paraId="2D74C95D" w14:textId="3F3FFE13" w:rsidR="00A77E78" w:rsidRPr="004A3D85" w:rsidRDefault="00C84091" w:rsidP="004A3D85">
      <w:pPr>
        <w:pStyle w:val="Lijstalinea"/>
        <w:numPr>
          <w:ilvl w:val="0"/>
          <w:numId w:val="11"/>
        </w:numPr>
        <w:ind w:left="426" w:hanging="426"/>
        <w:jc w:val="both"/>
        <w:rPr>
          <w:rFonts w:ascii="Verdana" w:hAnsi="Verdana"/>
          <w:sz w:val="20"/>
          <w:szCs w:val="20"/>
        </w:rPr>
      </w:pPr>
      <w:hyperlink r:id="rId15" w:history="1">
        <w:r w:rsidR="00A77E78" w:rsidRPr="00C84091">
          <w:rPr>
            <w:rStyle w:val="Hyperlink"/>
            <w:rFonts w:ascii="Verdana" w:hAnsi="Verdana"/>
            <w:sz w:val="20"/>
            <w:szCs w:val="20"/>
          </w:rPr>
          <w:t>Terugvorderingen compensatiepremie</w:t>
        </w:r>
      </w:hyperlink>
      <w:r w:rsidR="00A77E78" w:rsidRPr="004A3D85">
        <w:rPr>
          <w:rFonts w:ascii="Verdana" w:hAnsi="Verdana"/>
          <w:sz w:val="20"/>
          <w:szCs w:val="20"/>
        </w:rPr>
        <w:t xml:space="preserve"> </w:t>
      </w:r>
    </w:p>
    <w:sectPr w:rsidR="00A77E78" w:rsidRPr="004A3D85" w:rsidSect="00971C6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B14FD" w14:textId="77777777" w:rsidR="005E590F" w:rsidRDefault="005E590F" w:rsidP="00464A7A">
      <w:r>
        <w:separator/>
      </w:r>
    </w:p>
  </w:endnote>
  <w:endnote w:type="continuationSeparator" w:id="0">
    <w:p w14:paraId="1DD8E851" w14:textId="77777777" w:rsidR="005E590F" w:rsidRDefault="005E590F" w:rsidP="00464A7A">
      <w:r>
        <w:continuationSeparator/>
      </w:r>
    </w:p>
  </w:endnote>
  <w:endnote w:type="continuationNotice" w:id="1">
    <w:p w14:paraId="503896F0" w14:textId="77777777" w:rsidR="005E590F" w:rsidRDefault="005E5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D59A8" w14:textId="77777777" w:rsidR="005E590F" w:rsidRDefault="005E590F" w:rsidP="00464A7A">
      <w:r>
        <w:separator/>
      </w:r>
    </w:p>
  </w:footnote>
  <w:footnote w:type="continuationSeparator" w:id="0">
    <w:p w14:paraId="6380AB09" w14:textId="77777777" w:rsidR="005E590F" w:rsidRDefault="005E590F" w:rsidP="00464A7A">
      <w:r>
        <w:continuationSeparator/>
      </w:r>
    </w:p>
  </w:footnote>
  <w:footnote w:type="continuationNotice" w:id="1">
    <w:p w14:paraId="40A8CFF8" w14:textId="77777777" w:rsidR="005E590F" w:rsidRDefault="005E59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15:restartNumberingAfterBreak="0">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0323682"/>
    <w:multiLevelType w:val="multilevel"/>
    <w:tmpl w:val="F2E857E4"/>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B25E24"/>
    <w:multiLevelType w:val="hybridMultilevel"/>
    <w:tmpl w:val="0F3CE590"/>
    <w:lvl w:ilvl="0" w:tplc="AB268522">
      <w:start w:val="1"/>
      <w:numFmt w:val="decimal"/>
      <w:lvlText w:val="%1."/>
      <w:lvlJc w:val="left"/>
      <w:pPr>
        <w:ind w:left="1800" w:hanging="360"/>
      </w:p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start w:val="1"/>
      <w:numFmt w:val="decimal"/>
      <w:lvlText w:val="%4."/>
      <w:lvlJc w:val="left"/>
      <w:pPr>
        <w:ind w:left="3960" w:hanging="360"/>
      </w:pPr>
    </w:lvl>
    <w:lvl w:ilvl="4" w:tplc="08130019">
      <w:start w:val="1"/>
      <w:numFmt w:val="lowerLetter"/>
      <w:lvlText w:val="%5."/>
      <w:lvlJc w:val="left"/>
      <w:pPr>
        <w:ind w:left="4680" w:hanging="360"/>
      </w:pPr>
    </w:lvl>
    <w:lvl w:ilvl="5" w:tplc="0813001B">
      <w:start w:val="1"/>
      <w:numFmt w:val="lowerRoman"/>
      <w:lvlText w:val="%6."/>
      <w:lvlJc w:val="right"/>
      <w:pPr>
        <w:ind w:left="5400" w:hanging="180"/>
      </w:pPr>
    </w:lvl>
    <w:lvl w:ilvl="6" w:tplc="0813000F">
      <w:start w:val="1"/>
      <w:numFmt w:val="decimal"/>
      <w:lvlText w:val="%7."/>
      <w:lvlJc w:val="left"/>
      <w:pPr>
        <w:ind w:left="6120" w:hanging="360"/>
      </w:pPr>
    </w:lvl>
    <w:lvl w:ilvl="7" w:tplc="08130019">
      <w:start w:val="1"/>
      <w:numFmt w:val="lowerLetter"/>
      <w:lvlText w:val="%8."/>
      <w:lvlJc w:val="left"/>
      <w:pPr>
        <w:ind w:left="6840" w:hanging="360"/>
      </w:pPr>
    </w:lvl>
    <w:lvl w:ilvl="8" w:tplc="0813001B">
      <w:start w:val="1"/>
      <w:numFmt w:val="lowerRoman"/>
      <w:lvlText w:val="%9."/>
      <w:lvlJc w:val="right"/>
      <w:pPr>
        <w:ind w:left="7560" w:hanging="180"/>
      </w:pPr>
    </w:lvl>
  </w:abstractNum>
  <w:abstractNum w:abstractNumId="10" w15:restartNumberingAfterBreak="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6E1F6573"/>
    <w:multiLevelType w:val="hybridMultilevel"/>
    <w:tmpl w:val="4CACCC0A"/>
    <w:lvl w:ilvl="0" w:tplc="D188D0BC">
      <w:numFmt w:val="bullet"/>
      <w:lvlText w:val="-"/>
      <w:lvlJc w:val="left"/>
      <w:pPr>
        <w:ind w:left="785" w:hanging="360"/>
      </w:pPr>
      <w:rPr>
        <w:rFonts w:ascii="Times New Roman" w:eastAsia="Times New Roman" w:hAnsi="Times New Roman"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11"/>
  </w:num>
  <w:num w:numId="6">
    <w:abstractNumId w:val="5"/>
  </w:num>
  <w:num w:numId="7">
    <w:abstractNumId w:val="4"/>
  </w:num>
  <w:num w:numId="8">
    <w:abstractNumId w:val="8"/>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57"/>
    <w:rsid w:val="000017C9"/>
    <w:rsid w:val="00024243"/>
    <w:rsid w:val="00031286"/>
    <w:rsid w:val="000413D9"/>
    <w:rsid w:val="000503E5"/>
    <w:rsid w:val="000610CE"/>
    <w:rsid w:val="00071628"/>
    <w:rsid w:val="000731A8"/>
    <w:rsid w:val="00132BD7"/>
    <w:rsid w:val="00136379"/>
    <w:rsid w:val="00141171"/>
    <w:rsid w:val="001418EC"/>
    <w:rsid w:val="00165725"/>
    <w:rsid w:val="00175020"/>
    <w:rsid w:val="001A5B8A"/>
    <w:rsid w:val="001E7BA9"/>
    <w:rsid w:val="001F1FD4"/>
    <w:rsid w:val="002173F0"/>
    <w:rsid w:val="002277F6"/>
    <w:rsid w:val="00232BC7"/>
    <w:rsid w:val="00237238"/>
    <w:rsid w:val="002553BC"/>
    <w:rsid w:val="00275808"/>
    <w:rsid w:val="002775A9"/>
    <w:rsid w:val="0028556A"/>
    <w:rsid w:val="00291A76"/>
    <w:rsid w:val="002A5174"/>
    <w:rsid w:val="002B353C"/>
    <w:rsid w:val="002C779D"/>
    <w:rsid w:val="002D1E91"/>
    <w:rsid w:val="002D27F6"/>
    <w:rsid w:val="002D4643"/>
    <w:rsid w:val="00307089"/>
    <w:rsid w:val="00313C88"/>
    <w:rsid w:val="00321752"/>
    <w:rsid w:val="003317FE"/>
    <w:rsid w:val="0033192F"/>
    <w:rsid w:val="00342E5D"/>
    <w:rsid w:val="003954E1"/>
    <w:rsid w:val="003A4CDF"/>
    <w:rsid w:val="003D36CF"/>
    <w:rsid w:val="003F1093"/>
    <w:rsid w:val="003F5C13"/>
    <w:rsid w:val="004004D4"/>
    <w:rsid w:val="00410225"/>
    <w:rsid w:val="00415488"/>
    <w:rsid w:val="00451B13"/>
    <w:rsid w:val="00462E13"/>
    <w:rsid w:val="00463D2B"/>
    <w:rsid w:val="00464A7A"/>
    <w:rsid w:val="00482870"/>
    <w:rsid w:val="00484404"/>
    <w:rsid w:val="00492D21"/>
    <w:rsid w:val="00495CB1"/>
    <w:rsid w:val="00496B5B"/>
    <w:rsid w:val="004A3D85"/>
    <w:rsid w:val="004B1659"/>
    <w:rsid w:val="004F0188"/>
    <w:rsid w:val="004F7974"/>
    <w:rsid w:val="005628FF"/>
    <w:rsid w:val="00572E3E"/>
    <w:rsid w:val="005B0CF8"/>
    <w:rsid w:val="005C474C"/>
    <w:rsid w:val="005D33AC"/>
    <w:rsid w:val="005E590F"/>
    <w:rsid w:val="005F0083"/>
    <w:rsid w:val="005F2C80"/>
    <w:rsid w:val="00636D96"/>
    <w:rsid w:val="0064100C"/>
    <w:rsid w:val="00651886"/>
    <w:rsid w:val="00656FB5"/>
    <w:rsid w:val="006632DE"/>
    <w:rsid w:val="00673E68"/>
    <w:rsid w:val="0068216A"/>
    <w:rsid w:val="006856A0"/>
    <w:rsid w:val="006918D8"/>
    <w:rsid w:val="00696243"/>
    <w:rsid w:val="006A4CA8"/>
    <w:rsid w:val="006B7FCC"/>
    <w:rsid w:val="006D3CE8"/>
    <w:rsid w:val="006D4450"/>
    <w:rsid w:val="006E761C"/>
    <w:rsid w:val="006F1221"/>
    <w:rsid w:val="006F477D"/>
    <w:rsid w:val="006F7827"/>
    <w:rsid w:val="00707498"/>
    <w:rsid w:val="00707D2E"/>
    <w:rsid w:val="00710414"/>
    <w:rsid w:val="00721A3A"/>
    <w:rsid w:val="00734FDE"/>
    <w:rsid w:val="00753CC6"/>
    <w:rsid w:val="007613B5"/>
    <w:rsid w:val="007771C0"/>
    <w:rsid w:val="007B35E6"/>
    <w:rsid w:val="007E2BCE"/>
    <w:rsid w:val="007F520E"/>
    <w:rsid w:val="00836EEE"/>
    <w:rsid w:val="00841085"/>
    <w:rsid w:val="00847ADC"/>
    <w:rsid w:val="008906D6"/>
    <w:rsid w:val="008E02B5"/>
    <w:rsid w:val="008E60A9"/>
    <w:rsid w:val="008F18E6"/>
    <w:rsid w:val="009373D7"/>
    <w:rsid w:val="00957BC4"/>
    <w:rsid w:val="00971C61"/>
    <w:rsid w:val="009A3970"/>
    <w:rsid w:val="009C0FF4"/>
    <w:rsid w:val="009D7514"/>
    <w:rsid w:val="00A27757"/>
    <w:rsid w:val="00A75778"/>
    <w:rsid w:val="00A76C9C"/>
    <w:rsid w:val="00A77E78"/>
    <w:rsid w:val="00A85FBE"/>
    <w:rsid w:val="00AA4E03"/>
    <w:rsid w:val="00AB563F"/>
    <w:rsid w:val="00AE354B"/>
    <w:rsid w:val="00AE5DCA"/>
    <w:rsid w:val="00AE6A03"/>
    <w:rsid w:val="00B27878"/>
    <w:rsid w:val="00B33C6C"/>
    <w:rsid w:val="00B373A0"/>
    <w:rsid w:val="00B646EC"/>
    <w:rsid w:val="00B846A3"/>
    <w:rsid w:val="00B97686"/>
    <w:rsid w:val="00BE4E09"/>
    <w:rsid w:val="00BE6E81"/>
    <w:rsid w:val="00BF75AA"/>
    <w:rsid w:val="00C04484"/>
    <w:rsid w:val="00C1396C"/>
    <w:rsid w:val="00C579CC"/>
    <w:rsid w:val="00C6783B"/>
    <w:rsid w:val="00C84091"/>
    <w:rsid w:val="00CB244B"/>
    <w:rsid w:val="00CB3A85"/>
    <w:rsid w:val="00D03794"/>
    <w:rsid w:val="00D0429D"/>
    <w:rsid w:val="00D06542"/>
    <w:rsid w:val="00D15FE9"/>
    <w:rsid w:val="00D169B0"/>
    <w:rsid w:val="00D6129C"/>
    <w:rsid w:val="00D71834"/>
    <w:rsid w:val="00D844CB"/>
    <w:rsid w:val="00D92E9C"/>
    <w:rsid w:val="00DF0323"/>
    <w:rsid w:val="00DF0EAA"/>
    <w:rsid w:val="00DF38FD"/>
    <w:rsid w:val="00E135AC"/>
    <w:rsid w:val="00E13B35"/>
    <w:rsid w:val="00E13E2E"/>
    <w:rsid w:val="00E347EB"/>
    <w:rsid w:val="00E37C52"/>
    <w:rsid w:val="00E7231E"/>
    <w:rsid w:val="00E84FC1"/>
    <w:rsid w:val="00EB1EE1"/>
    <w:rsid w:val="00EC7346"/>
    <w:rsid w:val="00ED0183"/>
    <w:rsid w:val="00ED7658"/>
    <w:rsid w:val="00ED7FBB"/>
    <w:rsid w:val="00EE0092"/>
    <w:rsid w:val="00EF22FE"/>
    <w:rsid w:val="00F41B7C"/>
    <w:rsid w:val="00F61DF3"/>
    <w:rsid w:val="00F6262A"/>
    <w:rsid w:val="00F84CFC"/>
    <w:rsid w:val="00F95777"/>
    <w:rsid w:val="00FD2B0C"/>
    <w:rsid w:val="28421F4E"/>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E8E2B"/>
  <w15:docId w15:val="{C9ED2A5A-8C51-4293-9599-244E55B0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A51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rPr>
  </w:style>
  <w:style w:type="paragraph" w:customStyle="1" w:styleId="StandaardSV">
    <w:name w:val="Standaard SV"/>
    <w:basedOn w:val="Standaard"/>
    <w:link w:val="StandaardSVChar"/>
    <w:rsid w:val="00D06542"/>
    <w:pPr>
      <w:jc w:val="both"/>
    </w:pPr>
    <w:rPr>
      <w:sz w:val="22"/>
    </w:rPr>
  </w:style>
  <w:style w:type="paragraph" w:styleId="Voettekst">
    <w:name w:val="footer"/>
    <w:basedOn w:val="Standaard"/>
    <w:rsid w:val="00A75778"/>
    <w:pPr>
      <w:tabs>
        <w:tab w:val="center" w:pos="4819"/>
        <w:tab w:val="right" w:pos="9071"/>
      </w:tabs>
    </w:pPr>
    <w:rPr>
      <w:lang w:eastAsia="en-US"/>
    </w:rPr>
  </w:style>
  <w:style w:type="paragraph" w:customStyle="1" w:styleId="SVVlaamsParlement">
    <w:name w:val="SV Vlaams Parlement"/>
    <w:basedOn w:val="Standaard"/>
    <w:rsid w:val="00CB3A85"/>
    <w:pPr>
      <w:jc w:val="both"/>
    </w:pPr>
    <w:rPr>
      <w:b/>
      <w:smallCaps/>
      <w:sz w:val="22"/>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A-TitelMinister">
    <w:name w:val="A-TitelMinister"/>
    <w:basedOn w:val="Standaard"/>
    <w:rsid w:val="00AE354B"/>
    <w:rPr>
      <w:smallCaps/>
      <w:sz w:val="22"/>
      <w:szCs w:val="22"/>
    </w:rPr>
  </w:style>
  <w:style w:type="character" w:customStyle="1" w:styleId="StandaardSVChar">
    <w:name w:val="Standaard SV Char"/>
    <w:link w:val="StandaardSV"/>
    <w:locked/>
    <w:rsid w:val="004004D4"/>
    <w:rPr>
      <w:sz w:val="22"/>
      <w:lang w:val="nl-NL" w:eastAsia="nl-NL"/>
    </w:rPr>
  </w:style>
  <w:style w:type="paragraph" w:customStyle="1" w:styleId="Nummering">
    <w:name w:val="Nummering"/>
    <w:basedOn w:val="Lijstalinea"/>
    <w:link w:val="NummeringChar"/>
    <w:qFormat/>
    <w:rsid w:val="00A77E78"/>
    <w:pPr>
      <w:numPr>
        <w:numId w:val="15"/>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A77E78"/>
    <w:rPr>
      <w:szCs w:val="24"/>
      <w:lang w:val="en-US" w:eastAsia="nl-NL"/>
    </w:rPr>
  </w:style>
  <w:style w:type="character" w:styleId="Hyperlink">
    <w:name w:val="Hyperlink"/>
    <w:basedOn w:val="Standaardalinea-lettertype"/>
    <w:unhideWhenUsed/>
    <w:rsid w:val="005C474C"/>
    <w:rPr>
      <w:color w:val="0000FF" w:themeColor="hyperlink"/>
      <w:u w:val="single"/>
    </w:rPr>
  </w:style>
  <w:style w:type="character" w:styleId="Onopgelostemelding">
    <w:name w:val="Unresolved Mention"/>
    <w:basedOn w:val="Standaardalinea-lettertype"/>
    <w:uiPriority w:val="99"/>
    <w:semiHidden/>
    <w:unhideWhenUsed/>
    <w:rsid w:val="005C4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580751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msparlement.be/link?id=1123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laamsparlement.be/link?id=112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laamsparlement.be/link?id=11233"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msparlement.be/link?id=11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FFormData xmlns="e6442c05-f582-4163-baf8-ee868e5e452b" xsi:nil="true"/>
    <Dossier_x0020_Goedkeuringsflow_x0020_pv xmlns="e6442c05-f582-4163-baf8-ee868e5e452b">
      <Url xsi:nil="true"/>
      <Description xsi:nil="true"/>
    </Dossier_x0020_Goedkeuringsflow_x0020_pv>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A5A215E9D65B4049B67EE82CA15AE481" ma:contentTypeVersion="46" ma:contentTypeDescription="Een nieuw document maken." ma:contentTypeScope="" ma:versionID="9d2c7a758945d77aad09d15230f40170">
  <xsd:schema xmlns:xsd="http://www.w3.org/2001/XMLSchema" xmlns:xs="http://www.w3.org/2001/XMLSchema" xmlns:p="http://schemas.microsoft.com/office/2006/metadata/properties" xmlns:ns2="e6442c05-f582-4163-baf8-ee868e5e452b" targetNamespace="http://schemas.microsoft.com/office/2006/metadata/properties" ma:root="true" ma:fieldsID="a649bc33daa104fe44d5ff1d99b7e61b" ns2:_="">
    <xsd:import namespace="e6442c05-f582-4163-baf8-ee868e5e452b"/>
    <xsd:element name="properties">
      <xsd:complexType>
        <xsd:sequence>
          <xsd:element name="documentManagement">
            <xsd:complexType>
              <xsd:all>
                <xsd:element ref="ns2:NFFormData" minOccurs="0"/>
                <xsd:element ref="ns2:MediaServiceMetadata" minOccurs="0"/>
                <xsd:element ref="ns2:MediaServiceFastMetadata" minOccurs="0"/>
                <xsd:element ref="ns2:Dossier_x0020_Goedkeuringsflow_x0020_pv"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42c05-f582-4163-baf8-ee868e5e452b" elementFormDefault="qualified">
    <xsd:import namespace="http://schemas.microsoft.com/office/2006/documentManagement/types"/>
    <xsd:import namespace="http://schemas.microsoft.com/office/infopath/2007/PartnerControls"/>
    <xsd:element name="NFFormData" ma:index="8" nillable="true" ma:displayName="NFFormData" ma:hidden="true" ma:internalName="NFFormData" ma:readOnly="fals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ossier_x0020_Goedkeuringsflow_x0020_pv" ma:index="11" nillable="true" ma:displayName="Dossier Goedkeuringsflow pv" ma:internalName="Dossier_x0020_Goedkeuringsflow_x0020_pv">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 ds:uri="e6442c05-f582-4163-baf8-ee868e5e452b"/>
  </ds:schemaRefs>
</ds:datastoreItem>
</file>

<file path=customXml/itemProps3.xml><?xml version="1.0" encoding="utf-8"?>
<ds:datastoreItem xmlns:ds="http://schemas.openxmlformats.org/officeDocument/2006/customXml" ds:itemID="{4BD72D94-A0FC-4BD4-93DF-533AA5562286}">
  <ds:schemaRefs>
    <ds:schemaRef ds:uri="http://schemas.microsoft.com/office/2006/customDocumentInformationPanel"/>
  </ds:schemaRefs>
</ds:datastoreItem>
</file>

<file path=customXml/itemProps4.xml><?xml version="1.0" encoding="utf-8"?>
<ds:datastoreItem xmlns:ds="http://schemas.openxmlformats.org/officeDocument/2006/customXml" ds:itemID="{7042489F-354F-43E3-83BE-107AFCE8F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42c05-f582-4163-baf8-ee868e5e4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E5F336-079E-4B18-9B84-68BADB20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2972</Characters>
  <Application>Microsoft Office Word</Application>
  <DocSecurity>0</DocSecurity>
  <Lines>24</Lines>
  <Paragraphs>7</Paragraphs>
  <ScaleCrop>false</ScaleCrop>
  <Company>MVG</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Abbas Goudman</dc:creator>
  <cp:lastModifiedBy>Jan Dewulf</cp:lastModifiedBy>
  <cp:revision>6</cp:revision>
  <cp:lastPrinted>1900-12-31T23:00:00Z</cp:lastPrinted>
  <dcterms:created xsi:type="dcterms:W3CDTF">2020-12-09T07:25:00Z</dcterms:created>
  <dcterms:modified xsi:type="dcterms:W3CDTF">2020-12-09T07:31:00Z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0x010100A5A215E9D65B4049B67EE82CA15AE481</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25e66136-4629-40d9-8333-4bf0c75e4411</vt:lpwstr>
  </property>
  <property fmtid="{D5CDD505-2E9C-101B-9397-08002B2CF9AE}" pid="7" name="WorkflowCreationPath">
    <vt:lpwstr>3f012f33-2779-4f1b-b3c2-bf2496331245;</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307;#Parlementaire vragen / antwoorden|8ac8b9f5-0ac5-42e3-890d-c9b36bb0a8b3</vt:lpwstr>
  </property>
  <property fmtid="{D5CDD505-2E9C-101B-9397-08002B2CF9AE}" pid="10" name="Extra Behandelaars">
    <vt:lpwstr/>
  </property>
  <property fmtid="{D5CDD505-2E9C-101B-9397-08002B2CF9AE}" pid="11" name="Doorloopstatus">
    <vt:lpwstr>Nieuw</vt:lpwstr>
  </property>
  <property fmtid="{D5CDD505-2E9C-101B-9397-08002B2CF9AE}" pid="12" name="b1a289345cf1476fbb8677cb3fc7ccc2">
    <vt:lpwstr>Parlementaire vragen / antwoorden|8ac8b9f5-0ac5-42e3-890d-c9b36bb0a8b3</vt:lpwstr>
  </property>
  <property fmtid="{D5CDD505-2E9C-101B-9397-08002B2CF9AE}" pid="13" name="Medebehandelaars">
    <vt:lpwstr/>
  </property>
  <property fmtid="{D5CDD505-2E9C-101B-9397-08002B2CF9AE}" pid="14" name="Behandelaar">
    <vt:lpwstr/>
  </property>
  <property fmtid="{D5CDD505-2E9C-101B-9397-08002B2CF9AE}" pid="15" name="Type_x0020_document">
    <vt:lpwstr>307;#Parlementaire vragen / antwoorden|8ac8b9f5-0ac5-42e3-890d-c9b36bb0a8b3</vt:lpwstr>
  </property>
  <property fmtid="{D5CDD505-2E9C-101B-9397-08002B2CF9AE}" pid="16" name="e9774d0c1c5b4673b17cf4c67a514757">
    <vt:lpwstr>2014|9e64782a-606f-474c-a581-236373776059</vt:lpwstr>
  </property>
  <property fmtid="{D5CDD505-2E9C-101B-9397-08002B2CF9AE}" pid="17" name="Jaartal">
    <vt:lpwstr>3;#2014|9e64782a-606f-474c-a581-236373776059</vt:lpwstr>
  </property>
  <property fmtid="{D5CDD505-2E9C-101B-9397-08002B2CF9AE}" pid="18" name="DossierID">
    <vt:lpwstr>1689</vt:lpwstr>
  </property>
  <property fmtid="{D5CDD505-2E9C-101B-9397-08002B2CF9AE}" pid="19" name="WorkflowChangePath">
    <vt:lpwstr>033c48f0-ff03-4827-bbf1-a01708f1f41f,6;2b618ab3-4170-4245-a0cf-cfbcccc88fd5,9;</vt:lpwstr>
  </property>
  <property fmtid="{D5CDD505-2E9C-101B-9397-08002B2CF9AE}" pid="20" name="MinisterDomein">
    <vt:lpwstr>NVT</vt:lpwstr>
  </property>
</Properties>
</file>