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BC9ED" w14:textId="3C72F8A2" w:rsidR="005F1644" w:rsidRDefault="00123A55" w:rsidP="0038560B">
      <w:pPr>
        <w:tabs>
          <w:tab w:val="left" w:pos="4253"/>
        </w:tabs>
      </w:pPr>
      <w:r w:rsidRPr="00B372B2">
        <w:rPr>
          <w:u w:val="single"/>
        </w:rPr>
        <w:t>BIJLAGE</w:t>
      </w:r>
      <w:r w:rsidR="00926F01">
        <w:rPr>
          <w:u w:val="single"/>
        </w:rPr>
        <w:t>:</w:t>
      </w:r>
      <w:r w:rsidR="00715B7A">
        <w:t xml:space="preserve"> </w:t>
      </w:r>
      <w:r w:rsidR="008C0ED7">
        <w:t>SV</w:t>
      </w:r>
      <w:r w:rsidR="009B73B2">
        <w:t xml:space="preserve"> </w:t>
      </w:r>
      <w:r w:rsidR="00822FFB">
        <w:t>636</w:t>
      </w:r>
      <w:bookmarkStart w:id="0" w:name="_GoBack"/>
      <w:bookmarkEnd w:id="0"/>
    </w:p>
    <w:p w14:paraId="785E64E2" w14:textId="77777777" w:rsidR="0038560B" w:rsidRDefault="0038560B" w:rsidP="0038560B">
      <w:pPr>
        <w:tabs>
          <w:tab w:val="left" w:pos="4253"/>
        </w:tabs>
      </w:pPr>
      <w:r>
        <w:t>Verdeling van de EPC-waarden voor kleuter-, lagere en secundaire scholen</w:t>
      </w:r>
    </w:p>
    <w:p w14:paraId="58511F7F" w14:textId="77777777" w:rsidR="0038560B" w:rsidRDefault="0038560B" w:rsidP="0038560B">
      <w:pPr>
        <w:tabs>
          <w:tab w:val="left" w:pos="4253"/>
        </w:tabs>
      </w:pPr>
      <w:r w:rsidRPr="0038560B">
        <w:rPr>
          <w:noProof/>
        </w:rPr>
        <w:drawing>
          <wp:inline distT="0" distB="0" distL="0" distR="0" wp14:anchorId="443935B3" wp14:editId="61CDEB18">
            <wp:extent cx="3733800" cy="22402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72" cy="224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22C78" w14:textId="77777777" w:rsidR="0038560B" w:rsidRDefault="0038560B" w:rsidP="0038560B">
      <w:pPr>
        <w:tabs>
          <w:tab w:val="left" w:pos="4253"/>
        </w:tabs>
      </w:pPr>
      <w:r>
        <w:t>Verdeling van de EPC-waarden voor hogescholen en universiteiten</w:t>
      </w:r>
    </w:p>
    <w:p w14:paraId="0EE0CF90" w14:textId="58C685E5" w:rsidR="0038560B" w:rsidRDefault="00E13A5E" w:rsidP="0038560B">
      <w:pPr>
        <w:tabs>
          <w:tab w:val="left" w:pos="4253"/>
        </w:tabs>
      </w:pPr>
      <w:r>
        <w:rPr>
          <w:noProof/>
        </w:rPr>
        <w:drawing>
          <wp:inline distT="0" distB="0" distL="0" distR="0" wp14:anchorId="530B89BE" wp14:editId="142580C2">
            <wp:extent cx="3733800" cy="2038350"/>
            <wp:effectExtent l="0" t="0" r="0" b="0"/>
            <wp:docPr id="1" name="Grafiek 1">
              <a:extLst xmlns:a="http://schemas.openxmlformats.org/drawingml/2006/main">
                <a:ext uri="{FF2B5EF4-FFF2-40B4-BE49-F238E27FC236}">
                  <a16:creationId xmlns:a16="http://schemas.microsoft.com/office/drawing/2014/main" id="{36145962-7209-4420-99B7-54FD0D57F7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09E3002" w14:textId="77777777" w:rsidR="00E13A5E" w:rsidRDefault="00E13A5E" w:rsidP="0038560B">
      <w:pPr>
        <w:tabs>
          <w:tab w:val="left" w:pos="4253"/>
        </w:tabs>
      </w:pPr>
    </w:p>
    <w:p w14:paraId="6187843A" w14:textId="7DC95A67" w:rsidR="0038560B" w:rsidRDefault="0038560B" w:rsidP="0038560B">
      <w:pPr>
        <w:tabs>
          <w:tab w:val="left" w:pos="4253"/>
        </w:tabs>
      </w:pPr>
      <w:r>
        <w:lastRenderedPageBreak/>
        <w:t>Verdeling van de EPC-waarden voor andere onderwijsinfrastructuur</w:t>
      </w:r>
    </w:p>
    <w:p w14:paraId="26E898C3" w14:textId="69E0B03D" w:rsidR="0038560B" w:rsidRDefault="00B528C5" w:rsidP="0038560B">
      <w:pPr>
        <w:tabs>
          <w:tab w:val="left" w:pos="4253"/>
        </w:tabs>
      </w:pPr>
      <w:r>
        <w:rPr>
          <w:noProof/>
        </w:rPr>
        <w:drawing>
          <wp:inline distT="0" distB="0" distL="0" distR="0" wp14:anchorId="10EE1305" wp14:editId="7C2295A1">
            <wp:extent cx="3890963" cy="2438400"/>
            <wp:effectExtent l="0" t="0" r="14605" b="0"/>
            <wp:docPr id="5" name="Grafiek 5">
              <a:extLst xmlns:a="http://schemas.openxmlformats.org/drawingml/2006/main">
                <a:ext uri="{FF2B5EF4-FFF2-40B4-BE49-F238E27FC236}">
                  <a16:creationId xmlns:a16="http://schemas.microsoft.com/office/drawing/2014/main" id="{5F083524-17A3-4320-A7F9-EFBD5E5B3C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38560B" w:rsidSect="00B372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E3213" w14:textId="77777777" w:rsidR="0038560B" w:rsidRDefault="0038560B" w:rsidP="0038560B">
      <w:pPr>
        <w:spacing w:after="0" w:line="240" w:lineRule="auto"/>
      </w:pPr>
      <w:r>
        <w:separator/>
      </w:r>
    </w:p>
  </w:endnote>
  <w:endnote w:type="continuationSeparator" w:id="0">
    <w:p w14:paraId="735A8561" w14:textId="77777777" w:rsidR="0038560B" w:rsidRDefault="0038560B" w:rsidP="0038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C178" w14:textId="77777777" w:rsidR="0038560B" w:rsidRDefault="0038560B" w:rsidP="0038560B">
      <w:pPr>
        <w:spacing w:after="0" w:line="240" w:lineRule="auto"/>
      </w:pPr>
      <w:r>
        <w:separator/>
      </w:r>
    </w:p>
  </w:footnote>
  <w:footnote w:type="continuationSeparator" w:id="0">
    <w:p w14:paraId="27AC43F7" w14:textId="77777777" w:rsidR="0038560B" w:rsidRDefault="0038560B" w:rsidP="00385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55"/>
    <w:rsid w:val="00123A55"/>
    <w:rsid w:val="0026246A"/>
    <w:rsid w:val="0038560B"/>
    <w:rsid w:val="0056715D"/>
    <w:rsid w:val="005F1644"/>
    <w:rsid w:val="00715B7A"/>
    <w:rsid w:val="00822FFB"/>
    <w:rsid w:val="008C0ED7"/>
    <w:rsid w:val="00926F01"/>
    <w:rsid w:val="009B73B2"/>
    <w:rsid w:val="00AC3E09"/>
    <w:rsid w:val="00B372B2"/>
    <w:rsid w:val="00B528C5"/>
    <w:rsid w:val="00E13A5E"/>
    <w:rsid w:val="00E6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2D5F8D"/>
  <w15:docId w15:val="{64859932-4673-4E63-A22F-86169480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15B7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vlaamseoverheid-my.sharepoint.com/personal/ann_collys_vlaanderen_be/Documents/Documenten/Publiekegebouwen_schole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vlaamseoverheid-my.sharepoint.com/personal/ann_collys_vlaanderen_be/Documents/Documenten/Publiekegebouwen_schole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Verdeling van de EPC-waarden van hogescholen en universiteiten t.o.v. het referentiekengetal (201 kWh/m2)</a:t>
            </a:r>
            <a:endParaRPr lang="nl-BE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'Grafiek hogescholen'!$A$14</c:f>
              <c:strCache>
                <c:ptCount val="1"/>
                <c:pt idx="0">
                  <c:v>... tot 101 kWh/m2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'Grafiek hogescholen'!$B$13</c:f>
              <c:strCache>
                <c:ptCount val="1"/>
                <c:pt idx="0">
                  <c:v>Aantal per kleurenzone</c:v>
                </c:pt>
              </c:strCache>
            </c:strRef>
          </c:cat>
          <c:val>
            <c:numRef>
              <c:f>'Grafiek hogescholen'!$B$14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01-4F48-A4E0-EBC67C96ED42}"/>
            </c:ext>
          </c:extLst>
        </c:ser>
        <c:ser>
          <c:idx val="1"/>
          <c:order val="1"/>
          <c:tx>
            <c:strRef>
              <c:f>'Grafiek hogescholen'!$A$15</c:f>
              <c:strCache>
                <c:ptCount val="1"/>
                <c:pt idx="0">
                  <c:v>101 tot 151 kWh/m2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'Grafiek hogescholen'!$B$13</c:f>
              <c:strCache>
                <c:ptCount val="1"/>
                <c:pt idx="0">
                  <c:v>Aantal per kleurenzone</c:v>
                </c:pt>
              </c:strCache>
            </c:strRef>
          </c:cat>
          <c:val>
            <c:numRef>
              <c:f>'Grafiek hogescholen'!$B$15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01-4F48-A4E0-EBC67C96ED42}"/>
            </c:ext>
          </c:extLst>
        </c:ser>
        <c:ser>
          <c:idx val="2"/>
          <c:order val="2"/>
          <c:tx>
            <c:strRef>
              <c:f>'Grafiek hogescholen'!$A$16</c:f>
              <c:strCache>
                <c:ptCount val="1"/>
                <c:pt idx="0">
                  <c:v>151 tot 201 kWh/m2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'Grafiek hogescholen'!$B$13</c:f>
              <c:strCache>
                <c:ptCount val="1"/>
                <c:pt idx="0">
                  <c:v>Aantal per kleurenzone</c:v>
                </c:pt>
              </c:strCache>
            </c:strRef>
          </c:cat>
          <c:val>
            <c:numRef>
              <c:f>'Grafiek hogescholen'!$B$16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01-4F48-A4E0-EBC67C96ED42}"/>
            </c:ext>
          </c:extLst>
        </c:ser>
        <c:ser>
          <c:idx val="3"/>
          <c:order val="3"/>
          <c:tx>
            <c:strRef>
              <c:f>'Grafiek hogescholen'!$A$17</c:f>
              <c:strCache>
                <c:ptCount val="1"/>
                <c:pt idx="0">
                  <c:v>201 tot 251 kWh/m2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'Grafiek hogescholen'!$B$13</c:f>
              <c:strCache>
                <c:ptCount val="1"/>
                <c:pt idx="0">
                  <c:v>Aantal per kleurenzone</c:v>
                </c:pt>
              </c:strCache>
            </c:strRef>
          </c:cat>
          <c:val>
            <c:numRef>
              <c:f>'Grafiek hogescholen'!$B$17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01-4F48-A4E0-EBC67C96ED42}"/>
            </c:ext>
          </c:extLst>
        </c:ser>
        <c:ser>
          <c:idx val="4"/>
          <c:order val="4"/>
          <c:tx>
            <c:strRef>
              <c:f>'Grafiek hogescholen'!$A$18</c:f>
              <c:strCache>
                <c:ptCount val="1"/>
                <c:pt idx="0">
                  <c:v>251 tot … kWh/m2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'Grafiek hogescholen'!$B$13</c:f>
              <c:strCache>
                <c:ptCount val="1"/>
                <c:pt idx="0">
                  <c:v>Aantal per kleurenzone</c:v>
                </c:pt>
              </c:strCache>
            </c:strRef>
          </c:cat>
          <c:val>
            <c:numRef>
              <c:f>'Grafiek hogescholen'!$B$18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F01-4F48-A4E0-EBC67C96E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462743"/>
        <c:axId val="76466351"/>
      </c:barChart>
      <c:catAx>
        <c:axId val="764627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76466351"/>
        <c:crosses val="autoZero"/>
        <c:auto val="1"/>
        <c:lblAlgn val="ctr"/>
        <c:lblOffset val="100"/>
        <c:noMultiLvlLbl val="0"/>
      </c:catAx>
      <c:valAx>
        <c:axId val="76466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76462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Verdeling van de EPC-waarden van andere onderwijsinfrastructuur t.o.v. het referentiekengetal (241 kWh/m2)</a:t>
            </a:r>
            <a:endParaRPr lang="nl-BE" sz="10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nl-B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nl-B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'Grafiek andere'!$A$13</c:f>
              <c:strCache>
                <c:ptCount val="1"/>
                <c:pt idx="0">
                  <c:v>... tot 121 kWh/m2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'Grafiek andere'!$B$12</c:f>
              <c:strCache>
                <c:ptCount val="1"/>
                <c:pt idx="0">
                  <c:v>Aantal per kleurenzone</c:v>
                </c:pt>
              </c:strCache>
            </c:strRef>
          </c:cat>
          <c:val>
            <c:numRef>
              <c:f>'Grafiek andere'!$B$13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DB-4F1F-97AB-111B11604FD2}"/>
            </c:ext>
          </c:extLst>
        </c:ser>
        <c:ser>
          <c:idx val="1"/>
          <c:order val="1"/>
          <c:tx>
            <c:strRef>
              <c:f>'Grafiek andere'!$A$14</c:f>
              <c:strCache>
                <c:ptCount val="1"/>
                <c:pt idx="0">
                  <c:v>121 tot 181 kWh/m2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'Grafiek andere'!$B$12</c:f>
              <c:strCache>
                <c:ptCount val="1"/>
                <c:pt idx="0">
                  <c:v>Aantal per kleurenzone</c:v>
                </c:pt>
              </c:strCache>
            </c:strRef>
          </c:cat>
          <c:val>
            <c:numRef>
              <c:f>'Grafiek andere'!$B$14</c:f>
              <c:numCache>
                <c:formatCode>General</c:formatCode>
                <c:ptCount val="1"/>
                <c:pt idx="0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DB-4F1F-97AB-111B11604FD2}"/>
            </c:ext>
          </c:extLst>
        </c:ser>
        <c:ser>
          <c:idx val="2"/>
          <c:order val="2"/>
          <c:tx>
            <c:strRef>
              <c:f>'Grafiek andere'!$A$15</c:f>
              <c:strCache>
                <c:ptCount val="1"/>
                <c:pt idx="0">
                  <c:v>181 tot 241 kWh/m2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'Grafiek andere'!$B$12</c:f>
              <c:strCache>
                <c:ptCount val="1"/>
                <c:pt idx="0">
                  <c:v>Aantal per kleurenzone</c:v>
                </c:pt>
              </c:strCache>
            </c:strRef>
          </c:cat>
          <c:val>
            <c:numRef>
              <c:f>'Grafiek andere'!$B$15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DB-4F1F-97AB-111B11604FD2}"/>
            </c:ext>
          </c:extLst>
        </c:ser>
        <c:ser>
          <c:idx val="3"/>
          <c:order val="3"/>
          <c:tx>
            <c:strRef>
              <c:f>'Grafiek andere'!$A$16</c:f>
              <c:strCache>
                <c:ptCount val="1"/>
                <c:pt idx="0">
                  <c:v>241 tot 301 kWh/m2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'Grafiek andere'!$B$12</c:f>
              <c:strCache>
                <c:ptCount val="1"/>
                <c:pt idx="0">
                  <c:v>Aantal per kleurenzone</c:v>
                </c:pt>
              </c:strCache>
            </c:strRef>
          </c:cat>
          <c:val>
            <c:numRef>
              <c:f>'Grafiek andere'!$B$16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DB-4F1F-97AB-111B11604FD2}"/>
            </c:ext>
          </c:extLst>
        </c:ser>
        <c:ser>
          <c:idx val="4"/>
          <c:order val="4"/>
          <c:tx>
            <c:strRef>
              <c:f>'Grafiek andere'!$A$17</c:f>
              <c:strCache>
                <c:ptCount val="1"/>
                <c:pt idx="0">
                  <c:v>301 tot ... kWh/m2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B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'Grafiek andere'!$B$12</c:f>
              <c:strCache>
                <c:ptCount val="1"/>
                <c:pt idx="0">
                  <c:v>Aantal per kleurenzone</c:v>
                </c:pt>
              </c:strCache>
            </c:strRef>
          </c:cat>
          <c:val>
            <c:numRef>
              <c:f>'Grafiek andere'!$B$17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DB-4F1F-97AB-111B11604F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461759"/>
        <c:axId val="76468647"/>
      </c:barChart>
      <c:catAx>
        <c:axId val="76461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76468647"/>
        <c:crosses val="autoZero"/>
        <c:auto val="1"/>
        <c:lblAlgn val="ctr"/>
        <c:lblOffset val="100"/>
        <c:noMultiLvlLbl val="0"/>
      </c:catAx>
      <c:valAx>
        <c:axId val="76468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BE"/>
          </a:p>
        </c:txPr>
        <c:crossAx val="76461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B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16733-23C3-4813-B870-C78780E21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62B06-2915-481F-BE02-CDA0AF9FA890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eeae0c4-f3ff-4153-af2f-582bafa5e89e"/>
    <ds:schemaRef ds:uri="http://purl.org/dc/elements/1.1/"/>
    <ds:schemaRef ds:uri="http://schemas.microsoft.com/office/infopath/2007/PartnerControls"/>
    <ds:schemaRef ds:uri="0e131338-60f6-4e30-bc4d-f35220754ff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1A8204-B564-43F6-926B-6A051B26F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31338-60f6-4e30-bc4d-f35220754ff1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Collys, Ann</dc:creator>
  <cp:lastModifiedBy>Rolle Sinja</cp:lastModifiedBy>
  <cp:revision>2</cp:revision>
  <cp:lastPrinted>2020-07-14T13:14:00Z</cp:lastPrinted>
  <dcterms:created xsi:type="dcterms:W3CDTF">2020-07-14T13:14:00Z</dcterms:created>
  <dcterms:modified xsi:type="dcterms:W3CDTF">2020-07-14T13:14:00Z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, </vt:lpwstr>
  </property>
  <property fmtid="{D5CDD505-2E9C-101B-9397-08002B2CF9AE}" pid="3" name="ContentTypeId">
    <vt:lpwstr>0x010100249869BA86B4834E82E7C4663272497B</vt:lpwstr>
  </property>
</Properties>
</file>