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3915C" w14:textId="77777777" w:rsidR="00214C83" w:rsidRPr="009E1210" w:rsidRDefault="00214C83" w:rsidP="00A02CEA">
      <w:pPr>
        <w:jc w:val="both"/>
        <w:outlineLvl w:val="0"/>
        <w:rPr>
          <w:rFonts w:ascii="Verdana" w:hAnsi="Verdana"/>
          <w:b/>
          <w:smallCaps/>
          <w:sz w:val="20"/>
          <w:lang w:val="nl-BE"/>
        </w:rPr>
      </w:pPr>
      <w:proofErr w:type="spellStart"/>
      <w:r w:rsidRPr="009E1210">
        <w:rPr>
          <w:rFonts w:ascii="Verdana" w:hAnsi="Verdana"/>
          <w:b/>
          <w:smallCaps/>
          <w:sz w:val="20"/>
          <w:lang w:val="nl-BE"/>
        </w:rPr>
        <w:t>matthias</w:t>
      </w:r>
      <w:proofErr w:type="spellEnd"/>
      <w:r w:rsidRPr="009E1210">
        <w:rPr>
          <w:rFonts w:ascii="Verdana" w:hAnsi="Verdana"/>
          <w:b/>
          <w:smallCaps/>
          <w:sz w:val="20"/>
          <w:lang w:val="nl-BE"/>
        </w:rPr>
        <w:t xml:space="preserve"> </w:t>
      </w:r>
      <w:proofErr w:type="spellStart"/>
      <w:r w:rsidRPr="009E1210">
        <w:rPr>
          <w:rFonts w:ascii="Verdana" w:hAnsi="Verdana"/>
          <w:b/>
          <w:smallCaps/>
          <w:sz w:val="20"/>
          <w:lang w:val="nl-BE"/>
        </w:rPr>
        <w:t>diependaele</w:t>
      </w:r>
      <w:proofErr w:type="spellEnd"/>
      <w:r w:rsidRPr="009E1210">
        <w:rPr>
          <w:rFonts w:ascii="Verdana" w:hAnsi="Verdana"/>
          <w:b/>
          <w:smallCaps/>
          <w:sz w:val="20"/>
          <w:lang w:val="nl-BE"/>
        </w:rPr>
        <w:t xml:space="preserve"> </w:t>
      </w:r>
    </w:p>
    <w:p w14:paraId="1D2C483F" w14:textId="77777777" w:rsidR="00214C83" w:rsidRPr="00CC7F21" w:rsidRDefault="00214C83" w:rsidP="00A02CEA">
      <w:pPr>
        <w:jc w:val="both"/>
        <w:rPr>
          <w:rFonts w:ascii="Verdana" w:hAnsi="Verdana"/>
          <w:smallCaps/>
          <w:sz w:val="20"/>
          <w:lang w:val="nl-BE"/>
        </w:rPr>
      </w:pPr>
      <w:proofErr w:type="spellStart"/>
      <w:r w:rsidRPr="009E1210">
        <w:rPr>
          <w:rFonts w:ascii="Verdana" w:hAnsi="Verdana"/>
          <w:smallCaps/>
          <w:sz w:val="20"/>
          <w:lang w:val="nl-BE"/>
        </w:rPr>
        <w:t>vlaams</w:t>
      </w:r>
      <w:proofErr w:type="spellEnd"/>
      <w:r w:rsidRPr="009E1210">
        <w:rPr>
          <w:rFonts w:ascii="Verdana" w:hAnsi="Verdana"/>
          <w:smallCaps/>
          <w:sz w:val="20"/>
          <w:lang w:val="nl-BE"/>
        </w:rPr>
        <w:t xml:space="preserve"> minister van financiën en begroting, wonen en onroerend erfgoed</w:t>
      </w:r>
    </w:p>
    <w:p w14:paraId="46DC59D9" w14:textId="77777777" w:rsidR="00214C83" w:rsidRPr="00CC7F21" w:rsidRDefault="00214C83" w:rsidP="00A02CEA">
      <w:pPr>
        <w:pStyle w:val="StandaardSV"/>
        <w:pBdr>
          <w:bottom w:val="single" w:sz="4" w:space="1" w:color="auto"/>
        </w:pBdr>
        <w:rPr>
          <w:rFonts w:ascii="Verdana" w:hAnsi="Verdana"/>
          <w:sz w:val="20"/>
          <w:lang w:val="nl-BE"/>
        </w:rPr>
      </w:pPr>
    </w:p>
    <w:p w14:paraId="0E6FC62F" w14:textId="77777777" w:rsidR="00214C83" w:rsidRPr="00CC7F21" w:rsidRDefault="00214C83" w:rsidP="00A02CEA">
      <w:pPr>
        <w:jc w:val="both"/>
        <w:rPr>
          <w:rFonts w:ascii="Verdana" w:hAnsi="Verdana"/>
          <w:sz w:val="20"/>
        </w:rPr>
      </w:pPr>
    </w:p>
    <w:p w14:paraId="71129F36" w14:textId="77777777" w:rsidR="00214C83" w:rsidRPr="009E1210" w:rsidRDefault="00214C83" w:rsidP="00A02CEA">
      <w:pPr>
        <w:jc w:val="both"/>
        <w:outlineLvl w:val="0"/>
        <w:rPr>
          <w:rFonts w:ascii="Verdana" w:hAnsi="Verdana"/>
          <w:sz w:val="20"/>
          <w:lang w:val="nl-BE"/>
        </w:rPr>
      </w:pPr>
      <w:r>
        <w:rPr>
          <w:rFonts w:ascii="Verdana" w:hAnsi="Verdana"/>
          <w:b/>
          <w:smallCaps/>
          <w:sz w:val="20"/>
          <w:lang w:val="nl-BE"/>
        </w:rPr>
        <w:t>aanvullend antwoord</w:t>
      </w:r>
    </w:p>
    <w:p w14:paraId="7272C5E9" w14:textId="77777777" w:rsidR="00214C83" w:rsidRPr="009E1210" w:rsidRDefault="00214C83" w:rsidP="00A02CEA">
      <w:pPr>
        <w:jc w:val="both"/>
        <w:outlineLvl w:val="0"/>
        <w:rPr>
          <w:rFonts w:ascii="Verdana" w:hAnsi="Verdana"/>
          <w:sz w:val="20"/>
        </w:rPr>
      </w:pPr>
      <w:r w:rsidRPr="009E1210">
        <w:rPr>
          <w:rFonts w:ascii="Verdana" w:hAnsi="Verdana"/>
          <w:sz w:val="20"/>
        </w:rPr>
        <w:t xml:space="preserve">op vraag nr. </w:t>
      </w:r>
      <w:r>
        <w:rPr>
          <w:rFonts w:ascii="Verdana" w:hAnsi="Verdana"/>
          <w:sz w:val="20"/>
        </w:rPr>
        <w:t>110</w:t>
      </w:r>
      <w:r w:rsidRPr="009E1210">
        <w:rPr>
          <w:rFonts w:ascii="Verdana" w:hAnsi="Verdana"/>
          <w:sz w:val="20"/>
        </w:rPr>
        <w:t xml:space="preserve"> van </w:t>
      </w:r>
      <w:r>
        <w:rPr>
          <w:rFonts w:ascii="Verdana" w:hAnsi="Verdana"/>
          <w:sz w:val="20"/>
        </w:rPr>
        <w:t>10 januari 2020</w:t>
      </w:r>
    </w:p>
    <w:p w14:paraId="381F800B" w14:textId="77777777" w:rsidR="00214C83" w:rsidRPr="00CC7F21" w:rsidRDefault="00214C83" w:rsidP="00A02CEA">
      <w:pPr>
        <w:jc w:val="both"/>
        <w:rPr>
          <w:rFonts w:ascii="Verdana" w:hAnsi="Verdana"/>
          <w:b/>
          <w:sz w:val="20"/>
        </w:rPr>
      </w:pPr>
      <w:r w:rsidRPr="009E1210">
        <w:rPr>
          <w:rFonts w:ascii="Verdana" w:hAnsi="Verdana"/>
          <w:sz w:val="20"/>
        </w:rPr>
        <w:t xml:space="preserve">van </w:t>
      </w:r>
      <w:proofErr w:type="spellStart"/>
      <w:r>
        <w:rPr>
          <w:rFonts w:ascii="Verdana" w:hAnsi="Verdana"/>
          <w:b/>
          <w:smallCaps/>
          <w:sz w:val="20"/>
        </w:rPr>
        <w:t>maurits</w:t>
      </w:r>
      <w:proofErr w:type="spellEnd"/>
      <w:r>
        <w:rPr>
          <w:rFonts w:ascii="Verdana" w:hAnsi="Verdana"/>
          <w:b/>
          <w:smallCaps/>
          <w:sz w:val="20"/>
        </w:rPr>
        <w:t xml:space="preserve"> </w:t>
      </w:r>
      <w:proofErr w:type="spellStart"/>
      <w:r>
        <w:rPr>
          <w:rFonts w:ascii="Verdana" w:hAnsi="Verdana"/>
          <w:b/>
          <w:smallCaps/>
          <w:sz w:val="20"/>
        </w:rPr>
        <w:t>vande</w:t>
      </w:r>
      <w:proofErr w:type="spellEnd"/>
      <w:r>
        <w:rPr>
          <w:rFonts w:ascii="Verdana" w:hAnsi="Verdana"/>
          <w:b/>
          <w:smallCaps/>
          <w:sz w:val="20"/>
        </w:rPr>
        <w:t xml:space="preserve"> </w:t>
      </w:r>
      <w:proofErr w:type="spellStart"/>
      <w:r>
        <w:rPr>
          <w:rFonts w:ascii="Verdana" w:hAnsi="Verdana"/>
          <w:b/>
          <w:smallCaps/>
          <w:sz w:val="20"/>
        </w:rPr>
        <w:t>reyde</w:t>
      </w:r>
      <w:proofErr w:type="spellEnd"/>
    </w:p>
    <w:p w14:paraId="2B7FFE57" w14:textId="77777777" w:rsidR="00214C83" w:rsidRPr="00CC7F21" w:rsidRDefault="00214C83" w:rsidP="00A02CEA">
      <w:pPr>
        <w:pBdr>
          <w:bottom w:val="single" w:sz="4" w:space="1" w:color="auto"/>
        </w:pBdr>
        <w:jc w:val="both"/>
        <w:rPr>
          <w:rFonts w:ascii="Verdana" w:hAnsi="Verdana"/>
          <w:sz w:val="20"/>
        </w:rPr>
      </w:pPr>
    </w:p>
    <w:p w14:paraId="684D0900" w14:textId="77777777" w:rsidR="00214C83" w:rsidRPr="00CC7F21" w:rsidRDefault="00214C83" w:rsidP="00A02CEA">
      <w:pPr>
        <w:pStyle w:val="StandaardSV"/>
        <w:rPr>
          <w:rFonts w:ascii="Verdana" w:hAnsi="Verdana"/>
          <w:sz w:val="20"/>
        </w:rPr>
      </w:pPr>
    </w:p>
    <w:p w14:paraId="6E5F2415" w14:textId="77777777" w:rsidR="00214C83" w:rsidRPr="00CC7F21" w:rsidRDefault="00214C83" w:rsidP="00A02CEA">
      <w:pPr>
        <w:pStyle w:val="StandaardSV"/>
        <w:rPr>
          <w:rFonts w:ascii="Verdana" w:hAnsi="Verdana"/>
          <w:sz w:val="20"/>
        </w:rPr>
      </w:pPr>
    </w:p>
    <w:p w14:paraId="52F826B9" w14:textId="43D057B1" w:rsidR="009D3CED" w:rsidRPr="00A02CEA" w:rsidRDefault="009D3CED" w:rsidP="00A02CEA">
      <w:pPr>
        <w:pStyle w:val="Lijstalinea"/>
        <w:numPr>
          <w:ilvl w:val="0"/>
          <w:numId w:val="46"/>
        </w:numPr>
        <w:spacing w:after="0" w:line="240" w:lineRule="auto"/>
        <w:jc w:val="both"/>
        <w:rPr>
          <w:rFonts w:ascii="Verdana" w:hAnsi="Verdana"/>
          <w:sz w:val="20"/>
        </w:rPr>
      </w:pPr>
      <w:r w:rsidRPr="00A02CEA">
        <w:rPr>
          <w:rFonts w:ascii="Verdana" w:hAnsi="Verdana"/>
          <w:sz w:val="20"/>
        </w:rPr>
        <w:t>Het gedeelte van de winst van de Nationale Loterij, bedoeld in artikel 62bis van de bijzondere financieringswet (BFW), dat in 2019 door de Vlaamse Gemeenschap werd ontvangen, bedraagt 30.211.346 euro.</w:t>
      </w:r>
    </w:p>
    <w:p w14:paraId="14F27308" w14:textId="77777777" w:rsidR="009D3CED" w:rsidRPr="009D3CED" w:rsidRDefault="009D3CED" w:rsidP="00A02CEA">
      <w:pPr>
        <w:jc w:val="both"/>
        <w:rPr>
          <w:rFonts w:ascii="Verdana" w:hAnsi="Verdana"/>
          <w:sz w:val="20"/>
        </w:rPr>
      </w:pPr>
    </w:p>
    <w:p w14:paraId="3433BBFE" w14:textId="77777777" w:rsidR="009D3CED" w:rsidRPr="009D3CED" w:rsidRDefault="009D3CED" w:rsidP="00A02CEA">
      <w:pPr>
        <w:ind w:left="360"/>
        <w:jc w:val="both"/>
        <w:rPr>
          <w:rFonts w:ascii="Verdana" w:hAnsi="Verdana"/>
          <w:sz w:val="20"/>
        </w:rPr>
      </w:pPr>
      <w:r w:rsidRPr="009D3CED">
        <w:rPr>
          <w:rFonts w:ascii="Verdana" w:hAnsi="Verdana"/>
          <w:sz w:val="20"/>
        </w:rPr>
        <w:t>Dit bedrag is als volgt samengesteld:</w:t>
      </w:r>
    </w:p>
    <w:p w14:paraId="3FBFE10E" w14:textId="46212556" w:rsidR="009D3CED" w:rsidRPr="00A02CEA" w:rsidRDefault="009D3CED" w:rsidP="00A02CEA">
      <w:pPr>
        <w:pStyle w:val="Lijstalinea"/>
        <w:numPr>
          <w:ilvl w:val="1"/>
          <w:numId w:val="46"/>
        </w:numPr>
        <w:spacing w:after="0" w:line="240" w:lineRule="auto"/>
        <w:jc w:val="both"/>
        <w:rPr>
          <w:rFonts w:ascii="Verdana" w:hAnsi="Verdana"/>
          <w:sz w:val="20"/>
        </w:rPr>
      </w:pPr>
      <w:r w:rsidRPr="00A02CEA">
        <w:rPr>
          <w:rFonts w:ascii="Verdana" w:hAnsi="Verdana"/>
          <w:sz w:val="20"/>
        </w:rPr>
        <w:t>80% van het gedeelte van het voorlopige verdelingsplan over het dienstjaar 2019 dat aan de Vlaamse Gemeenschap werd toegewezen;</w:t>
      </w:r>
    </w:p>
    <w:p w14:paraId="3F29B180" w14:textId="6515AF12" w:rsidR="009D3CED" w:rsidRPr="00A02CEA" w:rsidRDefault="009D3CED" w:rsidP="00A02CEA">
      <w:pPr>
        <w:pStyle w:val="Lijstalinea"/>
        <w:numPr>
          <w:ilvl w:val="1"/>
          <w:numId w:val="46"/>
        </w:numPr>
        <w:spacing w:after="0" w:line="240" w:lineRule="auto"/>
        <w:jc w:val="both"/>
        <w:rPr>
          <w:rFonts w:ascii="Verdana" w:hAnsi="Verdana"/>
          <w:sz w:val="20"/>
        </w:rPr>
      </w:pPr>
      <w:r w:rsidRPr="00A02CEA">
        <w:rPr>
          <w:rFonts w:ascii="Verdana" w:hAnsi="Verdana"/>
          <w:sz w:val="20"/>
        </w:rPr>
        <w:t>20% van het gedeelte van het definitieve verdelingsplan over het dienstjaar 2018 dat aan de Vlaamse Gemeenschap werd toegewezen;</w:t>
      </w:r>
    </w:p>
    <w:p w14:paraId="3D8B460E" w14:textId="2824DB0F" w:rsidR="009D3CED" w:rsidRPr="00A02CEA" w:rsidRDefault="009D3CED" w:rsidP="00A02CEA">
      <w:pPr>
        <w:pStyle w:val="Lijstalinea"/>
        <w:numPr>
          <w:ilvl w:val="1"/>
          <w:numId w:val="46"/>
        </w:numPr>
        <w:spacing w:after="0" w:line="240" w:lineRule="auto"/>
        <w:jc w:val="both"/>
        <w:rPr>
          <w:rFonts w:ascii="Verdana" w:hAnsi="Verdana"/>
          <w:sz w:val="20"/>
        </w:rPr>
      </w:pPr>
      <w:r w:rsidRPr="00A02CEA">
        <w:rPr>
          <w:rFonts w:ascii="Verdana" w:hAnsi="Verdana"/>
          <w:sz w:val="20"/>
        </w:rPr>
        <w:t>80% van het verschil tussen het definitieve en het voorlopige verdelingsplan over het dienstjaar 2018.</w:t>
      </w:r>
    </w:p>
    <w:p w14:paraId="230B56A9" w14:textId="77777777" w:rsidR="009D3CED" w:rsidRPr="009D3CED" w:rsidRDefault="009D3CED" w:rsidP="00A02CEA">
      <w:pPr>
        <w:ind w:left="360"/>
        <w:jc w:val="both"/>
        <w:rPr>
          <w:rFonts w:ascii="Verdana" w:hAnsi="Verdana"/>
          <w:sz w:val="20"/>
        </w:rPr>
      </w:pPr>
    </w:p>
    <w:p w14:paraId="0508677E" w14:textId="77777777" w:rsidR="009D3CED" w:rsidRPr="009D3CED" w:rsidRDefault="009D3CED" w:rsidP="00A02CEA">
      <w:pPr>
        <w:ind w:left="360"/>
        <w:jc w:val="both"/>
        <w:rPr>
          <w:rFonts w:ascii="Verdana" w:hAnsi="Verdana"/>
          <w:sz w:val="20"/>
        </w:rPr>
      </w:pPr>
      <w:r w:rsidRPr="009D3CED">
        <w:rPr>
          <w:rFonts w:ascii="Verdana" w:hAnsi="Verdana"/>
          <w:sz w:val="20"/>
        </w:rPr>
        <w:t>De in de BFW voorziene winstdeling van de Nationale Loterij is een onvoorwaardelijke dotatie, net zoals de andere dotaties. De BFW bepaalt niet waaraan de gemeenschappen deze middelen moeten besteden.</w:t>
      </w:r>
    </w:p>
    <w:p w14:paraId="2E76F4F0" w14:textId="77777777" w:rsidR="009D3CED" w:rsidRPr="009D3CED" w:rsidRDefault="009D3CED" w:rsidP="00A02CEA">
      <w:pPr>
        <w:jc w:val="both"/>
        <w:rPr>
          <w:rFonts w:ascii="Verdana" w:hAnsi="Verdana"/>
          <w:sz w:val="20"/>
        </w:rPr>
      </w:pPr>
    </w:p>
    <w:p w14:paraId="249F5C74" w14:textId="570BFA23" w:rsidR="009D3CED" w:rsidRPr="009D3CED" w:rsidRDefault="009D3CED" w:rsidP="00A02CEA">
      <w:pPr>
        <w:ind w:left="426" w:hanging="426"/>
        <w:jc w:val="both"/>
        <w:rPr>
          <w:rFonts w:ascii="Verdana" w:hAnsi="Verdana"/>
          <w:sz w:val="20"/>
        </w:rPr>
      </w:pPr>
      <w:r w:rsidRPr="009D3CED">
        <w:rPr>
          <w:rFonts w:ascii="Verdana" w:hAnsi="Verdana"/>
          <w:sz w:val="20"/>
        </w:rPr>
        <w:t>2</w:t>
      </w:r>
      <w:r w:rsidR="00A02CEA">
        <w:rPr>
          <w:rFonts w:ascii="Verdana" w:hAnsi="Verdana"/>
          <w:sz w:val="20"/>
        </w:rPr>
        <w:t>-3</w:t>
      </w:r>
      <w:r w:rsidRPr="009D3CED">
        <w:rPr>
          <w:rFonts w:ascii="Verdana" w:hAnsi="Verdana"/>
          <w:sz w:val="20"/>
        </w:rPr>
        <w:t>.</w:t>
      </w:r>
      <w:r w:rsidR="00A02CEA">
        <w:rPr>
          <w:rFonts w:ascii="Verdana" w:hAnsi="Verdana"/>
          <w:sz w:val="20"/>
        </w:rPr>
        <w:tab/>
      </w:r>
      <w:r w:rsidRPr="009D3CED">
        <w:rPr>
          <w:rFonts w:ascii="Verdana" w:hAnsi="Verdana"/>
          <w:sz w:val="20"/>
        </w:rPr>
        <w:t>Oorspronkelijk werden de middelen van de Nationale Loterij verdeeld vanuit een provisie-artikel binnen het beleidsdomein Financiën en Begroting. Overeenstemmend het Algemeenheidsbeginsel van de begroting, is dit systeem al enkele jaren verlaten. Het Algemeenheidsbeginsel of Universaliteitsbeginsel houdt in dat de begroting alle ontvangsten en alle uitgaven omvat zonder onderlinge compensatie. In artikel 15 §1 van het decreet van 29 maart 2019 h</w:t>
      </w:r>
      <w:bookmarkStart w:id="0" w:name="_GoBack"/>
      <w:bookmarkEnd w:id="0"/>
      <w:r w:rsidRPr="009D3CED">
        <w:rPr>
          <w:rFonts w:ascii="Verdana" w:hAnsi="Verdana"/>
          <w:sz w:val="20"/>
        </w:rPr>
        <w:t xml:space="preserve">oudende de Vlaamse Codex Overheidsfinanciën (VCO) wordt verwezen naar de algemeenheid van de begroting, namelijk: “§1. De gezamenlijke ontvangsten zijn bestemd voor de gezamenlijke uitgaven.” </w:t>
      </w:r>
    </w:p>
    <w:p w14:paraId="10AA89A3" w14:textId="77777777" w:rsidR="009D3CED" w:rsidRPr="009D3CED" w:rsidRDefault="009D3CED" w:rsidP="00A02CEA">
      <w:pPr>
        <w:jc w:val="both"/>
        <w:rPr>
          <w:rFonts w:ascii="Verdana" w:hAnsi="Verdana"/>
          <w:sz w:val="20"/>
        </w:rPr>
      </w:pPr>
    </w:p>
    <w:p w14:paraId="796EEE3B" w14:textId="77777777" w:rsidR="00DD500A" w:rsidRPr="00214C83" w:rsidRDefault="009D3CED" w:rsidP="00A02CEA">
      <w:pPr>
        <w:ind w:left="426"/>
        <w:jc w:val="both"/>
      </w:pPr>
      <w:r w:rsidRPr="009D3CED">
        <w:rPr>
          <w:rFonts w:ascii="Verdana" w:hAnsi="Verdana"/>
          <w:sz w:val="20"/>
        </w:rPr>
        <w:t>De algemeenheid van de begroting heeft als logisch gevolg het principe van de niet-affectatie of niet-bestemming van bepaalde ontvangsten aan bepaalde uitgaven. De algemeenheid van de ontvangsten vereist immers dat het geheel van de ontvangsten van de overheid één massa vormt die, ongeacht oorsprong of aard ervan, moet dienen tot dekking van het totaal van de uitgaven.</w:t>
      </w:r>
    </w:p>
    <w:sectPr w:rsidR="00DD500A" w:rsidRPr="00214C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D4F4D" w14:textId="77777777" w:rsidR="00011EB7" w:rsidRDefault="00011EB7" w:rsidP="009D3CED">
      <w:r>
        <w:separator/>
      </w:r>
    </w:p>
  </w:endnote>
  <w:endnote w:type="continuationSeparator" w:id="0">
    <w:p w14:paraId="09EFD5E1" w14:textId="77777777" w:rsidR="00011EB7" w:rsidRDefault="00011EB7" w:rsidP="009D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D34A6" w14:textId="77777777" w:rsidR="00011EB7" w:rsidRDefault="00011EB7" w:rsidP="009D3CED">
      <w:r>
        <w:separator/>
      </w:r>
    </w:p>
  </w:footnote>
  <w:footnote w:type="continuationSeparator" w:id="0">
    <w:p w14:paraId="060D32F8" w14:textId="77777777" w:rsidR="00011EB7" w:rsidRDefault="00011EB7" w:rsidP="009D3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37AA"/>
    <w:multiLevelType w:val="hybridMultilevel"/>
    <w:tmpl w:val="7CAEC36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2AC04974"/>
    <w:multiLevelType w:val="hybridMultilevel"/>
    <w:tmpl w:val="4E0CAA8C"/>
    <w:lvl w:ilvl="0" w:tplc="0813000F">
      <w:start w:val="1"/>
      <w:numFmt w:val="decimal"/>
      <w:lvlText w:val="%1."/>
      <w:lvlJc w:val="left"/>
      <w:pPr>
        <w:ind w:left="360" w:hanging="360"/>
      </w:pPr>
      <w:rPr>
        <w:rFonts w:hint="default"/>
      </w:rPr>
    </w:lvl>
    <w:lvl w:ilvl="1" w:tplc="70527000">
      <w:numFmt w:val="bullet"/>
      <w:lvlText w:val="-"/>
      <w:lvlJc w:val="left"/>
      <w:pPr>
        <w:ind w:left="1080" w:hanging="360"/>
      </w:pPr>
      <w:rPr>
        <w:rFonts w:ascii="Verdana" w:eastAsia="Times New Roman" w:hAnsi="Verdana" w:cs="Times New Roman"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011EB7"/>
    <w:rsid w:val="00214C83"/>
    <w:rsid w:val="0044462C"/>
    <w:rsid w:val="007C11F4"/>
    <w:rsid w:val="00821058"/>
    <w:rsid w:val="009D3CED"/>
    <w:rsid w:val="00A02CEA"/>
    <w:rsid w:val="00B63EBD"/>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A3A78"/>
  <w15:docId w15:val="{703237EE-7FB1-4F3E-AFE0-4AAF02ED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3</cp:revision>
  <dcterms:created xsi:type="dcterms:W3CDTF">2020-02-07T12:17:00Z</dcterms:created>
  <dcterms:modified xsi:type="dcterms:W3CDTF">2020-02-07T14:00:00Z</dcterms:modified>
</cp:coreProperties>
</file>