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4E05B" w14:textId="77777777" w:rsidR="002B4494" w:rsidRPr="002B4494" w:rsidRDefault="002B4494" w:rsidP="002B4494">
      <w:pPr>
        <w:spacing w:before="120" w:line="260" w:lineRule="exact"/>
        <w:jc w:val="right"/>
        <w:rPr>
          <w:u w:val="single"/>
        </w:rPr>
      </w:pPr>
      <w:r w:rsidRPr="002B4494">
        <w:rPr>
          <w:u w:val="single"/>
        </w:rPr>
        <w:t>Bijlage 1</w:t>
      </w:r>
    </w:p>
    <w:p w14:paraId="587FC8BE" w14:textId="77777777" w:rsidR="002B4494" w:rsidRDefault="002B4494" w:rsidP="002B4494">
      <w:pPr>
        <w:spacing w:before="120" w:line="260" w:lineRule="exact"/>
        <w:jc w:val="center"/>
        <w:rPr>
          <w:b/>
          <w:sz w:val="24"/>
          <w:szCs w:val="24"/>
        </w:rPr>
      </w:pPr>
    </w:p>
    <w:p w14:paraId="3944F804" w14:textId="0F358C74" w:rsidR="00592F94" w:rsidRPr="00CF45AA" w:rsidRDefault="00BD5BB8" w:rsidP="00BD5BB8">
      <w:pPr>
        <w:spacing w:before="120" w:line="260" w:lineRule="exact"/>
        <w:rPr>
          <w:rFonts w:ascii="Verdana" w:hAnsi="Verdana"/>
          <w:b/>
          <w:sz w:val="20"/>
          <w:szCs w:val="20"/>
        </w:rPr>
      </w:pPr>
      <w:r w:rsidRPr="00CF45AA">
        <w:rPr>
          <w:rFonts w:ascii="Verdana" w:hAnsi="Verdana"/>
          <w:b/>
          <w:sz w:val="20"/>
          <w:szCs w:val="20"/>
        </w:rPr>
        <w:t>SV 297 (KVDH) (2018-2019) bijlage 1</w:t>
      </w:r>
      <w:bookmarkStart w:id="0" w:name="_GoBack"/>
      <w:bookmarkEnd w:id="0"/>
      <w:r w:rsidRPr="00CF45AA">
        <w:rPr>
          <w:rFonts w:ascii="Verdana" w:hAnsi="Verdana"/>
          <w:b/>
          <w:sz w:val="20"/>
          <w:szCs w:val="20"/>
        </w:rPr>
        <w:t xml:space="preserve">: </w:t>
      </w:r>
      <w:r w:rsidRPr="00CF45AA">
        <w:rPr>
          <w:rFonts w:ascii="Verdana" w:hAnsi="Verdana"/>
          <w:b/>
          <w:sz w:val="20"/>
          <w:szCs w:val="20"/>
          <w:lang w:val="nl-NL"/>
        </w:rPr>
        <w:t>Detailgegevens voor de provincie Oost-Vlaanderen</w:t>
      </w:r>
    </w:p>
    <w:p w14:paraId="25EB86E0" w14:textId="77777777" w:rsidR="00592F94" w:rsidRPr="00CF45AA" w:rsidRDefault="00592F94" w:rsidP="00592F94">
      <w:pPr>
        <w:spacing w:before="120" w:line="260" w:lineRule="exact"/>
        <w:rPr>
          <w:rFonts w:ascii="Verdana" w:hAnsi="Verdana"/>
          <w:sz w:val="20"/>
          <w:szCs w:val="20"/>
        </w:rPr>
      </w:pPr>
    </w:p>
    <w:p w14:paraId="57A1F58C" w14:textId="21744108" w:rsidR="004A6A64" w:rsidRPr="00CF45AA" w:rsidRDefault="00CF45AA" w:rsidP="002B4494">
      <w:pPr>
        <w:spacing w:before="120"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592F94" w:rsidRPr="00CF45AA">
        <w:rPr>
          <w:rFonts w:ascii="Verdana" w:hAnsi="Verdana"/>
          <w:sz w:val="20"/>
          <w:szCs w:val="20"/>
        </w:rPr>
        <w:t>tatistisch overzicht van de behandelde dossiers en aanvragen</w:t>
      </w:r>
      <w:r w:rsidR="009E1827" w:rsidRPr="00CF45AA">
        <w:rPr>
          <w:rFonts w:ascii="Verdana" w:hAnsi="Verdana"/>
          <w:sz w:val="20"/>
          <w:szCs w:val="20"/>
        </w:rPr>
        <w:t xml:space="preserve"> in verband met uitkleuringen op jachtplannen in Oost-Vlaanderen</w:t>
      </w:r>
      <w:r w:rsidR="00592F94" w:rsidRPr="00CF45AA">
        <w:rPr>
          <w:rFonts w:ascii="Verdana" w:hAnsi="Verdana"/>
          <w:sz w:val="20"/>
          <w:szCs w:val="20"/>
        </w:rPr>
        <w:t>.</w:t>
      </w:r>
    </w:p>
    <w:p w14:paraId="7B55E235" w14:textId="1AF8BF8F" w:rsidR="002B4494" w:rsidRPr="00CF45AA" w:rsidRDefault="00592F94" w:rsidP="002B4494">
      <w:pPr>
        <w:spacing w:before="120" w:line="260" w:lineRule="exact"/>
        <w:jc w:val="both"/>
        <w:rPr>
          <w:rFonts w:ascii="Verdana" w:hAnsi="Verdana"/>
          <w:sz w:val="20"/>
          <w:szCs w:val="20"/>
        </w:rPr>
      </w:pPr>
      <w:r w:rsidRPr="00CF45AA">
        <w:rPr>
          <w:rFonts w:ascii="Verdana" w:hAnsi="Verdana"/>
          <w:sz w:val="20"/>
          <w:szCs w:val="20"/>
        </w:rPr>
        <w:t>Een jachtseizoen loopt van 1 juli tot en met 30 juni.</w:t>
      </w:r>
      <w:r w:rsidR="009E1827" w:rsidRPr="00CF45AA">
        <w:rPr>
          <w:rFonts w:ascii="Verdana" w:hAnsi="Verdana"/>
          <w:sz w:val="20"/>
          <w:szCs w:val="20"/>
        </w:rPr>
        <w:t xml:space="preserve"> E</w:t>
      </w:r>
      <w:r w:rsidR="00CF45AA">
        <w:rPr>
          <w:rFonts w:ascii="Verdana" w:hAnsi="Verdana"/>
          <w:sz w:val="20"/>
          <w:szCs w:val="20"/>
        </w:rPr>
        <w:t>e</w:t>
      </w:r>
      <w:r w:rsidR="009E1827" w:rsidRPr="00CF45AA">
        <w:rPr>
          <w:rFonts w:ascii="Verdana" w:hAnsi="Verdana"/>
          <w:sz w:val="20"/>
          <w:szCs w:val="20"/>
        </w:rPr>
        <w:t>n aanvrager kan een verzoek indienen om meerdere percelen te laten sch</w:t>
      </w:r>
      <w:r w:rsidR="00DF32E4" w:rsidRPr="00CF45AA">
        <w:rPr>
          <w:rFonts w:ascii="Verdana" w:hAnsi="Verdana"/>
          <w:sz w:val="20"/>
          <w:szCs w:val="20"/>
        </w:rPr>
        <w:t>r</w:t>
      </w:r>
      <w:r w:rsidR="009E1827" w:rsidRPr="00CF45AA">
        <w:rPr>
          <w:rFonts w:ascii="Verdana" w:hAnsi="Verdana"/>
          <w:sz w:val="20"/>
          <w:szCs w:val="20"/>
        </w:rPr>
        <w:t>appen. De verzoeken tot schrapping hebben z</w:t>
      </w:r>
      <w:r w:rsidR="00DF32E4" w:rsidRPr="00CF45AA">
        <w:rPr>
          <w:rFonts w:ascii="Verdana" w:hAnsi="Verdana"/>
          <w:sz w:val="20"/>
          <w:szCs w:val="20"/>
        </w:rPr>
        <w:t>owel betrekking op particuliere</w:t>
      </w:r>
      <w:r w:rsidR="009E1827" w:rsidRPr="00CF45AA">
        <w:rPr>
          <w:rFonts w:ascii="Verdana" w:hAnsi="Verdana"/>
          <w:sz w:val="20"/>
          <w:szCs w:val="20"/>
        </w:rPr>
        <w:t xml:space="preserve"> eigendommen alsook</w:t>
      </w:r>
      <w:r w:rsidR="0073681C" w:rsidRPr="00CF45AA">
        <w:rPr>
          <w:rFonts w:ascii="Verdana" w:hAnsi="Verdana"/>
          <w:sz w:val="20"/>
          <w:szCs w:val="20"/>
        </w:rPr>
        <w:t xml:space="preserve"> op</w:t>
      </w:r>
      <w:r w:rsidR="009E1827" w:rsidRPr="00CF45AA">
        <w:rPr>
          <w:rFonts w:ascii="Verdana" w:hAnsi="Verdana"/>
          <w:sz w:val="20"/>
          <w:szCs w:val="20"/>
        </w:rPr>
        <w:t xml:space="preserve"> die van openbare besturen. </w:t>
      </w:r>
      <w:r w:rsidR="00C31710" w:rsidRPr="00CF45AA">
        <w:rPr>
          <w:rFonts w:ascii="Verdana" w:hAnsi="Verdana"/>
          <w:sz w:val="20"/>
          <w:szCs w:val="20"/>
        </w:rPr>
        <w:t>De cijfers omvatten zowel de verzoeken tot effectieve uitkleuring alsook de aanvragen tot nazicht van het eigendom</w:t>
      </w:r>
      <w:r w:rsidR="0073681C" w:rsidRPr="00CF45AA">
        <w:rPr>
          <w:rFonts w:ascii="Verdana" w:hAnsi="Verdana"/>
          <w:sz w:val="20"/>
          <w:szCs w:val="20"/>
        </w:rPr>
        <w:t xml:space="preserve"> op de jachtplannen.</w:t>
      </w:r>
    </w:p>
    <w:p w14:paraId="28D4101A" w14:textId="77777777" w:rsidR="00592F94" w:rsidRPr="00CF45AA" w:rsidRDefault="00592F94" w:rsidP="00592F94">
      <w:pPr>
        <w:spacing w:before="120" w:line="260" w:lineRule="exact"/>
        <w:rPr>
          <w:rFonts w:ascii="Verdana" w:hAnsi="Verdana"/>
          <w:sz w:val="20"/>
          <w:szCs w:val="20"/>
        </w:rPr>
      </w:pPr>
    </w:p>
    <w:tbl>
      <w:tblPr>
        <w:tblStyle w:val="Tabelraster"/>
        <w:tblW w:w="9493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507"/>
        <w:gridCol w:w="1772"/>
        <w:gridCol w:w="2274"/>
        <w:gridCol w:w="1730"/>
        <w:gridCol w:w="2210"/>
      </w:tblGrid>
      <w:tr w:rsidR="00033A98" w:rsidRPr="00CF45AA" w14:paraId="34D1947C" w14:textId="77777777" w:rsidTr="00033A98">
        <w:tc>
          <w:tcPr>
            <w:tcW w:w="1271" w:type="dxa"/>
          </w:tcPr>
          <w:p w14:paraId="6A7A913B" w14:textId="77777777" w:rsidR="00592F94" w:rsidRPr="00CF45AA" w:rsidRDefault="00592F94">
            <w:pPr>
              <w:rPr>
                <w:rFonts w:ascii="Verdana" w:hAnsi="Verdana"/>
                <w:sz w:val="20"/>
                <w:szCs w:val="20"/>
              </w:rPr>
            </w:pPr>
            <w:bookmarkStart w:id="1" w:name="_Hlk1985166"/>
            <w:r w:rsidRPr="00CF45AA">
              <w:rPr>
                <w:rFonts w:ascii="Verdana" w:hAnsi="Verdana"/>
                <w:sz w:val="20"/>
                <w:szCs w:val="20"/>
              </w:rPr>
              <w:t>Jaar</w:t>
            </w:r>
          </w:p>
        </w:tc>
        <w:tc>
          <w:tcPr>
            <w:tcW w:w="1843" w:type="dxa"/>
          </w:tcPr>
          <w:p w14:paraId="7B2271D3" w14:textId="77777777" w:rsidR="00592F94" w:rsidRPr="00CF45AA" w:rsidRDefault="00592F94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 xml:space="preserve">Aantal aanvragen </w:t>
            </w:r>
          </w:p>
          <w:p w14:paraId="7375B358" w14:textId="77777777" w:rsidR="00592F94" w:rsidRPr="00CF45AA" w:rsidRDefault="00592F94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 xml:space="preserve">voor </w:t>
            </w:r>
            <w:r w:rsidR="00DF32E4" w:rsidRPr="00CF45AA">
              <w:rPr>
                <w:rFonts w:ascii="Verdana" w:hAnsi="Verdana"/>
                <w:sz w:val="20"/>
                <w:szCs w:val="20"/>
              </w:rPr>
              <w:t>inzage</w:t>
            </w:r>
            <w:r w:rsidRPr="00CF45AA">
              <w:rPr>
                <w:rFonts w:ascii="Verdana" w:hAnsi="Verdana"/>
                <w:sz w:val="20"/>
                <w:szCs w:val="20"/>
              </w:rPr>
              <w:t>/ uitkleuringen</w:t>
            </w:r>
          </w:p>
        </w:tc>
        <w:tc>
          <w:tcPr>
            <w:tcW w:w="2126" w:type="dxa"/>
          </w:tcPr>
          <w:p w14:paraId="056E3560" w14:textId="77777777" w:rsidR="00592F94" w:rsidRPr="00CF45AA" w:rsidRDefault="00592F94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>Aantal percelen inzage/uitkleuringen</w:t>
            </w:r>
            <w:r w:rsidR="008974EE" w:rsidRPr="00CF45AA">
              <w:rPr>
                <w:rFonts w:ascii="Verdana" w:hAnsi="Verdana"/>
                <w:sz w:val="20"/>
                <w:szCs w:val="20"/>
              </w:rPr>
              <w:br/>
              <w:t>aangevraagd</w:t>
            </w:r>
          </w:p>
        </w:tc>
        <w:tc>
          <w:tcPr>
            <w:tcW w:w="1843" w:type="dxa"/>
          </w:tcPr>
          <w:p w14:paraId="700267D5" w14:textId="26C6E775" w:rsidR="00592F94" w:rsidRPr="00CF45AA" w:rsidRDefault="008974EE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>Percelen die niet uitgekleurd we</w:t>
            </w:r>
            <w:r w:rsidR="009E1827" w:rsidRPr="00CF45AA">
              <w:rPr>
                <w:rFonts w:ascii="Verdana" w:hAnsi="Verdana"/>
                <w:sz w:val="20"/>
                <w:szCs w:val="20"/>
              </w:rPr>
              <w:t>rden</w:t>
            </w:r>
            <w:r w:rsidR="00CF45AA">
              <w:rPr>
                <w:rFonts w:ascii="Verdana" w:hAnsi="Verdana"/>
                <w:sz w:val="20"/>
                <w:szCs w:val="20"/>
              </w:rPr>
              <w:t>,</w:t>
            </w:r>
            <w:r w:rsidR="00DF32E4" w:rsidRPr="00CF45AA">
              <w:rPr>
                <w:rFonts w:ascii="Verdana" w:hAnsi="Verdana"/>
                <w:sz w:val="20"/>
                <w:szCs w:val="20"/>
              </w:rPr>
              <w:t xml:space="preserve"> en inzage van</w:t>
            </w:r>
            <w:r w:rsidR="00501F65" w:rsidRPr="00CF45AA">
              <w:rPr>
                <w:rFonts w:ascii="Verdana" w:hAnsi="Verdana"/>
                <w:sz w:val="20"/>
                <w:szCs w:val="20"/>
              </w:rPr>
              <w:t xml:space="preserve"> jachtplan</w:t>
            </w:r>
            <w:r w:rsidR="009E1827" w:rsidRPr="00CF45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F65" w:rsidRPr="00CF45AA">
              <w:rPr>
                <w:rFonts w:ascii="Verdana" w:hAnsi="Verdana"/>
                <w:sz w:val="20"/>
                <w:szCs w:val="20"/>
              </w:rPr>
              <w:t>(*)</w:t>
            </w:r>
          </w:p>
        </w:tc>
        <w:tc>
          <w:tcPr>
            <w:tcW w:w="2410" w:type="dxa"/>
          </w:tcPr>
          <w:p w14:paraId="27564CEB" w14:textId="77777777" w:rsidR="00592F94" w:rsidRPr="00CF45AA" w:rsidRDefault="00524DB9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 xml:space="preserve">Aantal percelen </w:t>
            </w:r>
            <w:r w:rsidR="008974EE" w:rsidRPr="00CF45AA">
              <w:rPr>
                <w:rFonts w:ascii="Verdana" w:hAnsi="Verdana"/>
                <w:sz w:val="20"/>
                <w:szCs w:val="20"/>
              </w:rPr>
              <w:t>uitkleuringen</w:t>
            </w:r>
          </w:p>
        </w:tc>
      </w:tr>
      <w:tr w:rsidR="00033A98" w:rsidRPr="00CF45AA" w14:paraId="0D571F8D" w14:textId="77777777" w:rsidTr="00033A98">
        <w:tc>
          <w:tcPr>
            <w:tcW w:w="1271" w:type="dxa"/>
          </w:tcPr>
          <w:p w14:paraId="673A2CF7" w14:textId="77777777" w:rsidR="00592F94" w:rsidRPr="00CF45AA" w:rsidRDefault="00592F94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>2015-2016</w:t>
            </w:r>
          </w:p>
        </w:tc>
        <w:tc>
          <w:tcPr>
            <w:tcW w:w="1843" w:type="dxa"/>
          </w:tcPr>
          <w:p w14:paraId="3DDBEA5B" w14:textId="77777777" w:rsidR="00592F94" w:rsidRPr="00CF45AA" w:rsidRDefault="00AC331A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>192</w:t>
            </w:r>
          </w:p>
        </w:tc>
        <w:tc>
          <w:tcPr>
            <w:tcW w:w="2126" w:type="dxa"/>
          </w:tcPr>
          <w:p w14:paraId="38BA6ABE" w14:textId="77777777" w:rsidR="00592F94" w:rsidRPr="00CF45AA" w:rsidRDefault="000B26AB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>1028</w:t>
            </w:r>
          </w:p>
        </w:tc>
        <w:tc>
          <w:tcPr>
            <w:tcW w:w="1843" w:type="dxa"/>
          </w:tcPr>
          <w:p w14:paraId="629DD203" w14:textId="77777777" w:rsidR="00592F94" w:rsidRPr="00CF45AA" w:rsidRDefault="000B26AB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>537 (52%)</w:t>
            </w:r>
          </w:p>
        </w:tc>
        <w:tc>
          <w:tcPr>
            <w:tcW w:w="2410" w:type="dxa"/>
          </w:tcPr>
          <w:p w14:paraId="5B8EB8DF" w14:textId="77777777" w:rsidR="00592F94" w:rsidRPr="00CF45AA" w:rsidRDefault="000B26AB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>491 (48%)</w:t>
            </w:r>
          </w:p>
        </w:tc>
      </w:tr>
      <w:tr w:rsidR="00033A98" w:rsidRPr="00CF45AA" w14:paraId="44F2FF18" w14:textId="77777777" w:rsidTr="00033A98">
        <w:tc>
          <w:tcPr>
            <w:tcW w:w="1271" w:type="dxa"/>
          </w:tcPr>
          <w:p w14:paraId="62622436" w14:textId="77777777" w:rsidR="00592F94" w:rsidRPr="00CF45AA" w:rsidRDefault="00F507FD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>2016-2017</w:t>
            </w:r>
          </w:p>
        </w:tc>
        <w:tc>
          <w:tcPr>
            <w:tcW w:w="1843" w:type="dxa"/>
          </w:tcPr>
          <w:p w14:paraId="6A140A19" w14:textId="77777777" w:rsidR="00592F94" w:rsidRPr="00CF45AA" w:rsidRDefault="00B06EF9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>166</w:t>
            </w:r>
          </w:p>
        </w:tc>
        <w:tc>
          <w:tcPr>
            <w:tcW w:w="2126" w:type="dxa"/>
          </w:tcPr>
          <w:p w14:paraId="1DD46329" w14:textId="77777777" w:rsidR="00592F94" w:rsidRPr="00CF45AA" w:rsidRDefault="003B0674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>1</w:t>
            </w:r>
            <w:r w:rsidR="00085191" w:rsidRPr="00CF45AA">
              <w:rPr>
                <w:rFonts w:ascii="Verdana" w:hAnsi="Verdana"/>
                <w:sz w:val="20"/>
                <w:szCs w:val="20"/>
              </w:rPr>
              <w:t>171</w:t>
            </w:r>
          </w:p>
        </w:tc>
        <w:tc>
          <w:tcPr>
            <w:tcW w:w="1843" w:type="dxa"/>
          </w:tcPr>
          <w:p w14:paraId="77ECDBF5" w14:textId="77777777" w:rsidR="00592F94" w:rsidRPr="00CF45AA" w:rsidRDefault="00085191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>418</w:t>
            </w:r>
            <w:r w:rsidR="0073681C" w:rsidRPr="00CF45AA">
              <w:rPr>
                <w:rFonts w:ascii="Verdana" w:hAnsi="Verdana"/>
                <w:sz w:val="20"/>
                <w:szCs w:val="20"/>
              </w:rPr>
              <w:t xml:space="preserve"> (36%)</w:t>
            </w:r>
          </w:p>
        </w:tc>
        <w:tc>
          <w:tcPr>
            <w:tcW w:w="2410" w:type="dxa"/>
          </w:tcPr>
          <w:p w14:paraId="54BF2B75" w14:textId="77777777" w:rsidR="00592F94" w:rsidRPr="00CF45AA" w:rsidRDefault="00F0147A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>753</w:t>
            </w:r>
            <w:r w:rsidR="0073681C" w:rsidRPr="00CF45AA">
              <w:rPr>
                <w:rFonts w:ascii="Verdana" w:hAnsi="Verdana"/>
                <w:sz w:val="20"/>
                <w:szCs w:val="20"/>
              </w:rPr>
              <w:t xml:space="preserve"> (64%)</w:t>
            </w:r>
          </w:p>
        </w:tc>
      </w:tr>
      <w:tr w:rsidR="00033A98" w:rsidRPr="00CF45AA" w14:paraId="3EEF2535" w14:textId="77777777" w:rsidTr="00033A98">
        <w:tc>
          <w:tcPr>
            <w:tcW w:w="1271" w:type="dxa"/>
          </w:tcPr>
          <w:p w14:paraId="39312285" w14:textId="77777777" w:rsidR="00592F94" w:rsidRPr="00CF45AA" w:rsidRDefault="00837C61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>Eerste helft 2017</w:t>
            </w:r>
          </w:p>
        </w:tc>
        <w:tc>
          <w:tcPr>
            <w:tcW w:w="1843" w:type="dxa"/>
          </w:tcPr>
          <w:p w14:paraId="2D062A40" w14:textId="77777777" w:rsidR="00592F94" w:rsidRPr="00CF45AA" w:rsidRDefault="006A79AE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>112</w:t>
            </w:r>
          </w:p>
        </w:tc>
        <w:tc>
          <w:tcPr>
            <w:tcW w:w="2126" w:type="dxa"/>
          </w:tcPr>
          <w:p w14:paraId="608F9C3C" w14:textId="77777777" w:rsidR="00592F94" w:rsidRPr="00CF45AA" w:rsidRDefault="00EA6227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>921</w:t>
            </w:r>
          </w:p>
        </w:tc>
        <w:tc>
          <w:tcPr>
            <w:tcW w:w="1843" w:type="dxa"/>
          </w:tcPr>
          <w:p w14:paraId="0069927A" w14:textId="77777777" w:rsidR="00592F94" w:rsidRPr="00CF45AA" w:rsidRDefault="006A79AE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>311 (34%)</w:t>
            </w:r>
          </w:p>
        </w:tc>
        <w:tc>
          <w:tcPr>
            <w:tcW w:w="2410" w:type="dxa"/>
          </w:tcPr>
          <w:p w14:paraId="6D24FC47" w14:textId="77777777" w:rsidR="00592F94" w:rsidRPr="00CF45AA" w:rsidRDefault="006A79AE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>610 (66%)</w:t>
            </w:r>
          </w:p>
        </w:tc>
      </w:tr>
      <w:tr w:rsidR="00033A98" w:rsidRPr="00CF45AA" w14:paraId="1448BD0A" w14:textId="77777777" w:rsidTr="00033A98">
        <w:tc>
          <w:tcPr>
            <w:tcW w:w="1271" w:type="dxa"/>
          </w:tcPr>
          <w:p w14:paraId="77733C3D" w14:textId="77777777" w:rsidR="00592F94" w:rsidRPr="00CF45AA" w:rsidRDefault="00837C61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>Tweede helft 2017</w:t>
            </w:r>
          </w:p>
        </w:tc>
        <w:tc>
          <w:tcPr>
            <w:tcW w:w="1843" w:type="dxa"/>
          </w:tcPr>
          <w:p w14:paraId="1ADAF622" w14:textId="77777777" w:rsidR="00592F94" w:rsidRPr="00CF45AA" w:rsidRDefault="00E17DDD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>492</w:t>
            </w:r>
          </w:p>
        </w:tc>
        <w:tc>
          <w:tcPr>
            <w:tcW w:w="2126" w:type="dxa"/>
          </w:tcPr>
          <w:p w14:paraId="5D21477F" w14:textId="77777777" w:rsidR="00592F94" w:rsidRPr="00CF45AA" w:rsidRDefault="00767C7C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>1843</w:t>
            </w:r>
          </w:p>
        </w:tc>
        <w:tc>
          <w:tcPr>
            <w:tcW w:w="1843" w:type="dxa"/>
          </w:tcPr>
          <w:p w14:paraId="60C0C879" w14:textId="77777777" w:rsidR="00592F94" w:rsidRPr="00CF45AA" w:rsidRDefault="00E17DDD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>320 (17%)</w:t>
            </w:r>
          </w:p>
        </w:tc>
        <w:tc>
          <w:tcPr>
            <w:tcW w:w="2410" w:type="dxa"/>
          </w:tcPr>
          <w:p w14:paraId="5ED7B507" w14:textId="77777777" w:rsidR="00592F94" w:rsidRPr="00CF45AA" w:rsidRDefault="00E17DDD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>1523 (83%)</w:t>
            </w:r>
          </w:p>
        </w:tc>
      </w:tr>
      <w:tr w:rsidR="00033A98" w:rsidRPr="00CF45AA" w14:paraId="2F41ED75" w14:textId="77777777" w:rsidTr="00033A98">
        <w:tc>
          <w:tcPr>
            <w:tcW w:w="1271" w:type="dxa"/>
          </w:tcPr>
          <w:p w14:paraId="4588E6E6" w14:textId="77777777" w:rsidR="00592F94" w:rsidRPr="00CF45AA" w:rsidRDefault="00837C61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>2017-2018</w:t>
            </w:r>
          </w:p>
        </w:tc>
        <w:tc>
          <w:tcPr>
            <w:tcW w:w="1843" w:type="dxa"/>
          </w:tcPr>
          <w:p w14:paraId="300EDD39" w14:textId="77777777" w:rsidR="00592F94" w:rsidRPr="00CF45AA" w:rsidRDefault="00E36956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>907</w:t>
            </w:r>
          </w:p>
        </w:tc>
        <w:tc>
          <w:tcPr>
            <w:tcW w:w="2126" w:type="dxa"/>
          </w:tcPr>
          <w:p w14:paraId="45499B1D" w14:textId="77777777" w:rsidR="00592F94" w:rsidRPr="00CF45AA" w:rsidRDefault="00E36956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>2957</w:t>
            </w:r>
          </w:p>
        </w:tc>
        <w:tc>
          <w:tcPr>
            <w:tcW w:w="1843" w:type="dxa"/>
          </w:tcPr>
          <w:p w14:paraId="33D08559" w14:textId="77777777" w:rsidR="00592F94" w:rsidRPr="00CF45AA" w:rsidRDefault="00E17DDD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>561 (20%)</w:t>
            </w:r>
          </w:p>
        </w:tc>
        <w:tc>
          <w:tcPr>
            <w:tcW w:w="2410" w:type="dxa"/>
          </w:tcPr>
          <w:p w14:paraId="61986AB1" w14:textId="77777777" w:rsidR="00592F94" w:rsidRPr="00CF45AA" w:rsidRDefault="00E17DDD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>2396 (80%)</w:t>
            </w:r>
          </w:p>
        </w:tc>
      </w:tr>
      <w:tr w:rsidR="00033A98" w:rsidRPr="00CF45AA" w14:paraId="16F0B516" w14:textId="77777777" w:rsidTr="00033A98">
        <w:tc>
          <w:tcPr>
            <w:tcW w:w="1271" w:type="dxa"/>
          </w:tcPr>
          <w:p w14:paraId="0F3F5D3A" w14:textId="77777777" w:rsidR="00592F94" w:rsidRPr="00CF45AA" w:rsidRDefault="00837C61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>2018-2019</w:t>
            </w:r>
            <w:r w:rsidR="00582693" w:rsidRPr="00CF45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82693" w:rsidRPr="00CF45AA">
              <w:rPr>
                <w:rFonts w:ascii="Verdana" w:hAnsi="Verdana"/>
                <w:sz w:val="20"/>
                <w:szCs w:val="20"/>
              </w:rPr>
              <w:br/>
              <w:t>(</w:t>
            </w:r>
            <w:r w:rsidR="00750CE6" w:rsidRPr="00CF45AA">
              <w:rPr>
                <w:rFonts w:ascii="Verdana" w:hAnsi="Verdana"/>
                <w:sz w:val="20"/>
                <w:szCs w:val="20"/>
              </w:rPr>
              <w:t>cijfers tot 12/12/2018</w:t>
            </w:r>
            <w:r w:rsidR="00582693" w:rsidRPr="00CF45AA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0CE824A2" w14:textId="77777777" w:rsidR="00592F94" w:rsidRPr="00CF45AA" w:rsidRDefault="00555FE8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>141</w:t>
            </w:r>
          </w:p>
        </w:tc>
        <w:tc>
          <w:tcPr>
            <w:tcW w:w="2126" w:type="dxa"/>
          </w:tcPr>
          <w:p w14:paraId="40D214EC" w14:textId="77777777" w:rsidR="00592F94" w:rsidRPr="00CF45AA" w:rsidRDefault="00555FE8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>940</w:t>
            </w:r>
          </w:p>
        </w:tc>
        <w:tc>
          <w:tcPr>
            <w:tcW w:w="1843" w:type="dxa"/>
          </w:tcPr>
          <w:p w14:paraId="567972CE" w14:textId="77777777" w:rsidR="00592F94" w:rsidRPr="00CF45AA" w:rsidRDefault="00582693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>90 (10%)</w:t>
            </w:r>
          </w:p>
        </w:tc>
        <w:tc>
          <w:tcPr>
            <w:tcW w:w="2410" w:type="dxa"/>
          </w:tcPr>
          <w:p w14:paraId="0C363735" w14:textId="77777777" w:rsidR="00592F94" w:rsidRPr="00CF45AA" w:rsidRDefault="00582693">
            <w:pPr>
              <w:rPr>
                <w:rFonts w:ascii="Verdana" w:hAnsi="Verdana"/>
                <w:sz w:val="20"/>
                <w:szCs w:val="20"/>
              </w:rPr>
            </w:pPr>
            <w:r w:rsidRPr="00CF45AA">
              <w:rPr>
                <w:rFonts w:ascii="Verdana" w:hAnsi="Verdana"/>
                <w:sz w:val="20"/>
                <w:szCs w:val="20"/>
              </w:rPr>
              <w:t xml:space="preserve">850 </w:t>
            </w:r>
            <w:r w:rsidR="006E23AE" w:rsidRPr="00CF45AA">
              <w:rPr>
                <w:rFonts w:ascii="Verdana" w:hAnsi="Verdana"/>
                <w:sz w:val="20"/>
                <w:szCs w:val="20"/>
              </w:rPr>
              <w:t>(90%)</w:t>
            </w:r>
          </w:p>
        </w:tc>
      </w:tr>
    </w:tbl>
    <w:bookmarkEnd w:id="1"/>
    <w:p w14:paraId="2B5FD5C0" w14:textId="77777777" w:rsidR="004A6A64" w:rsidRPr="00CF45AA" w:rsidRDefault="004A6A64">
      <w:pPr>
        <w:rPr>
          <w:rFonts w:ascii="Verdana" w:hAnsi="Verdana"/>
          <w:sz w:val="20"/>
          <w:szCs w:val="20"/>
        </w:rPr>
      </w:pPr>
      <w:r w:rsidRPr="00CF45AA">
        <w:rPr>
          <w:rFonts w:ascii="Verdana" w:hAnsi="Verdana"/>
          <w:sz w:val="20"/>
          <w:szCs w:val="20"/>
        </w:rPr>
        <w:t>Onvolledig</w:t>
      </w:r>
      <w:r w:rsidR="00750CE6" w:rsidRPr="00CF45AA">
        <w:rPr>
          <w:rFonts w:ascii="Verdana" w:hAnsi="Verdana"/>
          <w:sz w:val="20"/>
          <w:szCs w:val="20"/>
        </w:rPr>
        <w:t>e</w:t>
      </w:r>
      <w:r w:rsidRPr="00CF45AA">
        <w:rPr>
          <w:rFonts w:ascii="Verdana" w:hAnsi="Verdana"/>
          <w:sz w:val="20"/>
          <w:szCs w:val="20"/>
        </w:rPr>
        <w:t xml:space="preserve"> aanvragen kunnen niet verwerkt worden.</w:t>
      </w:r>
    </w:p>
    <w:p w14:paraId="1697E88A" w14:textId="77777777" w:rsidR="00F5016E" w:rsidRPr="00CF45AA" w:rsidRDefault="00F5016E">
      <w:pPr>
        <w:rPr>
          <w:rFonts w:ascii="Verdana" w:hAnsi="Verdana"/>
          <w:sz w:val="20"/>
          <w:szCs w:val="20"/>
        </w:rPr>
      </w:pPr>
    </w:p>
    <w:p w14:paraId="5CC0BC0A" w14:textId="77777777" w:rsidR="00F5016E" w:rsidRPr="00CF45AA" w:rsidRDefault="00524DB9" w:rsidP="00F5016E">
      <w:pPr>
        <w:spacing w:before="120" w:line="260" w:lineRule="exact"/>
        <w:rPr>
          <w:rFonts w:ascii="Verdana" w:hAnsi="Verdana"/>
          <w:sz w:val="20"/>
          <w:szCs w:val="20"/>
        </w:rPr>
      </w:pPr>
      <w:r w:rsidRPr="00CF45AA">
        <w:rPr>
          <w:rFonts w:ascii="Verdana" w:hAnsi="Verdana"/>
          <w:sz w:val="20"/>
          <w:szCs w:val="20"/>
        </w:rPr>
        <w:t xml:space="preserve">(* ) </w:t>
      </w:r>
      <w:r w:rsidR="00F5016E" w:rsidRPr="00CF45AA">
        <w:rPr>
          <w:rFonts w:ascii="Verdana" w:hAnsi="Verdana"/>
          <w:sz w:val="20"/>
          <w:szCs w:val="20"/>
        </w:rPr>
        <w:t xml:space="preserve">Mogelijke </w:t>
      </w:r>
      <w:r w:rsidR="002B4494" w:rsidRPr="00CF45AA">
        <w:rPr>
          <w:rFonts w:ascii="Verdana" w:hAnsi="Verdana"/>
          <w:sz w:val="20"/>
          <w:szCs w:val="20"/>
        </w:rPr>
        <w:t>redenen om niet uit te kleuren:</w:t>
      </w:r>
    </w:p>
    <w:p w14:paraId="68FAB787" w14:textId="10B61F1F" w:rsidR="00524DB9" w:rsidRPr="00CF45AA" w:rsidRDefault="002B4494" w:rsidP="00F5016E">
      <w:pPr>
        <w:pStyle w:val="Lijstalinea"/>
        <w:numPr>
          <w:ilvl w:val="0"/>
          <w:numId w:val="1"/>
        </w:numPr>
        <w:spacing w:before="120" w:line="260" w:lineRule="exact"/>
        <w:rPr>
          <w:rFonts w:ascii="Verdana" w:hAnsi="Verdana"/>
          <w:sz w:val="20"/>
          <w:szCs w:val="20"/>
        </w:rPr>
      </w:pPr>
      <w:r w:rsidRPr="00CF45AA">
        <w:rPr>
          <w:rFonts w:ascii="Verdana" w:hAnsi="Verdana"/>
          <w:sz w:val="20"/>
          <w:szCs w:val="20"/>
        </w:rPr>
        <w:t>e</w:t>
      </w:r>
      <w:r w:rsidR="00524DB9" w:rsidRPr="00CF45AA">
        <w:rPr>
          <w:rFonts w:ascii="Verdana" w:hAnsi="Verdana"/>
          <w:sz w:val="20"/>
          <w:szCs w:val="20"/>
        </w:rPr>
        <w:t xml:space="preserve">igenaars die </w:t>
      </w:r>
      <w:r w:rsidR="00CF45AA" w:rsidRPr="00CF45AA">
        <w:rPr>
          <w:rFonts w:ascii="Verdana" w:hAnsi="Verdana"/>
          <w:sz w:val="20"/>
          <w:szCs w:val="20"/>
        </w:rPr>
        <w:t>alleen</w:t>
      </w:r>
      <w:r w:rsidR="00524DB9" w:rsidRPr="00CF45AA">
        <w:rPr>
          <w:rFonts w:ascii="Verdana" w:hAnsi="Verdana"/>
          <w:sz w:val="20"/>
          <w:szCs w:val="20"/>
        </w:rPr>
        <w:t xml:space="preserve"> een opzoeking op het jachtplan vragen</w:t>
      </w:r>
      <w:r w:rsidR="00CF45AA" w:rsidRPr="00CF45AA">
        <w:rPr>
          <w:rFonts w:ascii="Verdana" w:hAnsi="Verdana"/>
          <w:sz w:val="20"/>
          <w:szCs w:val="20"/>
        </w:rPr>
        <w:t>;</w:t>
      </w:r>
    </w:p>
    <w:p w14:paraId="755FA575" w14:textId="3A41FDE5" w:rsidR="00F5016E" w:rsidRPr="00CF45AA" w:rsidRDefault="002B4494" w:rsidP="00F5016E">
      <w:pPr>
        <w:pStyle w:val="Lijstalinea"/>
        <w:numPr>
          <w:ilvl w:val="0"/>
          <w:numId w:val="1"/>
        </w:numPr>
        <w:spacing w:before="120" w:line="260" w:lineRule="exact"/>
        <w:rPr>
          <w:rFonts w:ascii="Verdana" w:hAnsi="Verdana"/>
          <w:sz w:val="20"/>
          <w:szCs w:val="20"/>
        </w:rPr>
      </w:pPr>
      <w:r w:rsidRPr="00CF45AA">
        <w:rPr>
          <w:rFonts w:ascii="Verdana" w:hAnsi="Verdana"/>
          <w:sz w:val="20"/>
          <w:szCs w:val="20"/>
        </w:rPr>
        <w:t>ja</w:t>
      </w:r>
      <w:r w:rsidR="00F5016E" w:rsidRPr="00CF45AA">
        <w:rPr>
          <w:rFonts w:ascii="Verdana" w:hAnsi="Verdana"/>
          <w:sz w:val="20"/>
          <w:szCs w:val="20"/>
        </w:rPr>
        <w:t>chtrecht verhuurd</w:t>
      </w:r>
      <w:r w:rsidR="00CF45AA" w:rsidRPr="00CF45AA">
        <w:rPr>
          <w:rFonts w:ascii="Verdana" w:hAnsi="Verdana"/>
          <w:sz w:val="20"/>
          <w:szCs w:val="20"/>
        </w:rPr>
        <w:t>;</w:t>
      </w:r>
    </w:p>
    <w:p w14:paraId="715B7D86" w14:textId="7F109571" w:rsidR="00F5016E" w:rsidRPr="00CF45AA" w:rsidRDefault="002B4494" w:rsidP="00F5016E">
      <w:pPr>
        <w:pStyle w:val="Lijstalinea"/>
        <w:numPr>
          <w:ilvl w:val="0"/>
          <w:numId w:val="1"/>
        </w:numPr>
        <w:spacing w:before="120" w:line="260" w:lineRule="exact"/>
        <w:rPr>
          <w:rFonts w:ascii="Verdana" w:hAnsi="Verdana"/>
          <w:sz w:val="20"/>
          <w:szCs w:val="20"/>
        </w:rPr>
      </w:pPr>
      <w:r w:rsidRPr="00CF45AA">
        <w:rPr>
          <w:rFonts w:ascii="Verdana" w:hAnsi="Verdana"/>
          <w:sz w:val="20"/>
          <w:szCs w:val="20"/>
        </w:rPr>
        <w:t>a</w:t>
      </w:r>
      <w:r w:rsidR="00F5016E" w:rsidRPr="00CF45AA">
        <w:rPr>
          <w:rFonts w:ascii="Verdana" w:hAnsi="Verdana"/>
          <w:sz w:val="20"/>
          <w:szCs w:val="20"/>
        </w:rPr>
        <w:t>anvraag doorgestuurd naar andere provincie</w:t>
      </w:r>
      <w:r w:rsidR="00CF45AA" w:rsidRPr="00CF45AA">
        <w:rPr>
          <w:rFonts w:ascii="Verdana" w:hAnsi="Verdana"/>
          <w:sz w:val="20"/>
          <w:szCs w:val="20"/>
        </w:rPr>
        <w:t>;</w:t>
      </w:r>
    </w:p>
    <w:p w14:paraId="5DEB7FD4" w14:textId="7BF0F881" w:rsidR="00F5016E" w:rsidRPr="00CF45AA" w:rsidRDefault="00CF45AA" w:rsidP="002B4494">
      <w:pPr>
        <w:pStyle w:val="Lijstalinea"/>
        <w:numPr>
          <w:ilvl w:val="0"/>
          <w:numId w:val="1"/>
        </w:numPr>
        <w:spacing w:before="120" w:line="260" w:lineRule="exact"/>
        <w:jc w:val="both"/>
        <w:rPr>
          <w:rFonts w:ascii="Verdana" w:hAnsi="Verdana"/>
          <w:sz w:val="20"/>
          <w:szCs w:val="20"/>
        </w:rPr>
      </w:pPr>
      <w:r w:rsidRPr="00CF45AA">
        <w:rPr>
          <w:rFonts w:ascii="Verdana" w:hAnsi="Verdana"/>
          <w:sz w:val="20"/>
          <w:szCs w:val="20"/>
        </w:rPr>
        <w:t>o</w:t>
      </w:r>
      <w:r w:rsidR="00F5016E" w:rsidRPr="00CF45AA">
        <w:rPr>
          <w:rFonts w:ascii="Verdana" w:hAnsi="Verdana"/>
          <w:sz w:val="20"/>
          <w:szCs w:val="20"/>
        </w:rPr>
        <w:t>p geopunt.be is een perceel soms ingetekend als bejaagd, terwijl het op de actuele plannen als niet bejaagd staat aangegeven. Op geopunt.be staan niet de meest recente jachtplannen</w:t>
      </w:r>
      <w:r w:rsidR="00524DB9" w:rsidRPr="00CF45AA">
        <w:rPr>
          <w:rFonts w:ascii="Verdana" w:hAnsi="Verdana"/>
          <w:sz w:val="20"/>
          <w:szCs w:val="20"/>
        </w:rPr>
        <w:t xml:space="preserve">. De publicatie op geopunt.be van de jachtplannen </w:t>
      </w:r>
      <w:r w:rsidR="00B64A81" w:rsidRPr="00CF45AA">
        <w:rPr>
          <w:rFonts w:ascii="Verdana" w:hAnsi="Verdana"/>
          <w:sz w:val="20"/>
          <w:szCs w:val="20"/>
        </w:rPr>
        <w:t>20</w:t>
      </w:r>
      <w:r w:rsidR="00524DB9" w:rsidRPr="00CF45AA">
        <w:rPr>
          <w:rFonts w:ascii="Verdana" w:hAnsi="Verdana"/>
          <w:sz w:val="20"/>
          <w:szCs w:val="20"/>
        </w:rPr>
        <w:t>16-</w:t>
      </w:r>
      <w:r w:rsidR="00B64A81" w:rsidRPr="00CF45AA">
        <w:rPr>
          <w:rFonts w:ascii="Verdana" w:hAnsi="Verdana"/>
          <w:sz w:val="20"/>
          <w:szCs w:val="20"/>
        </w:rPr>
        <w:t>20</w:t>
      </w:r>
      <w:r w:rsidR="00524DB9" w:rsidRPr="00CF45AA">
        <w:rPr>
          <w:rFonts w:ascii="Verdana" w:hAnsi="Verdana"/>
          <w:sz w:val="20"/>
          <w:szCs w:val="20"/>
        </w:rPr>
        <w:t>17 gebeurde in juli 2017, op het moment d</w:t>
      </w:r>
      <w:r w:rsidR="00DF32E4" w:rsidRPr="00CF45AA">
        <w:rPr>
          <w:rFonts w:ascii="Verdana" w:hAnsi="Verdana"/>
          <w:sz w:val="20"/>
          <w:szCs w:val="20"/>
        </w:rPr>
        <w:t xml:space="preserve">at het jachtseizoen </w:t>
      </w:r>
      <w:r w:rsidR="00B64A81" w:rsidRPr="00CF45AA">
        <w:rPr>
          <w:rFonts w:ascii="Verdana" w:hAnsi="Verdana"/>
          <w:sz w:val="20"/>
          <w:szCs w:val="20"/>
        </w:rPr>
        <w:t>20</w:t>
      </w:r>
      <w:r w:rsidR="00DF32E4" w:rsidRPr="00CF45AA">
        <w:rPr>
          <w:rFonts w:ascii="Verdana" w:hAnsi="Verdana"/>
          <w:sz w:val="20"/>
          <w:szCs w:val="20"/>
        </w:rPr>
        <w:t>17-</w:t>
      </w:r>
      <w:r w:rsidR="00B64A81" w:rsidRPr="00CF45AA">
        <w:rPr>
          <w:rFonts w:ascii="Verdana" w:hAnsi="Verdana"/>
          <w:sz w:val="20"/>
          <w:szCs w:val="20"/>
        </w:rPr>
        <w:t>20</w:t>
      </w:r>
      <w:r w:rsidR="00DF32E4" w:rsidRPr="00CF45AA">
        <w:rPr>
          <w:rFonts w:ascii="Verdana" w:hAnsi="Verdana"/>
          <w:sz w:val="20"/>
          <w:szCs w:val="20"/>
        </w:rPr>
        <w:t>18 begon</w:t>
      </w:r>
      <w:r w:rsidR="00B64A81" w:rsidRPr="00CF45AA">
        <w:rPr>
          <w:rFonts w:ascii="Verdana" w:hAnsi="Verdana"/>
          <w:sz w:val="20"/>
          <w:szCs w:val="20"/>
        </w:rPr>
        <w:t>; van de jachtplannen 2017-2018 gebeurde dit in mei 2018</w:t>
      </w:r>
      <w:r w:rsidRPr="00CF45AA">
        <w:rPr>
          <w:rFonts w:ascii="Verdana" w:hAnsi="Verdana"/>
          <w:sz w:val="20"/>
          <w:szCs w:val="20"/>
        </w:rPr>
        <w:t>;</w:t>
      </w:r>
    </w:p>
    <w:p w14:paraId="2E93D57D" w14:textId="667A5B61" w:rsidR="00F5016E" w:rsidRPr="00CF45AA" w:rsidRDefault="00F5016E" w:rsidP="002B4494">
      <w:pPr>
        <w:pStyle w:val="Lijstalinea"/>
        <w:numPr>
          <w:ilvl w:val="0"/>
          <w:numId w:val="1"/>
        </w:numPr>
        <w:spacing w:before="120" w:line="260" w:lineRule="exact"/>
        <w:jc w:val="both"/>
        <w:rPr>
          <w:rFonts w:ascii="Verdana" w:hAnsi="Verdana"/>
          <w:sz w:val="20"/>
          <w:szCs w:val="20"/>
        </w:rPr>
      </w:pPr>
      <w:r w:rsidRPr="00CF45AA">
        <w:rPr>
          <w:rFonts w:ascii="Verdana" w:hAnsi="Verdana"/>
          <w:sz w:val="20"/>
          <w:szCs w:val="20"/>
        </w:rPr>
        <w:t>…</w:t>
      </w:r>
    </w:p>
    <w:p w14:paraId="7871DE58" w14:textId="77777777" w:rsidR="00750CE6" w:rsidRPr="00CF45AA" w:rsidRDefault="00E672C2" w:rsidP="002B4494">
      <w:pPr>
        <w:jc w:val="both"/>
        <w:rPr>
          <w:rFonts w:ascii="Verdana" w:hAnsi="Verdana"/>
          <w:sz w:val="20"/>
          <w:szCs w:val="20"/>
        </w:rPr>
      </w:pPr>
      <w:r w:rsidRPr="00CF45AA">
        <w:rPr>
          <w:rFonts w:ascii="Verdana" w:hAnsi="Verdana"/>
          <w:sz w:val="20"/>
          <w:szCs w:val="20"/>
        </w:rPr>
        <w:t>De doorlooptijden voor het behandelen van de aanvragen op de dienst</w:t>
      </w:r>
      <w:r w:rsidR="004773B3" w:rsidRPr="00CF45AA">
        <w:rPr>
          <w:rFonts w:ascii="Verdana" w:hAnsi="Verdana"/>
          <w:sz w:val="20"/>
          <w:szCs w:val="20"/>
        </w:rPr>
        <w:t xml:space="preserve"> hange</w:t>
      </w:r>
      <w:r w:rsidR="002B4494" w:rsidRPr="00CF45AA">
        <w:rPr>
          <w:rFonts w:ascii="Verdana" w:hAnsi="Verdana"/>
          <w:sz w:val="20"/>
          <w:szCs w:val="20"/>
        </w:rPr>
        <w:t>n</w:t>
      </w:r>
      <w:r w:rsidRPr="00CF45AA">
        <w:rPr>
          <w:rFonts w:ascii="Verdana" w:hAnsi="Verdana"/>
          <w:sz w:val="20"/>
          <w:szCs w:val="20"/>
        </w:rPr>
        <w:t xml:space="preserve"> af van diverse zaken (personeelsbezetting op de dienst</w:t>
      </w:r>
      <w:r w:rsidR="00C40D1E" w:rsidRPr="00CF45AA">
        <w:rPr>
          <w:rFonts w:ascii="Verdana" w:hAnsi="Verdana"/>
          <w:sz w:val="20"/>
          <w:szCs w:val="20"/>
        </w:rPr>
        <w:t xml:space="preserve"> (1VTE minder gedurende 10 maanden)</w:t>
      </w:r>
      <w:r w:rsidRPr="00CF45AA">
        <w:rPr>
          <w:rFonts w:ascii="Verdana" w:hAnsi="Verdana"/>
          <w:sz w:val="20"/>
          <w:szCs w:val="20"/>
        </w:rPr>
        <w:t xml:space="preserve">, beperkingen in het beginstadium van het informaticasysteem </w:t>
      </w:r>
      <w:proofErr w:type="spellStart"/>
      <w:r w:rsidRPr="00CF45AA">
        <w:rPr>
          <w:rFonts w:ascii="Verdana" w:hAnsi="Verdana"/>
          <w:sz w:val="20"/>
          <w:szCs w:val="20"/>
        </w:rPr>
        <w:t>ge</w:t>
      </w:r>
      <w:r w:rsidR="00524DB9" w:rsidRPr="00CF45AA">
        <w:rPr>
          <w:rFonts w:ascii="Verdana" w:hAnsi="Verdana"/>
          <w:sz w:val="20"/>
          <w:szCs w:val="20"/>
        </w:rPr>
        <w:t>o</w:t>
      </w:r>
      <w:r w:rsidRPr="00CF45AA">
        <w:rPr>
          <w:rFonts w:ascii="Verdana" w:hAnsi="Verdana"/>
          <w:sz w:val="20"/>
          <w:szCs w:val="20"/>
        </w:rPr>
        <w:t>loket</w:t>
      </w:r>
      <w:proofErr w:type="spellEnd"/>
      <w:r w:rsidRPr="00CF45AA">
        <w:rPr>
          <w:rFonts w:ascii="Verdana" w:hAnsi="Verdana"/>
          <w:sz w:val="20"/>
          <w:szCs w:val="20"/>
        </w:rPr>
        <w:t>, ….).</w:t>
      </w:r>
    </w:p>
    <w:p w14:paraId="436BD02D" w14:textId="77777777" w:rsidR="002B4494" w:rsidRPr="00CF45AA" w:rsidRDefault="00E672C2" w:rsidP="002B4494">
      <w:pPr>
        <w:jc w:val="both"/>
        <w:rPr>
          <w:rFonts w:ascii="Verdana" w:hAnsi="Verdana"/>
          <w:sz w:val="20"/>
          <w:szCs w:val="20"/>
        </w:rPr>
      </w:pPr>
      <w:r w:rsidRPr="00CF45AA">
        <w:rPr>
          <w:rFonts w:ascii="Verdana" w:hAnsi="Verdana"/>
          <w:sz w:val="20"/>
          <w:szCs w:val="20"/>
        </w:rPr>
        <w:t xml:space="preserve">Voor het seizoen 2018-2019 zijn er </w:t>
      </w:r>
      <w:r w:rsidR="00C40D1E" w:rsidRPr="00CF45AA">
        <w:rPr>
          <w:rFonts w:ascii="Verdana" w:hAnsi="Verdana"/>
          <w:sz w:val="20"/>
          <w:szCs w:val="20"/>
        </w:rPr>
        <w:t xml:space="preserve">nog </w:t>
      </w:r>
      <w:r w:rsidRPr="00CF45AA">
        <w:rPr>
          <w:rFonts w:ascii="Verdana" w:hAnsi="Verdana"/>
          <w:sz w:val="20"/>
          <w:szCs w:val="20"/>
        </w:rPr>
        <w:t xml:space="preserve">51 aanvragen (en 320 percelen) </w:t>
      </w:r>
      <w:r w:rsidR="00C40D1E" w:rsidRPr="00CF45AA">
        <w:rPr>
          <w:rFonts w:ascii="Verdana" w:hAnsi="Verdana"/>
          <w:sz w:val="20"/>
          <w:szCs w:val="20"/>
        </w:rPr>
        <w:t>in verwerking op de dienst (cijfers tot 2</w:t>
      </w:r>
      <w:r w:rsidR="004773B3" w:rsidRPr="00CF45AA">
        <w:rPr>
          <w:rFonts w:ascii="Verdana" w:hAnsi="Verdana"/>
          <w:sz w:val="20"/>
          <w:szCs w:val="20"/>
        </w:rPr>
        <w:t>2</w:t>
      </w:r>
      <w:r w:rsidR="00C40D1E" w:rsidRPr="00CF45AA">
        <w:rPr>
          <w:rFonts w:ascii="Verdana" w:hAnsi="Verdana"/>
          <w:sz w:val="20"/>
          <w:szCs w:val="20"/>
        </w:rPr>
        <w:t>/02/2019).</w:t>
      </w:r>
    </w:p>
    <w:sectPr w:rsidR="002B4494" w:rsidRPr="00CF45AA" w:rsidSect="002B449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E986B" w14:textId="77777777" w:rsidR="008D022E" w:rsidRDefault="008D022E" w:rsidP="002B4494">
      <w:pPr>
        <w:spacing w:after="0" w:line="240" w:lineRule="auto"/>
      </w:pPr>
      <w:r>
        <w:separator/>
      </w:r>
    </w:p>
  </w:endnote>
  <w:endnote w:type="continuationSeparator" w:id="0">
    <w:p w14:paraId="3676DE07" w14:textId="77777777" w:rsidR="008D022E" w:rsidRDefault="008D022E" w:rsidP="002B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0452B" w14:textId="77777777" w:rsidR="008D022E" w:rsidRDefault="008D022E" w:rsidP="002B4494">
      <w:pPr>
        <w:spacing w:after="0" w:line="240" w:lineRule="auto"/>
      </w:pPr>
      <w:r>
        <w:separator/>
      </w:r>
    </w:p>
  </w:footnote>
  <w:footnote w:type="continuationSeparator" w:id="0">
    <w:p w14:paraId="7693AC76" w14:textId="77777777" w:rsidR="008D022E" w:rsidRDefault="008D022E" w:rsidP="002B4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C452F"/>
    <w:multiLevelType w:val="hybridMultilevel"/>
    <w:tmpl w:val="DE203002"/>
    <w:lvl w:ilvl="0" w:tplc="36409BB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F94"/>
    <w:rsid w:val="00033A98"/>
    <w:rsid w:val="00085191"/>
    <w:rsid w:val="000A0280"/>
    <w:rsid w:val="000A7A5E"/>
    <w:rsid w:val="000B26AB"/>
    <w:rsid w:val="000C5A17"/>
    <w:rsid w:val="002B4494"/>
    <w:rsid w:val="003230BC"/>
    <w:rsid w:val="003B0674"/>
    <w:rsid w:val="003E4775"/>
    <w:rsid w:val="00403A15"/>
    <w:rsid w:val="00442B21"/>
    <w:rsid w:val="0046652C"/>
    <w:rsid w:val="004773B3"/>
    <w:rsid w:val="004A6A64"/>
    <w:rsid w:val="00501F65"/>
    <w:rsid w:val="00524DB9"/>
    <w:rsid w:val="00555FE8"/>
    <w:rsid w:val="00582693"/>
    <w:rsid w:val="00592F94"/>
    <w:rsid w:val="006A79AE"/>
    <w:rsid w:val="006E23AE"/>
    <w:rsid w:val="0073681C"/>
    <w:rsid w:val="00750CE6"/>
    <w:rsid w:val="00767C7C"/>
    <w:rsid w:val="00837C61"/>
    <w:rsid w:val="0085595C"/>
    <w:rsid w:val="008974EE"/>
    <w:rsid w:val="008D022E"/>
    <w:rsid w:val="008E53DB"/>
    <w:rsid w:val="00986AF9"/>
    <w:rsid w:val="009E1827"/>
    <w:rsid w:val="00AC331A"/>
    <w:rsid w:val="00B06EF9"/>
    <w:rsid w:val="00B64A81"/>
    <w:rsid w:val="00B74F70"/>
    <w:rsid w:val="00BD5BB8"/>
    <w:rsid w:val="00C31710"/>
    <w:rsid w:val="00C40D1E"/>
    <w:rsid w:val="00C67168"/>
    <w:rsid w:val="00C715AA"/>
    <w:rsid w:val="00CF45AA"/>
    <w:rsid w:val="00CF7D25"/>
    <w:rsid w:val="00D7003C"/>
    <w:rsid w:val="00D76B8A"/>
    <w:rsid w:val="00DF32E4"/>
    <w:rsid w:val="00E17DDD"/>
    <w:rsid w:val="00E36956"/>
    <w:rsid w:val="00E672C2"/>
    <w:rsid w:val="00EA6227"/>
    <w:rsid w:val="00F0147A"/>
    <w:rsid w:val="00F239B2"/>
    <w:rsid w:val="00F5016E"/>
    <w:rsid w:val="00F507FD"/>
    <w:rsid w:val="00F5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7E3D"/>
  <w15:docId w15:val="{CF2B85B9-0485-4217-B7C4-093B089B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9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76B8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5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A7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B4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4494"/>
  </w:style>
  <w:style w:type="paragraph" w:styleId="Voettekst">
    <w:name w:val="footer"/>
    <w:basedOn w:val="Standaard"/>
    <w:link w:val="VoettekstChar"/>
    <w:uiPriority w:val="99"/>
    <w:unhideWhenUsed/>
    <w:rsid w:val="002B4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5B5E17829964A97885AF94D4413A9" ma:contentTypeVersion="7" ma:contentTypeDescription="Een nieuw document maken." ma:contentTypeScope="" ma:versionID="beed12878726c6b47aea19af27354915">
  <xsd:schema xmlns:xsd="http://www.w3.org/2001/XMLSchema" xmlns:xs="http://www.w3.org/2001/XMLSchema" xmlns:p="http://schemas.microsoft.com/office/2006/metadata/properties" xmlns:ns2="76336cf1-a4a4-412e-bdc6-63686f1de766" xmlns:ns3="82369dbe-7f6a-454f-9cd5-78c35ed26717" targetNamespace="http://schemas.microsoft.com/office/2006/metadata/properties" ma:root="true" ma:fieldsID="b64a72056fbc3f3d214fe647cb5131f0" ns2:_="" ns3:_="">
    <xsd:import namespace="76336cf1-a4a4-412e-bdc6-63686f1de766"/>
    <xsd:import namespace="82369dbe-7f6a-454f-9cd5-78c35ed26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36cf1-a4a4-412e-bdc6-63686f1de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9dbe-7f6a-454f-9cd5-78c35ed2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91892A-CEDF-4BFC-8CB7-0D478C43A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10BD2-C93E-4F5A-9EF3-7609C9DAB656}">
  <ds:schemaRefs>
    <ds:schemaRef ds:uri="http://schemas.openxmlformats.org/package/2006/metadata/core-properties"/>
    <ds:schemaRef ds:uri="http://purl.org/dc/elements/1.1/"/>
    <ds:schemaRef ds:uri="http://www.w3.org/XML/1998/namespace"/>
    <ds:schemaRef ds:uri="82369dbe-7f6a-454f-9cd5-78c35ed2671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76336cf1-a4a4-412e-bdc6-63686f1de766"/>
  </ds:schemaRefs>
</ds:datastoreItem>
</file>

<file path=customXml/itemProps3.xml><?xml version="1.0" encoding="utf-8"?>
<ds:datastoreItem xmlns:ds="http://schemas.openxmlformats.org/officeDocument/2006/customXml" ds:itemID="{6A96350A-FD23-4DFF-A6C8-184FE8585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36cf1-a4a4-412e-bdc6-63686f1de766"/>
    <ds:schemaRef ds:uri="82369dbe-7f6a-454f-9cd5-78c35ed26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Sandermans Veerle</dc:creator>
  <cp:lastModifiedBy>Geerts Hugo</cp:lastModifiedBy>
  <cp:revision>2</cp:revision>
  <cp:lastPrinted>2019-02-25T14:35:00Z</cp:lastPrinted>
  <dcterms:created xsi:type="dcterms:W3CDTF">2019-04-04T07:48:00Z</dcterms:created>
  <dcterms:modified xsi:type="dcterms:W3CDTF">2019-04-04T07:48:00Z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0x0101006BB5B5E17829964A97885AF94D4413A9</vt:lpwstr>
  </property>
</Properties>
</file>