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E5A5" w14:textId="77777777" w:rsidR="008A55E2" w:rsidRPr="00645E85" w:rsidRDefault="00645E85">
      <w:pPr>
        <w:rPr>
          <w:rFonts w:ascii="Verdana" w:hAnsi="Verdana"/>
          <w:b/>
          <w:sz w:val="20"/>
          <w:szCs w:val="20"/>
        </w:rPr>
      </w:pPr>
      <w:bookmarkStart w:id="0" w:name="_GoBack"/>
      <w:bookmarkEnd w:id="0"/>
      <w:r>
        <w:rPr>
          <w:rFonts w:ascii="Verdana" w:hAnsi="Verdana"/>
          <w:b/>
          <w:sz w:val="20"/>
          <w:szCs w:val="20"/>
        </w:rPr>
        <w:t>Bijlage 5 – Annuleringen groepsmomenten cultuur 2018 De Rode Antraciet vzw</w:t>
      </w:r>
    </w:p>
    <w:p w14:paraId="5CA9D377" w14:textId="77777777" w:rsidR="00645E85" w:rsidRDefault="00645E85"/>
    <w:p w14:paraId="7A2264FA" w14:textId="77777777" w:rsidR="00645E85" w:rsidRDefault="00645E85">
      <w:r w:rsidRPr="00DE7CF3">
        <w:rPr>
          <w:noProof/>
          <w:lang w:eastAsia="nl-BE"/>
        </w:rPr>
        <w:drawing>
          <wp:inline distT="0" distB="0" distL="0" distR="0" wp14:anchorId="1662C43E" wp14:editId="660F3C90">
            <wp:extent cx="5715000" cy="3886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88C87A" w14:textId="77777777" w:rsidR="00780D1B" w:rsidRDefault="00780D1B"/>
    <w:p w14:paraId="5E7FBB52" w14:textId="77777777" w:rsidR="00780D1B" w:rsidRPr="00780D1B" w:rsidRDefault="00780D1B" w:rsidP="00780D1B">
      <w:pPr>
        <w:ind w:left="426"/>
        <w:rPr>
          <w:rFonts w:ascii="Verdana" w:hAnsi="Verdana" w:cstheme="minorHAnsi"/>
          <w:sz w:val="20"/>
          <w:szCs w:val="20"/>
        </w:rPr>
      </w:pPr>
    </w:p>
    <w:p w14:paraId="6542322C" w14:textId="77777777" w:rsidR="00780D1B" w:rsidRPr="00780D1B" w:rsidRDefault="00780D1B" w:rsidP="00780D1B">
      <w:pPr>
        <w:pStyle w:val="Lijstalinea"/>
        <w:numPr>
          <w:ilvl w:val="0"/>
          <w:numId w:val="2"/>
        </w:numPr>
        <w:ind w:left="709" w:hanging="283"/>
        <w:rPr>
          <w:rFonts w:ascii="Verdana" w:hAnsi="Verdana" w:cstheme="minorHAnsi"/>
          <w:sz w:val="20"/>
          <w:szCs w:val="20"/>
        </w:rPr>
      </w:pPr>
      <w:r w:rsidRPr="00780D1B">
        <w:rPr>
          <w:rFonts w:ascii="Verdana" w:hAnsi="Verdana" w:cstheme="minorHAnsi"/>
          <w:sz w:val="20"/>
          <w:szCs w:val="20"/>
        </w:rPr>
        <w:t>In de maand juni 2018 werd 44% van de geplande momenten door justitie geannuleerd, in de maand juli 54%. Dit was de periode van de algemene stakingen in de gevangenissen. Een gering aantal momenten werd geschrapt omwille van gebrek aan deelnemers.</w:t>
      </w:r>
    </w:p>
    <w:p w14:paraId="378BA5B7" w14:textId="77777777" w:rsidR="00780D1B" w:rsidRPr="00780D1B" w:rsidRDefault="00780D1B" w:rsidP="00780D1B">
      <w:pPr>
        <w:pStyle w:val="Lijstalinea"/>
        <w:ind w:left="709"/>
        <w:rPr>
          <w:rFonts w:ascii="Verdana" w:hAnsi="Verdana" w:cstheme="minorHAnsi"/>
          <w:sz w:val="20"/>
          <w:szCs w:val="20"/>
        </w:rPr>
      </w:pPr>
    </w:p>
    <w:p w14:paraId="03612E42" w14:textId="77777777" w:rsidR="00780D1B" w:rsidRPr="00780D1B" w:rsidRDefault="00780D1B" w:rsidP="00780D1B">
      <w:pPr>
        <w:pStyle w:val="Lijstalinea"/>
        <w:numPr>
          <w:ilvl w:val="0"/>
          <w:numId w:val="2"/>
        </w:numPr>
        <w:ind w:left="709" w:hanging="283"/>
        <w:rPr>
          <w:rFonts w:ascii="Verdana" w:hAnsi="Verdana" w:cstheme="minorHAnsi"/>
          <w:sz w:val="20"/>
          <w:szCs w:val="20"/>
        </w:rPr>
      </w:pPr>
      <w:r w:rsidRPr="00780D1B">
        <w:rPr>
          <w:rFonts w:ascii="Verdana" w:hAnsi="Verdana" w:cstheme="minorHAnsi"/>
          <w:sz w:val="20"/>
          <w:szCs w:val="20"/>
        </w:rPr>
        <w:t>De stakingen (en personeelstekort justitie) hebben voor onze werking nog andere gevolgen: partners haken af als ze meermaals de toegang tot gevangenis worden geweigerd, onze medewerkers raken ontmoedigd, maar ook gedetineerden geraken gedemotiveerd en haken af omwille van de onzekerheid, subsidies renderen dan onvoldoende.</w:t>
      </w:r>
    </w:p>
    <w:p w14:paraId="4238461C" w14:textId="77777777" w:rsidR="00780D1B" w:rsidRPr="00780D1B" w:rsidRDefault="00780D1B" w:rsidP="00780D1B">
      <w:pPr>
        <w:pStyle w:val="Lijstalinea"/>
        <w:ind w:left="709"/>
        <w:rPr>
          <w:rFonts w:ascii="Verdana" w:hAnsi="Verdana" w:cstheme="minorHAnsi"/>
          <w:sz w:val="20"/>
          <w:szCs w:val="20"/>
        </w:rPr>
      </w:pPr>
    </w:p>
    <w:p w14:paraId="03E6797E" w14:textId="77777777" w:rsidR="00780D1B" w:rsidRDefault="00780D1B" w:rsidP="00780D1B">
      <w:pPr>
        <w:pStyle w:val="Lijstalinea"/>
        <w:numPr>
          <w:ilvl w:val="0"/>
          <w:numId w:val="1"/>
        </w:numPr>
        <w:ind w:left="709" w:hanging="283"/>
        <w:rPr>
          <w:rFonts w:ascii="Verdana" w:hAnsi="Verdana" w:cstheme="minorHAnsi"/>
          <w:sz w:val="20"/>
          <w:szCs w:val="20"/>
        </w:rPr>
      </w:pPr>
      <w:r w:rsidRPr="00780D1B">
        <w:rPr>
          <w:rFonts w:ascii="Verdana" w:hAnsi="Verdana" w:cstheme="minorHAnsi"/>
          <w:sz w:val="20"/>
          <w:szCs w:val="20"/>
        </w:rPr>
        <w:t>Deze omstandigheden op de werkvloer vereisen een blijvende inspanning van De Rode Antraciet vzw om draagvlak te creëren voor cultuur binnen de gevangenis.</w:t>
      </w:r>
    </w:p>
    <w:p w14:paraId="3BCF77AB" w14:textId="77777777" w:rsidR="007E175A" w:rsidRPr="00780D1B" w:rsidRDefault="007E175A" w:rsidP="007E175A">
      <w:pPr>
        <w:pStyle w:val="Lijstalinea"/>
        <w:ind w:left="709"/>
        <w:rPr>
          <w:rFonts w:ascii="Verdana" w:hAnsi="Verdana" w:cstheme="minorHAnsi"/>
          <w:sz w:val="20"/>
          <w:szCs w:val="20"/>
        </w:rPr>
      </w:pPr>
    </w:p>
    <w:p w14:paraId="212EAAFF" w14:textId="77777777" w:rsidR="00780D1B" w:rsidRPr="00780D1B" w:rsidRDefault="00780D1B">
      <w:pPr>
        <w:rPr>
          <w:rFonts w:ascii="Verdana" w:hAnsi="Verdana"/>
          <w:sz w:val="20"/>
          <w:szCs w:val="20"/>
        </w:rPr>
      </w:pPr>
      <w:r w:rsidRPr="00780D1B">
        <w:rPr>
          <w:rFonts w:ascii="Verdana" w:hAnsi="Verdana"/>
          <w:sz w:val="20"/>
          <w:szCs w:val="20"/>
          <w:u w:val="single"/>
        </w:rPr>
        <w:t>Bron</w:t>
      </w:r>
      <w:r w:rsidRPr="00780D1B">
        <w:rPr>
          <w:rFonts w:ascii="Verdana" w:hAnsi="Verdana"/>
          <w:sz w:val="20"/>
          <w:szCs w:val="20"/>
        </w:rPr>
        <w:t xml:space="preserve"> : De Rode Antraciet</w:t>
      </w:r>
      <w:r>
        <w:rPr>
          <w:rFonts w:ascii="Verdana" w:hAnsi="Verdana"/>
          <w:sz w:val="20"/>
          <w:szCs w:val="20"/>
        </w:rPr>
        <w:t xml:space="preserve"> vzw</w:t>
      </w:r>
    </w:p>
    <w:sectPr w:rsidR="00780D1B" w:rsidRPr="0078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5DEE"/>
    <w:multiLevelType w:val="hybridMultilevel"/>
    <w:tmpl w:val="86526BB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0061FD9"/>
    <w:multiLevelType w:val="hybridMultilevel"/>
    <w:tmpl w:val="E93898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85"/>
    <w:rsid w:val="00003080"/>
    <w:rsid w:val="00203BC7"/>
    <w:rsid w:val="00471A37"/>
    <w:rsid w:val="00645E85"/>
    <w:rsid w:val="007333FE"/>
    <w:rsid w:val="00780D1B"/>
    <w:rsid w:val="007E175A"/>
    <w:rsid w:val="00885A47"/>
    <w:rsid w:val="00906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6081"/>
  <w15:chartTrackingRefBased/>
  <w15:docId w15:val="{EE9A1100-5B28-42E5-950C-A4DF0674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0D1B"/>
    <w:pPr>
      <w:ind w:left="720"/>
      <w:contextualSpacing/>
    </w:pPr>
    <w:rPr>
      <w:rFonts w:ascii="Garamond" w:hAnsi="Garamond"/>
    </w:rPr>
  </w:style>
  <w:style w:type="paragraph" w:styleId="Ballontekst">
    <w:name w:val="Balloon Text"/>
    <w:basedOn w:val="Standaard"/>
    <w:link w:val="BallontekstChar"/>
    <w:uiPriority w:val="99"/>
    <w:semiHidden/>
    <w:unhideWhenUsed/>
    <w:rsid w:val="000030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bruiker\Desktop\190205,%20type_cultuu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BE" sz="1200"/>
              <a:t>Annuleringen groepsmomenten cultuur 2018</a:t>
            </a:r>
          </a:p>
          <a:p>
            <a:pPr>
              <a:defRPr/>
            </a:pPr>
            <a:r>
              <a:rPr lang="nl-BE" sz="1200"/>
              <a:t>bron: De Rode Antraciet vzw</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BE"/>
        </a:p>
      </c:txPr>
    </c:title>
    <c:autoTitleDeleted val="0"/>
    <c:plotArea>
      <c:layout/>
      <c:lineChart>
        <c:grouping val="standard"/>
        <c:varyColors val="0"/>
        <c:ser>
          <c:idx val="0"/>
          <c:order val="0"/>
          <c:tx>
            <c:strRef>
              <c:f>Blad2!$A$4</c:f>
              <c:strCache>
                <c:ptCount val="1"/>
                <c:pt idx="0">
                  <c:v>annulatie justitie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Blad2!$B$1:$M$1</c:f>
              <c:strCache>
                <c:ptCount val="12"/>
                <c:pt idx="0">
                  <c:v>jan</c:v>
                </c:pt>
                <c:pt idx="1">
                  <c:v>feb</c:v>
                </c:pt>
                <c:pt idx="2">
                  <c:v>mrt</c:v>
                </c:pt>
                <c:pt idx="3">
                  <c:v>apr</c:v>
                </c:pt>
                <c:pt idx="4">
                  <c:v>mei</c:v>
                </c:pt>
                <c:pt idx="5">
                  <c:v>juni</c:v>
                </c:pt>
                <c:pt idx="6">
                  <c:v>juli</c:v>
                </c:pt>
                <c:pt idx="7">
                  <c:v>aug</c:v>
                </c:pt>
                <c:pt idx="8">
                  <c:v>sept</c:v>
                </c:pt>
                <c:pt idx="9">
                  <c:v>okt</c:v>
                </c:pt>
                <c:pt idx="10">
                  <c:v>nov</c:v>
                </c:pt>
                <c:pt idx="11">
                  <c:v>dec</c:v>
                </c:pt>
              </c:strCache>
            </c:strRef>
          </c:cat>
          <c:val>
            <c:numRef>
              <c:f>Blad2!$B$4:$M$4</c:f>
              <c:numCache>
                <c:formatCode>General</c:formatCode>
                <c:ptCount val="12"/>
                <c:pt idx="0">
                  <c:v>8</c:v>
                </c:pt>
                <c:pt idx="1">
                  <c:v>12</c:v>
                </c:pt>
                <c:pt idx="2">
                  <c:v>2</c:v>
                </c:pt>
                <c:pt idx="3">
                  <c:v>5</c:v>
                </c:pt>
                <c:pt idx="4">
                  <c:v>5</c:v>
                </c:pt>
                <c:pt idx="5">
                  <c:v>55</c:v>
                </c:pt>
                <c:pt idx="6">
                  <c:v>47</c:v>
                </c:pt>
                <c:pt idx="7">
                  <c:v>6</c:v>
                </c:pt>
                <c:pt idx="8">
                  <c:v>7</c:v>
                </c:pt>
                <c:pt idx="9">
                  <c:v>18</c:v>
                </c:pt>
                <c:pt idx="10">
                  <c:v>5</c:v>
                </c:pt>
                <c:pt idx="11">
                  <c:v>12</c:v>
                </c:pt>
              </c:numCache>
            </c:numRef>
          </c:val>
          <c:smooth val="0"/>
          <c:extLst>
            <c:ext xmlns:c16="http://schemas.microsoft.com/office/drawing/2014/chart" uri="{C3380CC4-5D6E-409C-BE32-E72D297353CC}">
              <c16:uniqueId val="{00000000-57A8-4FB2-8FF7-A985EA23D28C}"/>
            </c:ext>
          </c:extLst>
        </c:ser>
        <c:ser>
          <c:idx val="1"/>
          <c:order val="1"/>
          <c:tx>
            <c:strRef>
              <c:f>Blad2!$A$6</c:f>
              <c:strCache>
                <c:ptCount val="1"/>
                <c:pt idx="0">
                  <c:v>annulatie DRA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Blad2!$B$1:$M$1</c:f>
              <c:strCache>
                <c:ptCount val="12"/>
                <c:pt idx="0">
                  <c:v>jan</c:v>
                </c:pt>
                <c:pt idx="1">
                  <c:v>feb</c:v>
                </c:pt>
                <c:pt idx="2">
                  <c:v>mrt</c:v>
                </c:pt>
                <c:pt idx="3">
                  <c:v>apr</c:v>
                </c:pt>
                <c:pt idx="4">
                  <c:v>mei</c:v>
                </c:pt>
                <c:pt idx="5">
                  <c:v>juni</c:v>
                </c:pt>
                <c:pt idx="6">
                  <c:v>juli</c:v>
                </c:pt>
                <c:pt idx="7">
                  <c:v>aug</c:v>
                </c:pt>
                <c:pt idx="8">
                  <c:v>sept</c:v>
                </c:pt>
                <c:pt idx="9">
                  <c:v>okt</c:v>
                </c:pt>
                <c:pt idx="10">
                  <c:v>nov</c:v>
                </c:pt>
                <c:pt idx="11">
                  <c:v>dec</c:v>
                </c:pt>
              </c:strCache>
            </c:strRef>
          </c:cat>
          <c:val>
            <c:numRef>
              <c:f>Blad2!$B$6:$M$6</c:f>
              <c:numCache>
                <c:formatCode>General</c:formatCode>
                <c:ptCount val="12"/>
                <c:pt idx="0">
                  <c:v>9</c:v>
                </c:pt>
                <c:pt idx="1">
                  <c:v>10</c:v>
                </c:pt>
                <c:pt idx="2">
                  <c:v>17</c:v>
                </c:pt>
                <c:pt idx="3">
                  <c:v>11</c:v>
                </c:pt>
                <c:pt idx="4">
                  <c:v>5</c:v>
                </c:pt>
                <c:pt idx="5">
                  <c:v>5</c:v>
                </c:pt>
                <c:pt idx="6">
                  <c:v>3</c:v>
                </c:pt>
                <c:pt idx="7">
                  <c:v>4</c:v>
                </c:pt>
                <c:pt idx="8">
                  <c:v>5</c:v>
                </c:pt>
                <c:pt idx="9">
                  <c:v>6</c:v>
                </c:pt>
                <c:pt idx="10">
                  <c:v>7</c:v>
                </c:pt>
                <c:pt idx="11">
                  <c:v>9</c:v>
                </c:pt>
              </c:numCache>
            </c:numRef>
          </c:val>
          <c:smooth val="0"/>
          <c:extLst>
            <c:ext xmlns:c16="http://schemas.microsoft.com/office/drawing/2014/chart" uri="{C3380CC4-5D6E-409C-BE32-E72D297353CC}">
              <c16:uniqueId val="{00000001-57A8-4FB2-8FF7-A985EA23D28C}"/>
            </c:ext>
          </c:extLst>
        </c:ser>
        <c:dLbls>
          <c:dLblPos val="ctr"/>
          <c:showLegendKey val="0"/>
          <c:showVal val="1"/>
          <c:showCatName val="0"/>
          <c:showSerName val="0"/>
          <c:showPercent val="0"/>
          <c:showBubbleSize val="0"/>
        </c:dLbls>
        <c:marker val="1"/>
        <c:smooth val="0"/>
        <c:axId val="622267104"/>
        <c:axId val="622274176"/>
      </c:lineChart>
      <c:catAx>
        <c:axId val="622267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BE"/>
          </a:p>
        </c:txPr>
        <c:crossAx val="622274176"/>
        <c:crosses val="autoZero"/>
        <c:auto val="1"/>
        <c:lblAlgn val="ctr"/>
        <c:lblOffset val="100"/>
        <c:noMultiLvlLbl val="0"/>
      </c:catAx>
      <c:valAx>
        <c:axId val="622274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22267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B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A4AF4FAF08F4699AE24C8E6565CE9" ma:contentTypeVersion="0" ma:contentTypeDescription="Een nieuw document maken." ma:contentTypeScope="" ma:versionID="e61d7a3d0886ff2ed7ca59618cc80de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9A8E1-43B2-47CE-A887-741710EBD8A3}">
  <ds:schemaRefs>
    <ds:schemaRef ds:uri="http://schemas.microsoft.com/sharepoint/v3/contenttype/forms"/>
  </ds:schemaRefs>
</ds:datastoreItem>
</file>

<file path=customXml/itemProps2.xml><?xml version="1.0" encoding="utf-8"?>
<ds:datastoreItem xmlns:ds="http://schemas.openxmlformats.org/officeDocument/2006/customXml" ds:itemID="{8ECB39C6-45EB-486A-B4A5-7E15010A82C8}">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0F15A0-20E8-4231-B249-173A7178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De Vos</dc:creator>
  <cp:keywords/>
  <dc:description/>
  <cp:lastModifiedBy>Pelosie Gerda</cp:lastModifiedBy>
  <cp:revision>2</cp:revision>
  <cp:lastPrinted>2019-02-18T10:23:00Z</cp:lastPrinted>
  <dcterms:created xsi:type="dcterms:W3CDTF">2019-02-18T10:24:00Z</dcterms:created>
  <dcterms:modified xsi:type="dcterms:W3CDTF">2019-02-18T10:24:00Z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0x010100B86A4AF4FAF08F4699AE24C8E6565CE9</vt:lpwstr>
  </property>
  <property fmtid="{D5CDD505-2E9C-101B-9397-08002B2CF9AE}" pid="3" name="Meta_PV">
    <vt:lpwstr>698;#Cultuur|5b9e04df-b764-4f5d-845c-d28253729916;#1288;#Gevangenissen|17487a5c-e772-4e33-acf9-31e790afb9a8;#825;#Participatie|baa7ea46-515d-405c-983c-006fa0d05b7e</vt:lpwstr>
  </property>
  <property fmtid="{D5CDD505-2E9C-101B-9397-08002B2CF9AE}" pid="4" name="PV_Vraagsteller">
    <vt:lpwstr>312;#Segers Katia|24cb0a9a-8760-4821-9182-96cb7dd49313</vt:lpwstr>
  </property>
  <property fmtid="{D5CDD505-2E9C-101B-9397-08002B2CF9AE}" pid="5" name="_dlc_DocIdItemGuid">
    <vt:lpwstr>e9ee129f-3b68-4674-9bbd-4546d9a32d76</vt:lpwstr>
  </property>
</Properties>
</file>