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CFAF" w14:textId="77777777" w:rsidR="00D90CF3" w:rsidRDefault="00D90CF3" w:rsidP="00D90CF3">
      <w:pPr>
        <w:rPr>
          <w:rFonts w:eastAsia="Verdana" w:cs="Verdana"/>
          <w:b/>
        </w:rPr>
      </w:pPr>
      <w:bookmarkStart w:id="0" w:name="_GoBack"/>
      <w:bookmarkEnd w:id="0"/>
      <w:r w:rsidRPr="00D90CF3">
        <w:rPr>
          <w:b/>
        </w:rPr>
        <w:t>Bijlage 5: O</w:t>
      </w:r>
      <w:r w:rsidRPr="00D90CF3">
        <w:rPr>
          <w:rFonts w:eastAsia="Verdana" w:cs="Verdana"/>
          <w:b/>
        </w:rPr>
        <w:t>verzicht van het aantal bedrijven dat een beroep deed op de dienstverlening van FIT, exclusief de subsidies</w:t>
      </w:r>
    </w:p>
    <w:p w14:paraId="0FD55614" w14:textId="77777777" w:rsidR="00D90CF3" w:rsidRPr="00D90CF3" w:rsidRDefault="00D90CF3" w:rsidP="00D90CF3">
      <w:pPr>
        <w:rPr>
          <w:rFonts w:eastAsia="Verdana" w:cs="Verdana"/>
          <w:b/>
        </w:rPr>
      </w:pPr>
    </w:p>
    <w:p w14:paraId="0653E728" w14:textId="77777777" w:rsidR="00D90CF3" w:rsidRPr="00D90CF3" w:rsidRDefault="00D90CF3" w:rsidP="00D90CF3">
      <w:pPr>
        <w:rPr>
          <w:rFonts w:eastAsia="Verdana" w:cs="Verdana"/>
        </w:rPr>
      </w:pPr>
    </w:p>
    <w:p w14:paraId="5BD78B3F" w14:textId="77777777" w:rsidR="00D90CF3" w:rsidRPr="00D90CF3" w:rsidRDefault="00D90CF3" w:rsidP="00D90CF3">
      <w:pPr>
        <w:ind w:left="708"/>
        <w:rPr>
          <w:rFonts w:eastAsia="Verdana" w:cs="Verdana"/>
        </w:rPr>
      </w:pPr>
      <w:r w:rsidRPr="00D90CF3">
        <w:rPr>
          <w:rFonts w:eastAsia="Verdana" w:cs="Verdana"/>
        </w:rPr>
        <w:t>2014</w:t>
      </w:r>
      <w:r w:rsidRPr="00D90CF3">
        <w:rPr>
          <w:rFonts w:eastAsia="Verdana" w:cs="Verdana"/>
        </w:rPr>
        <w:tab/>
      </w:r>
      <w:r w:rsidRPr="00D90CF3">
        <w:rPr>
          <w:rFonts w:eastAsia="Verdana" w:cs="Verdana"/>
        </w:rPr>
        <w:tab/>
        <w:t>4.190</w:t>
      </w:r>
    </w:p>
    <w:p w14:paraId="7705E60C" w14:textId="77777777" w:rsidR="00D90CF3" w:rsidRPr="00D90CF3" w:rsidRDefault="00D90CF3" w:rsidP="00D90CF3">
      <w:pPr>
        <w:ind w:left="708"/>
        <w:rPr>
          <w:rFonts w:eastAsia="Verdana" w:cs="Verdana"/>
        </w:rPr>
      </w:pPr>
      <w:r w:rsidRPr="00D90CF3">
        <w:rPr>
          <w:rFonts w:eastAsia="Verdana" w:cs="Verdana"/>
        </w:rPr>
        <w:t>2015</w:t>
      </w:r>
      <w:r w:rsidRPr="00D90CF3">
        <w:rPr>
          <w:rFonts w:eastAsia="Verdana" w:cs="Verdana"/>
        </w:rPr>
        <w:tab/>
      </w:r>
      <w:r w:rsidRPr="00D90CF3">
        <w:rPr>
          <w:rFonts w:eastAsia="Verdana" w:cs="Verdana"/>
        </w:rPr>
        <w:tab/>
        <w:t>4.073</w:t>
      </w:r>
    </w:p>
    <w:p w14:paraId="3857455C" w14:textId="77777777" w:rsidR="00D90CF3" w:rsidRPr="00D90CF3" w:rsidRDefault="00D90CF3" w:rsidP="00D90CF3">
      <w:pPr>
        <w:ind w:left="708"/>
        <w:rPr>
          <w:rFonts w:eastAsia="Verdana" w:cs="Verdana"/>
        </w:rPr>
      </w:pPr>
      <w:r w:rsidRPr="00D90CF3">
        <w:rPr>
          <w:rFonts w:eastAsia="Verdana" w:cs="Verdana"/>
        </w:rPr>
        <w:t>2016</w:t>
      </w:r>
      <w:r w:rsidRPr="00D90CF3">
        <w:rPr>
          <w:rFonts w:eastAsia="Verdana" w:cs="Verdana"/>
        </w:rPr>
        <w:tab/>
      </w:r>
      <w:r w:rsidRPr="00D90CF3">
        <w:rPr>
          <w:rFonts w:eastAsia="Verdana" w:cs="Verdana"/>
        </w:rPr>
        <w:tab/>
        <w:t>4.527</w:t>
      </w:r>
    </w:p>
    <w:p w14:paraId="070C9C96" w14:textId="77777777" w:rsidR="00D90CF3" w:rsidRPr="00D90CF3" w:rsidRDefault="00D90CF3" w:rsidP="00D90CF3">
      <w:pPr>
        <w:ind w:left="708"/>
        <w:rPr>
          <w:rFonts w:eastAsia="Verdana" w:cs="Verdana"/>
        </w:rPr>
      </w:pPr>
      <w:r w:rsidRPr="00D90CF3">
        <w:rPr>
          <w:rFonts w:eastAsia="Verdana" w:cs="Verdana"/>
        </w:rPr>
        <w:t>2017</w:t>
      </w:r>
      <w:r w:rsidRPr="00D90CF3">
        <w:rPr>
          <w:rFonts w:eastAsia="Verdana" w:cs="Verdana"/>
        </w:rPr>
        <w:tab/>
      </w:r>
      <w:r w:rsidRPr="00D90CF3">
        <w:rPr>
          <w:rFonts w:eastAsia="Verdana" w:cs="Verdana"/>
        </w:rPr>
        <w:tab/>
        <w:t>4.310</w:t>
      </w:r>
    </w:p>
    <w:p w14:paraId="09DFE8E2" w14:textId="77777777" w:rsidR="00D90CF3" w:rsidRPr="00D90CF3" w:rsidRDefault="00D90CF3" w:rsidP="00D90CF3">
      <w:pPr>
        <w:ind w:left="708"/>
        <w:rPr>
          <w:rFonts w:eastAsia="Verdana" w:cs="Verdana"/>
        </w:rPr>
      </w:pPr>
      <w:r w:rsidRPr="00D90CF3">
        <w:rPr>
          <w:rFonts w:eastAsia="Verdana" w:cs="Verdana"/>
        </w:rPr>
        <w:t>2018</w:t>
      </w:r>
      <w:r w:rsidRPr="00D90CF3">
        <w:rPr>
          <w:rFonts w:eastAsia="Verdana" w:cs="Verdana"/>
        </w:rPr>
        <w:tab/>
      </w:r>
      <w:r w:rsidRPr="00D90CF3">
        <w:rPr>
          <w:rFonts w:eastAsia="Verdana" w:cs="Verdana"/>
        </w:rPr>
        <w:tab/>
        <w:t>4.180</w:t>
      </w:r>
    </w:p>
    <w:p w14:paraId="6DF5D707" w14:textId="77777777" w:rsidR="00D90CF3" w:rsidRPr="00D90CF3" w:rsidRDefault="00D90CF3" w:rsidP="00D90CF3">
      <w:pPr>
        <w:ind w:left="708"/>
        <w:rPr>
          <w:rFonts w:eastAsia="Verdana" w:cs="Verdana"/>
        </w:rPr>
      </w:pPr>
    </w:p>
    <w:p w14:paraId="0B4718D7" w14:textId="77777777" w:rsidR="00D90CF3" w:rsidRPr="00D90CF3" w:rsidRDefault="00D90CF3" w:rsidP="00D90CF3">
      <w:pPr>
        <w:rPr>
          <w:rFonts w:eastAsia="Verdana" w:cs="Verdana"/>
        </w:rPr>
      </w:pPr>
      <w:r w:rsidRPr="00D90CF3">
        <w:rPr>
          <w:rFonts w:eastAsia="Verdana" w:cs="Verdana"/>
        </w:rPr>
        <w:t>Deze cijfers werden eerder gerapporteerd door middel van de evaluatie van het jaarlijkse ondernemingsplan van FIT.</w:t>
      </w:r>
    </w:p>
    <w:p w14:paraId="419095CB" w14:textId="77777777" w:rsidR="00D90CF3" w:rsidRPr="00D90CF3" w:rsidRDefault="00D90CF3" w:rsidP="00D90CF3">
      <w:pPr>
        <w:rPr>
          <w:rFonts w:eastAsia="Verdana" w:cs="Verdana"/>
        </w:rPr>
      </w:pPr>
    </w:p>
    <w:p w14:paraId="62CF7498" w14:textId="7B444C96" w:rsidR="00D90CF3" w:rsidRPr="00D90CF3" w:rsidRDefault="00D90CF3" w:rsidP="00D90CF3">
      <w:pPr>
        <w:rPr>
          <w:rFonts w:eastAsia="Verdana" w:cs="Verdana"/>
        </w:rPr>
      </w:pPr>
      <w:r w:rsidRPr="00D90CF3">
        <w:rPr>
          <w:rFonts w:eastAsia="Verdana" w:cs="Verdana"/>
        </w:rPr>
        <w:t xml:space="preserve">Een opsplitsing naar respectievelijk grote ondernemingen en kmo’s kan niet gegeven worden aangezien het oude CRM systeem, Lotus </w:t>
      </w:r>
      <w:proofErr w:type="spellStart"/>
      <w:r w:rsidRPr="00D90CF3">
        <w:rPr>
          <w:rFonts w:eastAsia="Verdana" w:cs="Verdana"/>
        </w:rPr>
        <w:t>Notes</w:t>
      </w:r>
      <w:proofErr w:type="spellEnd"/>
      <w:r w:rsidRPr="00D90CF3">
        <w:rPr>
          <w:rFonts w:eastAsia="Verdana" w:cs="Verdana"/>
        </w:rPr>
        <w:t>, dit niet toeliet. Het nieuwe CRM systeem, Dynamics 365, geïntroduceerd in 2018, zal dit in de toekomst wel mogelijk maken.  De ervaring leert echter dat de overgrote meerderheid van de bedrijven die beroep doen op de dienstverlening van FIT, kmo’s zijn.</w:t>
      </w:r>
    </w:p>
    <w:p w14:paraId="4BB8E1FB" w14:textId="77777777" w:rsidR="00D90CF3" w:rsidRPr="00D90CF3" w:rsidRDefault="00D90CF3" w:rsidP="00D90CF3">
      <w:pPr>
        <w:rPr>
          <w:rFonts w:eastAsia="Verdana" w:cs="Verdana"/>
        </w:rPr>
      </w:pPr>
    </w:p>
    <w:p w14:paraId="0EC23034" w14:textId="77777777" w:rsidR="00D90CF3" w:rsidRPr="00D90CF3" w:rsidRDefault="00D90CF3" w:rsidP="00D90CF3">
      <w:pPr>
        <w:rPr>
          <w:rFonts w:eastAsia="Verdana" w:cs="Verdana"/>
        </w:rPr>
      </w:pPr>
      <w:r w:rsidRPr="00D90CF3">
        <w:rPr>
          <w:rFonts w:eastAsia="Verdana" w:cs="Verdana"/>
        </w:rPr>
        <w:t xml:space="preserve">Hieronder een overzicht van het aantal doorverwijzingen van VLAIO-Team Bedrijfstrajecten naar FIT. Er is een opdeling gemaakt volgens begeleide en niet-begeleide doorverwijzingen. In het eerste geval is er een actieve introductie van het bedrijf bij FIT. Bij niet-begeleide doorverwijzingen prefereert het bedrijf om zelf, veelal op een later moment, contact te nemen met FIT op basis van de doorgegeven contactgegevens. </w:t>
      </w:r>
    </w:p>
    <w:p w14:paraId="4AC00272" w14:textId="77777777" w:rsidR="00D90CF3" w:rsidRPr="00D90CF3" w:rsidRDefault="00D90CF3" w:rsidP="00D90CF3">
      <w:pPr>
        <w:rPr>
          <w:rFonts w:eastAsia="Verdana" w:cs="Verdana"/>
        </w:rPr>
      </w:pPr>
    </w:p>
    <w:tbl>
      <w:tblPr>
        <w:tblStyle w:val="TableGrid1"/>
        <w:tblW w:w="0" w:type="auto"/>
        <w:tblInd w:w="0" w:type="dxa"/>
        <w:tblLayout w:type="fixed"/>
        <w:tblLook w:val="06A0" w:firstRow="1" w:lastRow="0" w:firstColumn="1" w:lastColumn="0" w:noHBand="1" w:noVBand="1"/>
      </w:tblPr>
      <w:tblGrid>
        <w:gridCol w:w="5490"/>
        <w:gridCol w:w="690"/>
        <w:gridCol w:w="684"/>
        <w:gridCol w:w="717"/>
        <w:gridCol w:w="702"/>
        <w:gridCol w:w="789"/>
      </w:tblGrid>
      <w:tr w:rsidR="00D90CF3" w:rsidRPr="00D90CF3" w14:paraId="07A6C483" w14:textId="77777777" w:rsidTr="00BA6CFD">
        <w:tc>
          <w:tcPr>
            <w:tcW w:w="5490" w:type="dxa"/>
            <w:tcBorders>
              <w:top w:val="single" w:sz="4" w:space="0" w:color="000000"/>
              <w:left w:val="single" w:sz="4" w:space="0" w:color="000000"/>
              <w:bottom w:val="single" w:sz="4" w:space="0" w:color="000000"/>
              <w:right w:val="single" w:sz="4" w:space="0" w:color="000000"/>
            </w:tcBorders>
            <w:shd w:val="clear" w:color="auto" w:fill="D9D9D9"/>
          </w:tcPr>
          <w:p w14:paraId="432ABB29" w14:textId="77777777" w:rsidR="00D90CF3" w:rsidRPr="00D90CF3" w:rsidRDefault="00D90CF3" w:rsidP="00BA6CFD">
            <w:pPr>
              <w:jc w:val="left"/>
              <w:rPr>
                <w:rFonts w:eastAsia="Verdana" w:cs="Verdana"/>
              </w:rPr>
            </w:pPr>
          </w:p>
        </w:tc>
        <w:tc>
          <w:tcPr>
            <w:tcW w:w="690" w:type="dxa"/>
            <w:tcBorders>
              <w:top w:val="single" w:sz="4" w:space="0" w:color="000000"/>
              <w:left w:val="single" w:sz="4" w:space="0" w:color="000000"/>
              <w:bottom w:val="single" w:sz="4" w:space="0" w:color="000000"/>
              <w:right w:val="single" w:sz="4" w:space="0" w:color="000000"/>
            </w:tcBorders>
            <w:shd w:val="clear" w:color="auto" w:fill="D9D9D9"/>
            <w:hideMark/>
          </w:tcPr>
          <w:p w14:paraId="595AF560" w14:textId="77777777" w:rsidR="00D90CF3" w:rsidRPr="00D90CF3" w:rsidRDefault="00D90CF3" w:rsidP="00BA6CFD">
            <w:pPr>
              <w:jc w:val="left"/>
              <w:rPr>
                <w:rFonts w:eastAsia="Verdana" w:cs="Verdana"/>
              </w:rPr>
            </w:pPr>
            <w:r w:rsidRPr="00D90CF3">
              <w:rPr>
                <w:rFonts w:eastAsia="Verdana" w:cs="Verdana"/>
              </w:rPr>
              <w:t>2014</w:t>
            </w:r>
          </w:p>
        </w:tc>
        <w:tc>
          <w:tcPr>
            <w:tcW w:w="684" w:type="dxa"/>
            <w:tcBorders>
              <w:top w:val="single" w:sz="4" w:space="0" w:color="000000"/>
              <w:left w:val="single" w:sz="4" w:space="0" w:color="000000"/>
              <w:bottom w:val="single" w:sz="4" w:space="0" w:color="000000"/>
              <w:right w:val="single" w:sz="4" w:space="0" w:color="000000"/>
            </w:tcBorders>
            <w:shd w:val="clear" w:color="auto" w:fill="D9D9D9"/>
            <w:hideMark/>
          </w:tcPr>
          <w:p w14:paraId="118449C8" w14:textId="77777777" w:rsidR="00D90CF3" w:rsidRPr="00D90CF3" w:rsidRDefault="00D90CF3" w:rsidP="00BA6CFD">
            <w:pPr>
              <w:jc w:val="left"/>
              <w:rPr>
                <w:rFonts w:eastAsia="Verdana" w:cs="Verdana"/>
              </w:rPr>
            </w:pPr>
            <w:r w:rsidRPr="00D90CF3">
              <w:rPr>
                <w:rFonts w:eastAsia="Verdana" w:cs="Verdana"/>
              </w:rPr>
              <w:t>2015</w:t>
            </w:r>
          </w:p>
        </w:tc>
        <w:tc>
          <w:tcPr>
            <w:tcW w:w="717" w:type="dxa"/>
            <w:tcBorders>
              <w:top w:val="single" w:sz="4" w:space="0" w:color="000000"/>
              <w:left w:val="single" w:sz="4" w:space="0" w:color="000000"/>
              <w:bottom w:val="single" w:sz="4" w:space="0" w:color="000000"/>
              <w:right w:val="single" w:sz="4" w:space="0" w:color="000000"/>
            </w:tcBorders>
            <w:shd w:val="clear" w:color="auto" w:fill="D9D9D9"/>
            <w:hideMark/>
          </w:tcPr>
          <w:p w14:paraId="1B0F3255" w14:textId="77777777" w:rsidR="00D90CF3" w:rsidRPr="00D90CF3" w:rsidRDefault="00D90CF3" w:rsidP="00BA6CFD">
            <w:pPr>
              <w:jc w:val="left"/>
              <w:rPr>
                <w:rFonts w:eastAsia="Verdana" w:cs="Verdana"/>
              </w:rPr>
            </w:pPr>
            <w:r w:rsidRPr="00D90CF3">
              <w:rPr>
                <w:rFonts w:eastAsia="Verdana" w:cs="Verdana"/>
              </w:rPr>
              <w:t>2016</w:t>
            </w:r>
          </w:p>
        </w:tc>
        <w:tc>
          <w:tcPr>
            <w:tcW w:w="702" w:type="dxa"/>
            <w:tcBorders>
              <w:top w:val="single" w:sz="4" w:space="0" w:color="000000"/>
              <w:left w:val="single" w:sz="4" w:space="0" w:color="000000"/>
              <w:bottom w:val="single" w:sz="4" w:space="0" w:color="000000"/>
              <w:right w:val="single" w:sz="4" w:space="0" w:color="000000"/>
            </w:tcBorders>
            <w:shd w:val="clear" w:color="auto" w:fill="D9D9D9"/>
            <w:hideMark/>
          </w:tcPr>
          <w:p w14:paraId="310AB4F5" w14:textId="77777777" w:rsidR="00D90CF3" w:rsidRPr="00D90CF3" w:rsidRDefault="00D90CF3" w:rsidP="00BA6CFD">
            <w:pPr>
              <w:jc w:val="left"/>
              <w:rPr>
                <w:rFonts w:eastAsia="Verdana" w:cs="Verdana"/>
              </w:rPr>
            </w:pPr>
            <w:r w:rsidRPr="00D90CF3">
              <w:rPr>
                <w:rFonts w:eastAsia="Verdana" w:cs="Verdana"/>
              </w:rPr>
              <w:t>2017</w:t>
            </w:r>
          </w:p>
        </w:tc>
        <w:tc>
          <w:tcPr>
            <w:tcW w:w="789" w:type="dxa"/>
            <w:tcBorders>
              <w:top w:val="single" w:sz="4" w:space="0" w:color="000000"/>
              <w:left w:val="single" w:sz="4" w:space="0" w:color="000000"/>
              <w:bottom w:val="single" w:sz="4" w:space="0" w:color="000000"/>
              <w:right w:val="single" w:sz="4" w:space="0" w:color="000000"/>
            </w:tcBorders>
            <w:shd w:val="clear" w:color="auto" w:fill="D9D9D9"/>
            <w:hideMark/>
          </w:tcPr>
          <w:p w14:paraId="02CCD8D3" w14:textId="77777777" w:rsidR="00D90CF3" w:rsidRPr="00D90CF3" w:rsidRDefault="00D90CF3" w:rsidP="00BA6CFD">
            <w:pPr>
              <w:jc w:val="left"/>
              <w:rPr>
                <w:rFonts w:eastAsia="Verdana" w:cs="Verdana"/>
              </w:rPr>
            </w:pPr>
            <w:r w:rsidRPr="00D90CF3">
              <w:rPr>
                <w:rFonts w:eastAsia="Verdana" w:cs="Verdana"/>
              </w:rPr>
              <w:t>2018</w:t>
            </w:r>
          </w:p>
        </w:tc>
      </w:tr>
      <w:tr w:rsidR="00D90CF3" w:rsidRPr="00D90CF3" w14:paraId="10740BAA" w14:textId="77777777" w:rsidTr="00BA6CFD">
        <w:tc>
          <w:tcPr>
            <w:tcW w:w="5490" w:type="dxa"/>
            <w:tcBorders>
              <w:top w:val="single" w:sz="4" w:space="0" w:color="000000"/>
              <w:left w:val="single" w:sz="4" w:space="0" w:color="000000"/>
              <w:bottom w:val="single" w:sz="4" w:space="0" w:color="000000"/>
              <w:right w:val="single" w:sz="4" w:space="0" w:color="000000"/>
            </w:tcBorders>
            <w:hideMark/>
          </w:tcPr>
          <w:p w14:paraId="23CD8F5D" w14:textId="77777777" w:rsidR="00D90CF3" w:rsidRPr="00D90CF3" w:rsidRDefault="00D90CF3" w:rsidP="00BA6CFD">
            <w:pPr>
              <w:jc w:val="left"/>
              <w:rPr>
                <w:rFonts w:eastAsia="Verdana" w:cs="Verdana"/>
              </w:rPr>
            </w:pPr>
            <w:r w:rsidRPr="00D90CF3">
              <w:rPr>
                <w:rFonts w:eastAsia="Verdana" w:cs="Verdana"/>
              </w:rPr>
              <w:t>Aantal begeleide doorverwijzingen naar FIT</w:t>
            </w:r>
          </w:p>
        </w:tc>
        <w:tc>
          <w:tcPr>
            <w:tcW w:w="690" w:type="dxa"/>
            <w:tcBorders>
              <w:top w:val="single" w:sz="4" w:space="0" w:color="000000"/>
              <w:left w:val="single" w:sz="4" w:space="0" w:color="000000"/>
              <w:bottom w:val="single" w:sz="4" w:space="0" w:color="000000"/>
              <w:right w:val="single" w:sz="4" w:space="0" w:color="000000"/>
            </w:tcBorders>
            <w:hideMark/>
          </w:tcPr>
          <w:p w14:paraId="2001AEFB" w14:textId="77777777" w:rsidR="00D90CF3" w:rsidRPr="00D90CF3" w:rsidRDefault="00D90CF3" w:rsidP="00BA6CFD">
            <w:pPr>
              <w:jc w:val="center"/>
              <w:rPr>
                <w:rFonts w:eastAsia="Verdana" w:cs="Verdana"/>
              </w:rPr>
            </w:pPr>
            <w:r w:rsidRPr="00D90CF3">
              <w:rPr>
                <w:rFonts w:eastAsia="Verdana" w:cs="Verdana"/>
              </w:rPr>
              <w:t>33</w:t>
            </w:r>
          </w:p>
        </w:tc>
        <w:tc>
          <w:tcPr>
            <w:tcW w:w="684" w:type="dxa"/>
            <w:tcBorders>
              <w:top w:val="single" w:sz="4" w:space="0" w:color="000000"/>
              <w:left w:val="single" w:sz="4" w:space="0" w:color="000000"/>
              <w:bottom w:val="single" w:sz="4" w:space="0" w:color="000000"/>
              <w:right w:val="single" w:sz="4" w:space="0" w:color="000000"/>
            </w:tcBorders>
            <w:hideMark/>
          </w:tcPr>
          <w:p w14:paraId="7BA2935B" w14:textId="77777777" w:rsidR="00D90CF3" w:rsidRPr="00D90CF3" w:rsidRDefault="00D90CF3" w:rsidP="00BA6CFD">
            <w:pPr>
              <w:jc w:val="center"/>
              <w:rPr>
                <w:rFonts w:eastAsia="Verdana" w:cs="Verdana"/>
              </w:rPr>
            </w:pPr>
            <w:r w:rsidRPr="00D90CF3">
              <w:rPr>
                <w:rFonts w:eastAsia="Verdana" w:cs="Verdana"/>
              </w:rPr>
              <w:t>40</w:t>
            </w:r>
          </w:p>
        </w:tc>
        <w:tc>
          <w:tcPr>
            <w:tcW w:w="717" w:type="dxa"/>
            <w:tcBorders>
              <w:top w:val="single" w:sz="4" w:space="0" w:color="000000"/>
              <w:left w:val="single" w:sz="4" w:space="0" w:color="000000"/>
              <w:bottom w:val="single" w:sz="4" w:space="0" w:color="000000"/>
              <w:right w:val="single" w:sz="4" w:space="0" w:color="000000"/>
            </w:tcBorders>
            <w:hideMark/>
          </w:tcPr>
          <w:p w14:paraId="26FC0D26" w14:textId="77777777" w:rsidR="00D90CF3" w:rsidRPr="00D90CF3" w:rsidRDefault="00D90CF3" w:rsidP="00BA6CFD">
            <w:pPr>
              <w:jc w:val="center"/>
              <w:rPr>
                <w:rFonts w:eastAsia="Verdana" w:cs="Verdana"/>
              </w:rPr>
            </w:pPr>
            <w:r w:rsidRPr="00D90CF3">
              <w:rPr>
                <w:rFonts w:eastAsia="Verdana" w:cs="Verdana"/>
              </w:rPr>
              <w:t>52</w:t>
            </w:r>
          </w:p>
        </w:tc>
        <w:tc>
          <w:tcPr>
            <w:tcW w:w="702" w:type="dxa"/>
            <w:tcBorders>
              <w:top w:val="single" w:sz="4" w:space="0" w:color="000000"/>
              <w:left w:val="single" w:sz="4" w:space="0" w:color="000000"/>
              <w:bottom w:val="single" w:sz="4" w:space="0" w:color="000000"/>
              <w:right w:val="single" w:sz="4" w:space="0" w:color="000000"/>
            </w:tcBorders>
            <w:hideMark/>
          </w:tcPr>
          <w:p w14:paraId="2E912912" w14:textId="77777777" w:rsidR="00D90CF3" w:rsidRPr="00D90CF3" w:rsidRDefault="00D90CF3" w:rsidP="00BA6CFD">
            <w:pPr>
              <w:jc w:val="center"/>
              <w:rPr>
                <w:rFonts w:eastAsia="Verdana" w:cs="Verdana"/>
              </w:rPr>
            </w:pPr>
            <w:r w:rsidRPr="00D90CF3">
              <w:rPr>
                <w:rFonts w:eastAsia="Verdana" w:cs="Verdana"/>
              </w:rPr>
              <w:t>39</w:t>
            </w:r>
          </w:p>
        </w:tc>
        <w:tc>
          <w:tcPr>
            <w:tcW w:w="789" w:type="dxa"/>
            <w:tcBorders>
              <w:top w:val="single" w:sz="4" w:space="0" w:color="000000"/>
              <w:left w:val="single" w:sz="4" w:space="0" w:color="000000"/>
              <w:bottom w:val="single" w:sz="4" w:space="0" w:color="000000"/>
              <w:right w:val="single" w:sz="4" w:space="0" w:color="000000"/>
            </w:tcBorders>
            <w:hideMark/>
          </w:tcPr>
          <w:p w14:paraId="11E16F35" w14:textId="77777777" w:rsidR="00D90CF3" w:rsidRPr="00D90CF3" w:rsidRDefault="00D90CF3" w:rsidP="00BA6CFD">
            <w:pPr>
              <w:jc w:val="center"/>
              <w:rPr>
                <w:rFonts w:eastAsia="Verdana" w:cs="Verdana"/>
              </w:rPr>
            </w:pPr>
            <w:r w:rsidRPr="00D90CF3">
              <w:rPr>
                <w:rFonts w:eastAsia="Verdana" w:cs="Verdana"/>
              </w:rPr>
              <w:t>42</w:t>
            </w:r>
          </w:p>
        </w:tc>
      </w:tr>
      <w:tr w:rsidR="00D90CF3" w:rsidRPr="00D90CF3" w14:paraId="524E4270" w14:textId="77777777" w:rsidTr="00BA6CFD">
        <w:tc>
          <w:tcPr>
            <w:tcW w:w="5490" w:type="dxa"/>
            <w:tcBorders>
              <w:top w:val="single" w:sz="4" w:space="0" w:color="000000"/>
              <w:left w:val="single" w:sz="4" w:space="0" w:color="000000"/>
              <w:bottom w:val="single" w:sz="4" w:space="0" w:color="000000"/>
              <w:right w:val="single" w:sz="4" w:space="0" w:color="000000"/>
            </w:tcBorders>
            <w:hideMark/>
          </w:tcPr>
          <w:p w14:paraId="4EF03034" w14:textId="77777777" w:rsidR="00D90CF3" w:rsidRPr="00D90CF3" w:rsidRDefault="00D90CF3" w:rsidP="00BA6CFD">
            <w:pPr>
              <w:jc w:val="left"/>
              <w:rPr>
                <w:rFonts w:eastAsia="Verdana" w:cs="Verdana"/>
              </w:rPr>
            </w:pPr>
            <w:r w:rsidRPr="00D90CF3">
              <w:rPr>
                <w:rFonts w:eastAsia="Verdana" w:cs="Verdana"/>
              </w:rPr>
              <w:t>Aantal niet-begeleide doorverwijzingen naar FIT</w:t>
            </w:r>
          </w:p>
        </w:tc>
        <w:tc>
          <w:tcPr>
            <w:tcW w:w="690" w:type="dxa"/>
            <w:tcBorders>
              <w:top w:val="single" w:sz="4" w:space="0" w:color="000000"/>
              <w:left w:val="single" w:sz="4" w:space="0" w:color="000000"/>
              <w:bottom w:val="single" w:sz="4" w:space="0" w:color="000000"/>
              <w:right w:val="single" w:sz="4" w:space="0" w:color="000000"/>
            </w:tcBorders>
            <w:hideMark/>
          </w:tcPr>
          <w:p w14:paraId="6F76249D" w14:textId="77777777" w:rsidR="00D90CF3" w:rsidRPr="00D90CF3" w:rsidRDefault="00D90CF3" w:rsidP="00BA6CFD">
            <w:pPr>
              <w:jc w:val="center"/>
              <w:rPr>
                <w:rFonts w:eastAsia="Verdana" w:cs="Verdana"/>
              </w:rPr>
            </w:pPr>
            <w:r w:rsidRPr="00D90CF3">
              <w:rPr>
                <w:rFonts w:eastAsia="Verdana" w:cs="Verdana"/>
              </w:rPr>
              <w:t>32</w:t>
            </w:r>
          </w:p>
        </w:tc>
        <w:tc>
          <w:tcPr>
            <w:tcW w:w="684" w:type="dxa"/>
            <w:tcBorders>
              <w:top w:val="single" w:sz="4" w:space="0" w:color="000000"/>
              <w:left w:val="single" w:sz="4" w:space="0" w:color="000000"/>
              <w:bottom w:val="single" w:sz="4" w:space="0" w:color="000000"/>
              <w:right w:val="single" w:sz="4" w:space="0" w:color="000000"/>
            </w:tcBorders>
            <w:hideMark/>
          </w:tcPr>
          <w:p w14:paraId="22678031" w14:textId="77777777" w:rsidR="00D90CF3" w:rsidRPr="00D90CF3" w:rsidRDefault="00D90CF3" w:rsidP="00BA6CFD">
            <w:pPr>
              <w:jc w:val="center"/>
              <w:rPr>
                <w:rFonts w:eastAsia="Verdana" w:cs="Verdana"/>
              </w:rPr>
            </w:pPr>
            <w:r w:rsidRPr="00D90CF3">
              <w:rPr>
                <w:rFonts w:eastAsia="Verdana" w:cs="Verdana"/>
              </w:rPr>
              <w:t>20</w:t>
            </w:r>
          </w:p>
        </w:tc>
        <w:tc>
          <w:tcPr>
            <w:tcW w:w="717" w:type="dxa"/>
            <w:tcBorders>
              <w:top w:val="single" w:sz="4" w:space="0" w:color="000000"/>
              <w:left w:val="single" w:sz="4" w:space="0" w:color="000000"/>
              <w:bottom w:val="single" w:sz="4" w:space="0" w:color="000000"/>
              <w:right w:val="single" w:sz="4" w:space="0" w:color="000000"/>
            </w:tcBorders>
            <w:hideMark/>
          </w:tcPr>
          <w:p w14:paraId="77AD93AA" w14:textId="77777777" w:rsidR="00D90CF3" w:rsidRPr="00D90CF3" w:rsidRDefault="00D90CF3" w:rsidP="00BA6CFD">
            <w:pPr>
              <w:jc w:val="center"/>
              <w:rPr>
                <w:rFonts w:eastAsia="Verdana" w:cs="Verdana"/>
              </w:rPr>
            </w:pPr>
            <w:r w:rsidRPr="00D90CF3">
              <w:rPr>
                <w:rFonts w:eastAsia="Verdana" w:cs="Verdana"/>
              </w:rPr>
              <w:t>24</w:t>
            </w:r>
          </w:p>
        </w:tc>
        <w:tc>
          <w:tcPr>
            <w:tcW w:w="702" w:type="dxa"/>
            <w:tcBorders>
              <w:top w:val="single" w:sz="4" w:space="0" w:color="000000"/>
              <w:left w:val="single" w:sz="4" w:space="0" w:color="000000"/>
              <w:bottom w:val="single" w:sz="4" w:space="0" w:color="000000"/>
              <w:right w:val="single" w:sz="4" w:space="0" w:color="000000"/>
            </w:tcBorders>
            <w:hideMark/>
          </w:tcPr>
          <w:p w14:paraId="5906E5FB" w14:textId="77777777" w:rsidR="00D90CF3" w:rsidRPr="00D90CF3" w:rsidRDefault="00D90CF3" w:rsidP="00BA6CFD">
            <w:pPr>
              <w:jc w:val="center"/>
              <w:rPr>
                <w:rFonts w:eastAsia="Verdana" w:cs="Verdana"/>
              </w:rPr>
            </w:pPr>
            <w:r w:rsidRPr="00D90CF3">
              <w:rPr>
                <w:rFonts w:eastAsia="Verdana" w:cs="Verdana"/>
              </w:rPr>
              <w:t>13</w:t>
            </w:r>
          </w:p>
        </w:tc>
        <w:tc>
          <w:tcPr>
            <w:tcW w:w="789" w:type="dxa"/>
            <w:tcBorders>
              <w:top w:val="single" w:sz="4" w:space="0" w:color="000000"/>
              <w:left w:val="single" w:sz="4" w:space="0" w:color="000000"/>
              <w:bottom w:val="single" w:sz="4" w:space="0" w:color="000000"/>
              <w:right w:val="single" w:sz="4" w:space="0" w:color="000000"/>
            </w:tcBorders>
            <w:hideMark/>
          </w:tcPr>
          <w:p w14:paraId="78B1A685" w14:textId="77777777" w:rsidR="00D90CF3" w:rsidRPr="00D90CF3" w:rsidRDefault="00D90CF3" w:rsidP="00BA6CFD">
            <w:pPr>
              <w:jc w:val="center"/>
              <w:rPr>
                <w:rFonts w:eastAsia="Verdana" w:cs="Verdana"/>
              </w:rPr>
            </w:pPr>
            <w:r w:rsidRPr="00D90CF3">
              <w:rPr>
                <w:rFonts w:eastAsia="Verdana" w:cs="Verdana"/>
              </w:rPr>
              <w:t>24</w:t>
            </w:r>
          </w:p>
        </w:tc>
      </w:tr>
      <w:tr w:rsidR="00D90CF3" w:rsidRPr="00D90CF3" w14:paraId="71D45CC0" w14:textId="77777777" w:rsidTr="00BA6CFD">
        <w:tc>
          <w:tcPr>
            <w:tcW w:w="5490" w:type="dxa"/>
            <w:tcBorders>
              <w:top w:val="single" w:sz="4" w:space="0" w:color="000000"/>
              <w:left w:val="single" w:sz="4" w:space="0" w:color="000000"/>
              <w:bottom w:val="single" w:sz="4" w:space="0" w:color="000000"/>
              <w:right w:val="single" w:sz="4" w:space="0" w:color="000000"/>
            </w:tcBorders>
            <w:shd w:val="clear" w:color="auto" w:fill="D9D9D9"/>
            <w:hideMark/>
          </w:tcPr>
          <w:p w14:paraId="1F57A1EC" w14:textId="77777777" w:rsidR="00D90CF3" w:rsidRPr="00D90CF3" w:rsidRDefault="00D90CF3" w:rsidP="00BA6CFD">
            <w:pPr>
              <w:jc w:val="left"/>
              <w:rPr>
                <w:rFonts w:eastAsia="Verdana" w:cs="Verdana"/>
              </w:rPr>
            </w:pPr>
            <w:r w:rsidRPr="00D90CF3">
              <w:rPr>
                <w:rFonts w:eastAsia="Verdana" w:cs="Verdana"/>
              </w:rPr>
              <w:t>Totaal</w:t>
            </w:r>
          </w:p>
        </w:tc>
        <w:tc>
          <w:tcPr>
            <w:tcW w:w="690" w:type="dxa"/>
            <w:tcBorders>
              <w:top w:val="single" w:sz="4" w:space="0" w:color="000000"/>
              <w:left w:val="single" w:sz="4" w:space="0" w:color="000000"/>
              <w:bottom w:val="single" w:sz="4" w:space="0" w:color="000000"/>
              <w:right w:val="single" w:sz="4" w:space="0" w:color="000000"/>
            </w:tcBorders>
            <w:shd w:val="clear" w:color="auto" w:fill="D9D9D9"/>
            <w:hideMark/>
          </w:tcPr>
          <w:p w14:paraId="7FEBAF66" w14:textId="77777777" w:rsidR="00D90CF3" w:rsidRPr="00D90CF3" w:rsidRDefault="00D90CF3" w:rsidP="00BA6CFD">
            <w:pPr>
              <w:jc w:val="center"/>
              <w:rPr>
                <w:rFonts w:eastAsia="Verdana" w:cs="Verdana"/>
              </w:rPr>
            </w:pPr>
            <w:r w:rsidRPr="00D90CF3">
              <w:rPr>
                <w:rFonts w:eastAsia="Verdana" w:cs="Verdana"/>
              </w:rPr>
              <w:t>65</w:t>
            </w:r>
          </w:p>
        </w:tc>
        <w:tc>
          <w:tcPr>
            <w:tcW w:w="684" w:type="dxa"/>
            <w:tcBorders>
              <w:top w:val="single" w:sz="4" w:space="0" w:color="000000"/>
              <w:left w:val="single" w:sz="4" w:space="0" w:color="000000"/>
              <w:bottom w:val="single" w:sz="4" w:space="0" w:color="000000"/>
              <w:right w:val="single" w:sz="4" w:space="0" w:color="000000"/>
            </w:tcBorders>
            <w:shd w:val="clear" w:color="auto" w:fill="D9D9D9"/>
            <w:hideMark/>
          </w:tcPr>
          <w:p w14:paraId="0FB4E600" w14:textId="77777777" w:rsidR="00D90CF3" w:rsidRPr="00D90CF3" w:rsidRDefault="00D90CF3" w:rsidP="00BA6CFD">
            <w:pPr>
              <w:jc w:val="center"/>
              <w:rPr>
                <w:rFonts w:eastAsia="Verdana" w:cs="Verdana"/>
              </w:rPr>
            </w:pPr>
            <w:r w:rsidRPr="00D90CF3">
              <w:rPr>
                <w:rFonts w:eastAsia="Verdana" w:cs="Verdana"/>
              </w:rPr>
              <w:t>60</w:t>
            </w:r>
          </w:p>
        </w:tc>
        <w:tc>
          <w:tcPr>
            <w:tcW w:w="717" w:type="dxa"/>
            <w:tcBorders>
              <w:top w:val="single" w:sz="4" w:space="0" w:color="000000"/>
              <w:left w:val="single" w:sz="4" w:space="0" w:color="000000"/>
              <w:bottom w:val="single" w:sz="4" w:space="0" w:color="000000"/>
              <w:right w:val="single" w:sz="4" w:space="0" w:color="000000"/>
            </w:tcBorders>
            <w:shd w:val="clear" w:color="auto" w:fill="D9D9D9"/>
            <w:hideMark/>
          </w:tcPr>
          <w:p w14:paraId="29E850EA" w14:textId="77777777" w:rsidR="00D90CF3" w:rsidRPr="00D90CF3" w:rsidRDefault="00D90CF3" w:rsidP="00BA6CFD">
            <w:pPr>
              <w:jc w:val="center"/>
              <w:rPr>
                <w:rFonts w:eastAsia="Verdana" w:cs="Verdana"/>
              </w:rPr>
            </w:pPr>
            <w:r w:rsidRPr="00D90CF3">
              <w:rPr>
                <w:rFonts w:eastAsia="Verdana" w:cs="Verdana"/>
              </w:rPr>
              <w:t>76</w:t>
            </w:r>
          </w:p>
        </w:tc>
        <w:tc>
          <w:tcPr>
            <w:tcW w:w="702" w:type="dxa"/>
            <w:tcBorders>
              <w:top w:val="single" w:sz="4" w:space="0" w:color="000000"/>
              <w:left w:val="single" w:sz="4" w:space="0" w:color="000000"/>
              <w:bottom w:val="single" w:sz="4" w:space="0" w:color="000000"/>
              <w:right w:val="single" w:sz="4" w:space="0" w:color="000000"/>
            </w:tcBorders>
            <w:shd w:val="clear" w:color="auto" w:fill="D9D9D9"/>
            <w:hideMark/>
          </w:tcPr>
          <w:p w14:paraId="5074DC5A" w14:textId="77777777" w:rsidR="00D90CF3" w:rsidRPr="00D90CF3" w:rsidRDefault="00D90CF3" w:rsidP="00BA6CFD">
            <w:pPr>
              <w:jc w:val="center"/>
              <w:rPr>
                <w:rFonts w:eastAsia="Verdana" w:cs="Verdana"/>
              </w:rPr>
            </w:pPr>
            <w:r w:rsidRPr="00D90CF3">
              <w:rPr>
                <w:rFonts w:eastAsia="Verdana" w:cs="Verdana"/>
              </w:rPr>
              <w:t>52</w:t>
            </w:r>
          </w:p>
        </w:tc>
        <w:tc>
          <w:tcPr>
            <w:tcW w:w="789" w:type="dxa"/>
            <w:tcBorders>
              <w:top w:val="single" w:sz="4" w:space="0" w:color="000000"/>
              <w:left w:val="single" w:sz="4" w:space="0" w:color="000000"/>
              <w:bottom w:val="single" w:sz="4" w:space="0" w:color="000000"/>
              <w:right w:val="single" w:sz="4" w:space="0" w:color="000000"/>
            </w:tcBorders>
            <w:shd w:val="clear" w:color="auto" w:fill="D9D9D9"/>
            <w:hideMark/>
          </w:tcPr>
          <w:p w14:paraId="2E363D24" w14:textId="77777777" w:rsidR="00D90CF3" w:rsidRPr="00D90CF3" w:rsidRDefault="00D90CF3" w:rsidP="00BA6CFD">
            <w:pPr>
              <w:jc w:val="center"/>
              <w:rPr>
                <w:rFonts w:eastAsia="Verdana" w:cs="Verdana"/>
              </w:rPr>
            </w:pPr>
            <w:r w:rsidRPr="00D90CF3">
              <w:rPr>
                <w:rFonts w:eastAsia="Verdana" w:cs="Verdana"/>
              </w:rPr>
              <w:t>66</w:t>
            </w:r>
          </w:p>
        </w:tc>
      </w:tr>
    </w:tbl>
    <w:p w14:paraId="7AF7274F" w14:textId="77777777" w:rsidR="00D90CF3" w:rsidRPr="00D90CF3" w:rsidRDefault="00D90CF3" w:rsidP="00D90CF3"/>
    <w:p w14:paraId="76AC01C0" w14:textId="77777777" w:rsidR="00D90CF3" w:rsidRPr="00D90CF3" w:rsidRDefault="00D90CF3" w:rsidP="00D90CF3">
      <w:r w:rsidRPr="00D90CF3">
        <w:t>Bijkomend vonden er 8 begeleide doorverwijzingen plaats vanuit het project SALK (Strategisch Actieplan Limburg in het kwadraat) naar FIT voor de periode 2014-2018</w:t>
      </w:r>
    </w:p>
    <w:p w14:paraId="3FCC0CEC" w14:textId="77777777" w:rsidR="00D90CF3" w:rsidRPr="00D90CF3" w:rsidRDefault="00D90CF3"/>
    <w:sectPr w:rsidR="00D90CF3" w:rsidRPr="00D90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F3"/>
    <w:rsid w:val="001936A1"/>
    <w:rsid w:val="00AB08CA"/>
    <w:rsid w:val="00CD29E5"/>
    <w:rsid w:val="00D90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E885"/>
  <w15:chartTrackingRefBased/>
  <w15:docId w15:val="{C424A293-14D2-4B75-8512-6CDA3B8A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0CF3"/>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1">
    <w:name w:val="Table Grid1"/>
    <w:basedOn w:val="Standaardtabel"/>
    <w:next w:val="Tabelraster"/>
    <w:uiPriority w:val="59"/>
    <w:rsid w:val="00D90CF3"/>
    <w:pPr>
      <w:spacing w:after="0" w:line="240" w:lineRule="auto"/>
    </w:pPr>
    <w:rPr>
      <w:rFonts w:ascii="Times New Roman" w:eastAsia="Times New Roman" w:hAnsi="Times New Roman" w:cs="Times New Roman"/>
      <w:sz w:val="20"/>
      <w:szCs w:val="20"/>
      <w:lang w:eastAsia="nl-B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D9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B08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08CA"/>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BBBD3-AA05-49BA-B4C5-D37384CEA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8D42CC-64CF-49BB-8234-407FD87B84BE}">
  <ds:schemaRefs>
    <ds:schemaRef ds:uri="http://schemas.microsoft.com/sharepoint/v3/contenttype/forms"/>
  </ds:schemaRefs>
</ds:datastoreItem>
</file>

<file path=customXml/itemProps3.xml><?xml version="1.0" encoding="utf-8"?>
<ds:datastoreItem xmlns:ds="http://schemas.openxmlformats.org/officeDocument/2006/customXml" ds:itemID="{3B7608C2-0EE9-448C-A4FD-49F8A955C7C6}">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Franckaert Eline</dc:creator>
  <cp:keywords/>
  <dc:description/>
  <cp:lastModifiedBy>D'Hanis, Denis</cp:lastModifiedBy>
  <cp:revision>2</cp:revision>
  <cp:lastPrinted>2019-02-11T08:16:00Z</cp:lastPrinted>
  <dcterms:created xsi:type="dcterms:W3CDTF">2019-02-11T08:17:00Z</dcterms:created>
  <dcterms:modified xsi:type="dcterms:W3CDTF">2019-02-11T08:17:00Z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