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1D5" w:rsidRPr="00DC3563" w:rsidRDefault="003A01D5" w:rsidP="003A01D5">
      <w:pPr>
        <w:pStyle w:val="SVTitel"/>
        <w:jc w:val="left"/>
        <w:rPr>
          <w:rFonts w:ascii="Verdana" w:hAnsi="Verdana"/>
          <w:b/>
          <w:i w:val="0"/>
          <w:sz w:val="20"/>
        </w:rPr>
      </w:pPr>
      <w:r w:rsidRPr="00DC3563">
        <w:rPr>
          <w:rFonts w:ascii="Verdana" w:hAnsi="Verdana"/>
          <w:b/>
          <w:i w:val="0"/>
          <w:sz w:val="20"/>
        </w:rPr>
        <w:t xml:space="preserve">BIJLAGE bij het antwoord op vraag nr. 113 van 23 november 2018 </w:t>
      </w:r>
    </w:p>
    <w:p w:rsidR="003A01D5" w:rsidRPr="00DC3563" w:rsidRDefault="003A01D5" w:rsidP="003A01D5">
      <w:pPr>
        <w:rPr>
          <w:rFonts w:ascii="Verdana" w:hAnsi="Verdana"/>
          <w:sz w:val="20"/>
          <w:szCs w:val="20"/>
        </w:rPr>
      </w:pPr>
    </w:p>
    <w:p w:rsidR="003A01D5" w:rsidRPr="00DC3563" w:rsidRDefault="003A01D5" w:rsidP="003A01D5">
      <w:pPr>
        <w:tabs>
          <w:tab w:val="left" w:pos="533"/>
          <w:tab w:val="left" w:pos="3652"/>
        </w:tabs>
        <w:jc w:val="both"/>
        <w:rPr>
          <w:rFonts w:ascii="Verdana" w:hAnsi="Verdana" w:cstheme="minorHAnsi"/>
          <w:sz w:val="20"/>
          <w:szCs w:val="20"/>
        </w:rPr>
      </w:pPr>
      <w:r w:rsidRPr="00DC3563">
        <w:rPr>
          <w:rFonts w:ascii="Verdana" w:hAnsi="Verdana" w:cstheme="minorHAnsi"/>
          <w:sz w:val="20"/>
          <w:szCs w:val="20"/>
        </w:rPr>
        <w:t>Onderstaand overzicht geeft voor de lopende acties volgende informatie weer.</w:t>
      </w:r>
      <w:r>
        <w:rPr>
          <w:rFonts w:ascii="Verdana" w:hAnsi="Verdana" w:cstheme="minorHAnsi"/>
          <w:sz w:val="20"/>
          <w:szCs w:val="20"/>
        </w:rPr>
        <w:t xml:space="preserve"> </w:t>
      </w:r>
      <w:r w:rsidRPr="00DC3563">
        <w:rPr>
          <w:rFonts w:ascii="Verdana" w:hAnsi="Verdana" w:cstheme="minorHAnsi"/>
          <w:sz w:val="20"/>
          <w:szCs w:val="20"/>
        </w:rPr>
        <w:t>Acties in voorbereiding ondergaan of behoeven nog verdere afstemming met sleutelpartners om deze v</w:t>
      </w:r>
      <w:r>
        <w:rPr>
          <w:rFonts w:ascii="Verdana" w:hAnsi="Verdana" w:cstheme="minorHAnsi"/>
          <w:sz w:val="20"/>
          <w:szCs w:val="20"/>
        </w:rPr>
        <w:t xml:space="preserve">erder te </w:t>
      </w:r>
      <w:bookmarkStart w:id="0" w:name="_GoBack"/>
      <w:bookmarkEnd w:id="0"/>
      <w:r>
        <w:rPr>
          <w:rFonts w:ascii="Verdana" w:hAnsi="Verdana" w:cstheme="minorHAnsi"/>
          <w:sz w:val="20"/>
          <w:szCs w:val="20"/>
        </w:rPr>
        <w:t xml:space="preserve">kunnen concretiseren. </w:t>
      </w:r>
      <w:r w:rsidRPr="00DC3563">
        <w:rPr>
          <w:rFonts w:ascii="Verdana" w:hAnsi="Verdana" w:cstheme="minorHAnsi"/>
          <w:sz w:val="20"/>
          <w:szCs w:val="20"/>
        </w:rPr>
        <w:t>Wanneer acties tijdelijk on-</w:t>
      </w:r>
      <w:proofErr w:type="spellStart"/>
      <w:r w:rsidRPr="00DC3563">
        <w:rPr>
          <w:rFonts w:ascii="Verdana" w:hAnsi="Verdana" w:cstheme="minorHAnsi"/>
          <w:sz w:val="20"/>
          <w:szCs w:val="20"/>
        </w:rPr>
        <w:t>hold</w:t>
      </w:r>
      <w:proofErr w:type="spellEnd"/>
      <w:r w:rsidRPr="00DC3563">
        <w:rPr>
          <w:rFonts w:ascii="Verdana" w:hAnsi="Verdana" w:cstheme="minorHAnsi"/>
          <w:sz w:val="20"/>
          <w:szCs w:val="20"/>
        </w:rPr>
        <w:t xml:space="preserve"> of nog niet gestart zijn, heeft dit te maken met gebrek aan financiële of personele capaciteit om hiermee aan de slag te kunnen gaan. </w:t>
      </w:r>
    </w:p>
    <w:p w:rsidR="003A01D5" w:rsidRPr="00DC3563" w:rsidRDefault="003A01D5" w:rsidP="003A01D5">
      <w:pPr>
        <w:tabs>
          <w:tab w:val="left" w:pos="533"/>
          <w:tab w:val="left" w:pos="3652"/>
        </w:tabs>
        <w:jc w:val="both"/>
        <w:rPr>
          <w:rFonts w:ascii="Verdana" w:hAnsi="Verdana" w:cstheme="minorHAnsi"/>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0"/>
        <w:gridCol w:w="2898"/>
        <w:gridCol w:w="2907"/>
        <w:gridCol w:w="2907"/>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1</w:t>
            </w:r>
            <w:r w:rsidRPr="00DC3563">
              <w:rPr>
                <w:rFonts w:ascii="Verdana" w:hAnsi="Verdana" w:cstheme="minorHAnsi"/>
                <w:szCs w:val="20"/>
              </w:rPr>
              <w:br/>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Kennisbank grondbeleidsinstrumenten</w:t>
            </w:r>
          </w:p>
        </w:tc>
        <w:tc>
          <w:tcPr>
            <w:tcW w:w="0" w:type="auto"/>
            <w:gridSpan w:val="2"/>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ontsluiten de </w:t>
            </w:r>
            <w:r w:rsidRPr="00DC3563">
              <w:rPr>
                <w:rFonts w:ascii="Verdana" w:hAnsi="Verdana" w:cstheme="minorHAnsi"/>
                <w:b/>
                <w:szCs w:val="20"/>
              </w:rPr>
              <w:t>inventaris van bestaande grond- &amp; pandenbeleidsinstrumenten</w:t>
            </w:r>
            <w:r w:rsidRPr="00DC3563">
              <w:rPr>
                <w:rFonts w:ascii="Verdana" w:hAnsi="Verdana" w:cstheme="minorHAnsi"/>
                <w:szCs w:val="20"/>
              </w:rPr>
              <w:t xml:space="preserve"> via een online-tool raadpleegbaar voor overheden en particulieren.</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en-US" w:eastAsia="nl-BE"/>
              </w:rPr>
            </w:pPr>
            <w:r w:rsidRPr="00DC3563">
              <w:rPr>
                <w:rFonts w:ascii="Verdana" w:hAnsi="Verdana" w:cstheme="minorHAnsi"/>
                <w:b/>
                <w:szCs w:val="20"/>
                <w:lang w:val="en-US" w:eastAsia="nl-BE"/>
              </w:rPr>
              <w:t>Trekker</w:t>
            </w:r>
          </w:p>
          <w:p w:rsidR="003A01D5" w:rsidRPr="00DC3563" w:rsidRDefault="003A01D5" w:rsidP="0013168A">
            <w:pPr>
              <w:rPr>
                <w:rFonts w:ascii="Verdana" w:hAnsi="Verdana" w:cstheme="minorHAnsi"/>
                <w:szCs w:val="20"/>
                <w:lang w:val="en-US"/>
              </w:rPr>
            </w:pPr>
            <w:proofErr w:type="spellStart"/>
            <w:r w:rsidRPr="00DC3563">
              <w:rPr>
                <w:rFonts w:ascii="Verdana" w:hAnsi="Verdana" w:cstheme="minorHAnsi"/>
                <w:szCs w:val="20"/>
                <w:lang w:val="en-US" w:eastAsia="nl-BE"/>
              </w:rPr>
              <w:t>Departement</w:t>
            </w:r>
            <w:proofErr w:type="spellEnd"/>
            <w:r w:rsidRPr="00DC3563">
              <w:rPr>
                <w:rFonts w:ascii="Verdana" w:hAnsi="Verdana" w:cstheme="minorHAnsi"/>
                <w:szCs w:val="20"/>
                <w:lang w:val="en-US" w:eastAsia="nl-BE"/>
              </w:rPr>
              <w:t xml:space="preserve"> Omgeving</w:t>
            </w:r>
          </w:p>
        </w:tc>
        <w:tc>
          <w:tcPr>
            <w:tcW w:w="0" w:type="auto"/>
            <w:gridSpan w:val="2"/>
            <w:tcBorders>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rPr>
            </w:pPr>
            <w:r w:rsidRPr="00DC3563">
              <w:rPr>
                <w:rFonts w:ascii="Verdana" w:hAnsi="Verdana" w:cstheme="minorHAnsi"/>
                <w:szCs w:val="20"/>
              </w:rPr>
              <w:t>VLM, alle “authentieke bronnen” van informatie over instrumentarium (binnen VO)</w:t>
            </w:r>
          </w:p>
        </w:tc>
      </w:tr>
      <w:tr w:rsidR="003A01D5" w:rsidRPr="00DC3563" w:rsidTr="0013168A">
        <w:trPr>
          <w:trHeight w:val="20"/>
          <w:tblHeader/>
        </w:trPr>
        <w:tc>
          <w:tcPr>
            <w:tcW w:w="0" w:type="auto"/>
            <w:tcBorders>
              <w:left w:val="single" w:sz="12" w:space="0" w:color="auto"/>
              <w:bottom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Status: lopend</w:t>
            </w: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BE"/>
              </w:rPr>
            </w:pPr>
            <w:r w:rsidRPr="00DC3563">
              <w:rPr>
                <w:rFonts w:ascii="Verdana" w:hAnsi="Verdana" w:cstheme="minorHAnsi"/>
                <w:b/>
                <w:szCs w:val="20"/>
                <w:lang w:val="nl-BE"/>
              </w:rPr>
              <w:t>Tussentijdse resultaten</w:t>
            </w:r>
          </w:p>
          <w:p w:rsidR="003A01D5" w:rsidRPr="00DC3563" w:rsidRDefault="003A01D5" w:rsidP="003A01D5">
            <w:pPr>
              <w:numPr>
                <w:ilvl w:val="0"/>
                <w:numId w:val="1"/>
              </w:numPr>
              <w:tabs>
                <w:tab w:val="clear" w:pos="360"/>
                <w:tab w:val="left" w:pos="284"/>
                <w:tab w:val="left" w:pos="567"/>
                <w:tab w:val="num" w:pos="720"/>
                <w:tab w:val="left" w:pos="851"/>
                <w:tab w:val="center" w:pos="4394"/>
                <w:tab w:val="right" w:pos="8789"/>
              </w:tabs>
              <w:rPr>
                <w:rFonts w:ascii="Verdana" w:hAnsi="Verdana" w:cstheme="minorHAnsi"/>
                <w:szCs w:val="20"/>
                <w:lang w:val="nl-BE"/>
              </w:rPr>
            </w:pPr>
            <w:r w:rsidRPr="00DC3563">
              <w:rPr>
                <w:rFonts w:ascii="Verdana" w:hAnsi="Verdana" w:cstheme="minorHAnsi"/>
                <w:szCs w:val="20"/>
              </w:rPr>
              <w:t>Geactualiseerde inventaris grondbeleidsinstrumenten</w:t>
            </w:r>
          </w:p>
          <w:p w:rsidR="003A01D5" w:rsidRPr="00DC3563" w:rsidRDefault="003A01D5" w:rsidP="003A01D5">
            <w:pPr>
              <w:numPr>
                <w:ilvl w:val="0"/>
                <w:numId w:val="1"/>
              </w:numPr>
              <w:tabs>
                <w:tab w:val="clear" w:pos="360"/>
                <w:tab w:val="left" w:pos="284"/>
                <w:tab w:val="left" w:pos="567"/>
                <w:tab w:val="num" w:pos="720"/>
                <w:tab w:val="left" w:pos="851"/>
                <w:tab w:val="center" w:pos="4394"/>
                <w:tab w:val="right" w:pos="8789"/>
              </w:tabs>
              <w:rPr>
                <w:rFonts w:ascii="Verdana" w:hAnsi="Verdana" w:cstheme="minorHAnsi"/>
                <w:szCs w:val="20"/>
                <w:lang w:val="nl-BE"/>
              </w:rPr>
            </w:pPr>
            <w:r w:rsidRPr="00DC3563">
              <w:rPr>
                <w:rFonts w:ascii="Verdana" w:hAnsi="Verdana" w:cstheme="minorHAnsi"/>
                <w:szCs w:val="20"/>
              </w:rPr>
              <w:t>Screening bestaande kennisbanken &amp; behoeftebevraging (sleutelpartnersessie)</w:t>
            </w:r>
          </w:p>
          <w:p w:rsidR="003A01D5" w:rsidRPr="00DC3563" w:rsidRDefault="003A01D5" w:rsidP="003A01D5">
            <w:pPr>
              <w:numPr>
                <w:ilvl w:val="0"/>
                <w:numId w:val="1"/>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rPr>
              <w:t>Concept afgewerkt, met open dataverbinding met Codex Vlaanderen voor meest actuele weergave van relevante regelgeving</w:t>
            </w:r>
          </w:p>
        </w:tc>
        <w:tc>
          <w:tcPr>
            <w:tcW w:w="0" w:type="auto"/>
            <w:tcBorders>
              <w:bottom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Verdere aanpak</w:t>
            </w:r>
          </w:p>
          <w:p w:rsidR="003A01D5" w:rsidRPr="00DC3563" w:rsidRDefault="003A01D5" w:rsidP="003A01D5">
            <w:pPr>
              <w:pStyle w:val="Lijstalinea"/>
              <w:numPr>
                <w:ilvl w:val="0"/>
                <w:numId w:val="10"/>
              </w:numPr>
              <w:tabs>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Ontwikkeling instrumentengids, in eerste fase vanuit scope instrumentendecreet</w:t>
            </w:r>
          </w:p>
          <w:p w:rsidR="003A01D5" w:rsidRPr="00DC3563" w:rsidRDefault="003A01D5" w:rsidP="003A01D5">
            <w:pPr>
              <w:pStyle w:val="Lijstalinea"/>
              <w:numPr>
                <w:ilvl w:val="0"/>
                <w:numId w:val="10"/>
              </w:numPr>
              <w:tabs>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In vervolgfases uitbreiding instrumentengids met andere grondbeleidsinstrumenten</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4"/>
        <w:gridCol w:w="1790"/>
        <w:gridCol w:w="3252"/>
        <w:gridCol w:w="3656"/>
      </w:tblGrid>
      <w:tr w:rsidR="003A01D5" w:rsidRPr="00DC3563" w:rsidTr="0013168A">
        <w:trPr>
          <w:trHeight w:val="20"/>
          <w:tblHeader/>
        </w:trPr>
        <w:tc>
          <w:tcPr>
            <w:tcW w:w="0" w:type="auto"/>
            <w:tcBorders>
              <w:top w:val="single" w:sz="12" w:space="0" w:color="auto"/>
              <w:left w:val="single" w:sz="12" w:space="0" w:color="auto"/>
              <w:bottom w:val="single" w:sz="4" w:space="0" w:color="auto"/>
            </w:tcBorders>
            <w:shd w:val="clear" w:color="auto" w:fill="FFFFFF" w:themeFill="background1"/>
            <w:hideMark/>
          </w:tcPr>
          <w:p w:rsidR="003A01D5" w:rsidRPr="00DC3563" w:rsidRDefault="003A01D5" w:rsidP="0013168A">
            <w:pPr>
              <w:rPr>
                <w:rFonts w:ascii="Verdana" w:hAnsi="Verdana" w:cstheme="minorHAnsi"/>
                <w:szCs w:val="20"/>
              </w:rPr>
            </w:pPr>
            <w:r w:rsidRPr="00DC3563">
              <w:rPr>
                <w:rFonts w:ascii="Verdana" w:hAnsi="Verdana" w:cstheme="minorHAnsi"/>
                <w:szCs w:val="20"/>
              </w:rPr>
              <w:t>2</w:t>
            </w:r>
          </w:p>
        </w:tc>
        <w:tc>
          <w:tcPr>
            <w:tcW w:w="1793" w:type="dxa"/>
            <w:tcBorders>
              <w:top w:val="single" w:sz="12" w:space="0" w:color="auto"/>
              <w:bottom w:val="single" w:sz="4"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Erfpacht en recht van opstal</w:t>
            </w:r>
          </w:p>
        </w:tc>
        <w:tc>
          <w:tcPr>
            <w:tcW w:w="6931" w:type="dxa"/>
            <w:gridSpan w:val="2"/>
            <w:tcBorders>
              <w:top w:val="single" w:sz="12" w:space="0" w:color="auto"/>
              <w:bottom w:val="single" w:sz="4" w:space="0" w:color="auto"/>
              <w:right w:val="single" w:sz="12" w:space="0" w:color="auto"/>
            </w:tcBorders>
            <w:shd w:val="clear" w:color="auto" w:fill="FFFFFF" w:themeFill="background1"/>
            <w:hideMark/>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ontwikkelen een gedeeld kader over het gebruik van </w:t>
            </w:r>
            <w:r w:rsidRPr="00DC3563">
              <w:rPr>
                <w:rFonts w:ascii="Verdana" w:hAnsi="Verdana" w:cstheme="minorHAnsi"/>
                <w:b/>
                <w:szCs w:val="20"/>
              </w:rPr>
              <w:t>erfpacht, recht van opstal en vruchtgebruik</w:t>
            </w:r>
            <w:r w:rsidRPr="00DC3563">
              <w:rPr>
                <w:rFonts w:ascii="Verdana" w:hAnsi="Verdana" w:cstheme="minorHAnsi"/>
                <w:szCs w:val="20"/>
              </w:rPr>
              <w:t xml:space="preserve"> </w:t>
            </w:r>
            <w:proofErr w:type="spellStart"/>
            <w:r w:rsidRPr="00DC3563">
              <w:rPr>
                <w:rFonts w:ascii="Verdana" w:hAnsi="Verdana" w:cstheme="minorHAnsi"/>
                <w:szCs w:val="20"/>
              </w:rPr>
              <w:t>ifv</w:t>
            </w:r>
            <w:proofErr w:type="spellEnd"/>
            <w:r w:rsidRPr="00DC3563">
              <w:rPr>
                <w:rFonts w:ascii="Verdana" w:hAnsi="Verdana" w:cstheme="minorHAnsi"/>
                <w:szCs w:val="20"/>
              </w:rPr>
              <w:t xml:space="preserve"> beheer/ontwikkeling van onroerende goederen</w:t>
            </w:r>
          </w:p>
        </w:tc>
      </w:tr>
      <w:tr w:rsidR="003A01D5" w:rsidRPr="00DC3563" w:rsidTr="0013168A">
        <w:trPr>
          <w:trHeight w:val="20"/>
          <w:tblHeader/>
        </w:trPr>
        <w:tc>
          <w:tcPr>
            <w:tcW w:w="0" w:type="auto"/>
            <w:tcBorders>
              <w:top w:val="single" w:sz="4" w:space="0" w:color="auto"/>
              <w:left w:val="single" w:sz="12" w:space="0" w:color="auto"/>
              <w:bottom w:val="single" w:sz="4"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1793" w:type="dxa"/>
            <w:tcBorders>
              <w:top w:val="single" w:sz="4" w:space="0" w:color="auto"/>
              <w:bottom w:val="single" w:sz="4"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lang w:val="nl" w:eastAsia="nl-BE"/>
              </w:rPr>
              <w:t>Waterwegen &amp; Zeekanaal</w:t>
            </w:r>
          </w:p>
        </w:tc>
        <w:tc>
          <w:tcPr>
            <w:tcW w:w="6931" w:type="dxa"/>
            <w:gridSpan w:val="2"/>
            <w:tcBorders>
              <w:top w:val="single" w:sz="4" w:space="0" w:color="auto"/>
              <w:bottom w:val="single" w:sz="4" w:space="0" w:color="auto"/>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rPr>
              <w:t xml:space="preserve">Ag Wonen, </w:t>
            </w:r>
            <w:r w:rsidRPr="00DC3563">
              <w:rPr>
                <w:rFonts w:ascii="Verdana" w:hAnsi="Verdana" w:cstheme="minorHAnsi"/>
                <w:szCs w:val="20"/>
                <w:lang w:val="nl-BE"/>
              </w:rPr>
              <w:t xml:space="preserve">Ag Onroerend Erfgoed, </w:t>
            </w:r>
            <w:r w:rsidRPr="00DC3563">
              <w:rPr>
                <w:rFonts w:ascii="Verdana" w:hAnsi="Verdana" w:cstheme="minorHAnsi"/>
                <w:szCs w:val="20"/>
              </w:rPr>
              <w:t xml:space="preserve">VMSW, ABB- stedenbeleid, Het Facilitair Bedrijf, </w:t>
            </w:r>
            <w:r w:rsidRPr="00DC3563">
              <w:rPr>
                <w:rFonts w:ascii="Verdana" w:hAnsi="Verdana" w:cstheme="minorHAnsi"/>
                <w:bCs/>
                <w:szCs w:val="20"/>
              </w:rPr>
              <w:t>andere entiteiten die zakelijke rechten gebruiken m.b.t. hun onroerende goederen</w:t>
            </w:r>
          </w:p>
        </w:tc>
      </w:tr>
      <w:tr w:rsidR="003A01D5" w:rsidRPr="00DC3563" w:rsidTr="0013168A">
        <w:trPr>
          <w:trHeight w:val="20"/>
          <w:tblHeader/>
        </w:trPr>
        <w:tc>
          <w:tcPr>
            <w:tcW w:w="0" w:type="auto"/>
            <w:tcBorders>
              <w:top w:val="single" w:sz="4" w:space="0" w:color="auto"/>
              <w:left w:val="single" w:sz="12" w:space="0" w:color="auto"/>
              <w:bottom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1793" w:type="dxa"/>
            <w:tcBorders>
              <w:top w:val="single" w:sz="4" w:space="0" w:color="auto"/>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lopend</w:t>
            </w:r>
          </w:p>
        </w:tc>
        <w:tc>
          <w:tcPr>
            <w:tcW w:w="3261" w:type="dxa"/>
            <w:tcBorders>
              <w:top w:val="single" w:sz="4" w:space="0" w:color="auto"/>
              <w:bottom w:val="single" w:sz="12" w:space="0" w:color="auto"/>
            </w:tcBorders>
            <w:shd w:val="clear" w:color="auto" w:fill="FFFFFF" w:themeFill="background1"/>
          </w:tcPr>
          <w:p w:rsidR="003A01D5" w:rsidRPr="00DC3563" w:rsidRDefault="003A01D5" w:rsidP="0013168A">
            <w:pPr>
              <w:rPr>
                <w:rFonts w:ascii="Verdana" w:hAnsi="Verdana" w:cstheme="minorHAnsi"/>
                <w:b/>
                <w:iCs/>
                <w:szCs w:val="20"/>
              </w:rPr>
            </w:pPr>
            <w:r w:rsidRPr="00DC3563">
              <w:rPr>
                <w:rFonts w:ascii="Verdana" w:hAnsi="Verdana" w:cstheme="minorHAnsi"/>
                <w:b/>
                <w:iCs/>
                <w:szCs w:val="20"/>
              </w:rPr>
              <w:t>Tussentijdse resultaten</w:t>
            </w:r>
          </w:p>
          <w:p w:rsidR="003A01D5" w:rsidRPr="00DC3563" w:rsidRDefault="003A01D5" w:rsidP="003A01D5">
            <w:pPr>
              <w:pStyle w:val="Lijstalinea"/>
              <w:numPr>
                <w:ilvl w:val="0"/>
                <w:numId w:val="6"/>
              </w:numPr>
              <w:tabs>
                <w:tab w:val="left" w:pos="284"/>
                <w:tab w:val="left" w:pos="567"/>
                <w:tab w:val="left" w:pos="851"/>
                <w:tab w:val="center" w:pos="4394"/>
                <w:tab w:val="right" w:pos="8789"/>
              </w:tabs>
              <w:rPr>
                <w:rFonts w:ascii="Verdana" w:hAnsi="Verdana" w:cstheme="minorHAnsi"/>
                <w:b/>
                <w:iCs/>
                <w:szCs w:val="20"/>
              </w:rPr>
            </w:pPr>
            <w:r w:rsidRPr="00DC3563">
              <w:rPr>
                <w:rFonts w:ascii="Verdana" w:hAnsi="Verdana" w:cstheme="minorHAnsi"/>
                <w:iCs/>
                <w:szCs w:val="20"/>
              </w:rPr>
              <w:t>Inventarisatie en juridische analyse gebruik erfpacht, recht van opstal en vruchtgebruik binnen VO</w:t>
            </w:r>
          </w:p>
          <w:p w:rsidR="003A01D5" w:rsidRPr="00DC3563" w:rsidRDefault="003A01D5" w:rsidP="003A01D5">
            <w:pPr>
              <w:pStyle w:val="Lijstalinea"/>
              <w:numPr>
                <w:ilvl w:val="0"/>
                <w:numId w:val="6"/>
              </w:numPr>
              <w:tabs>
                <w:tab w:val="left" w:pos="284"/>
                <w:tab w:val="left" w:pos="567"/>
                <w:tab w:val="left" w:pos="851"/>
                <w:tab w:val="center" w:pos="4394"/>
                <w:tab w:val="right" w:pos="8789"/>
              </w:tabs>
              <w:rPr>
                <w:rFonts w:ascii="Verdana" w:hAnsi="Verdana" w:cstheme="minorHAnsi"/>
                <w:i/>
                <w:szCs w:val="20"/>
              </w:rPr>
            </w:pPr>
            <w:r w:rsidRPr="00DC3563">
              <w:rPr>
                <w:rFonts w:ascii="Verdana" w:hAnsi="Verdana" w:cstheme="minorHAnsi"/>
                <w:iCs/>
                <w:szCs w:val="20"/>
              </w:rPr>
              <w:t xml:space="preserve">Onderzoek gebruik van de zakelijke rechten bij de Vlaamse entiteiten en lokale overheden. </w:t>
            </w:r>
          </w:p>
          <w:p w:rsidR="003A01D5" w:rsidRPr="00DC3563" w:rsidRDefault="003A01D5" w:rsidP="003A01D5">
            <w:pPr>
              <w:pStyle w:val="Lijstalinea"/>
              <w:numPr>
                <w:ilvl w:val="0"/>
                <w:numId w:val="6"/>
              </w:numPr>
              <w:tabs>
                <w:tab w:val="left" w:pos="284"/>
                <w:tab w:val="left" w:pos="567"/>
                <w:tab w:val="left" w:pos="851"/>
                <w:tab w:val="center" w:pos="4394"/>
                <w:tab w:val="right" w:pos="8789"/>
              </w:tabs>
              <w:rPr>
                <w:rFonts w:ascii="Verdana" w:hAnsi="Verdana" w:cstheme="minorHAnsi"/>
                <w:i/>
                <w:szCs w:val="20"/>
              </w:rPr>
            </w:pPr>
            <w:r w:rsidRPr="00DC3563">
              <w:rPr>
                <w:rFonts w:ascii="Verdana" w:hAnsi="Verdana" w:cstheme="minorHAnsi"/>
                <w:iCs/>
                <w:szCs w:val="20"/>
              </w:rPr>
              <w:t>Kennisuitwisseling met actoren VO over gebruik van erfpacht en recht van opstal</w:t>
            </w:r>
          </w:p>
        </w:tc>
        <w:tc>
          <w:tcPr>
            <w:tcW w:w="3670" w:type="dxa"/>
            <w:tcBorders>
              <w:top w:val="single" w:sz="4" w:space="0" w:color="auto"/>
              <w:bottom w:val="single" w:sz="12" w:space="0" w:color="auto"/>
              <w:right w:val="single" w:sz="12" w:space="0" w:color="auto"/>
            </w:tcBorders>
            <w:shd w:val="clear" w:color="auto" w:fill="FFFFFF" w:themeFill="background1"/>
          </w:tcPr>
          <w:p w:rsidR="003A01D5" w:rsidRPr="00DC3563" w:rsidRDefault="003A01D5" w:rsidP="0013168A">
            <w:pPr>
              <w:tabs>
                <w:tab w:val="left" w:pos="708"/>
              </w:tabs>
              <w:rPr>
                <w:rFonts w:ascii="Verdana" w:hAnsi="Verdana" w:cstheme="minorHAnsi"/>
                <w:b/>
                <w:iCs/>
                <w:szCs w:val="20"/>
              </w:rPr>
            </w:pPr>
            <w:r w:rsidRPr="00DC3563">
              <w:rPr>
                <w:rFonts w:ascii="Verdana" w:hAnsi="Verdana" w:cstheme="minorHAnsi"/>
                <w:b/>
                <w:iCs/>
                <w:szCs w:val="20"/>
              </w:rPr>
              <w:t>Verdere aanpak</w:t>
            </w:r>
          </w:p>
          <w:p w:rsidR="003A01D5" w:rsidRPr="00DC3563" w:rsidRDefault="003A01D5" w:rsidP="003A01D5">
            <w:pPr>
              <w:pStyle w:val="Lijstalinea"/>
              <w:numPr>
                <w:ilvl w:val="0"/>
                <w:numId w:val="5"/>
              </w:numPr>
              <w:tabs>
                <w:tab w:val="left" w:pos="708"/>
                <w:tab w:val="left" w:pos="851"/>
                <w:tab w:val="center" w:pos="4394"/>
                <w:tab w:val="right" w:pos="8789"/>
              </w:tabs>
              <w:rPr>
                <w:rFonts w:ascii="Verdana" w:hAnsi="Verdana" w:cstheme="minorHAnsi"/>
                <w:iCs/>
                <w:szCs w:val="20"/>
              </w:rPr>
            </w:pPr>
            <w:r w:rsidRPr="00DC3563">
              <w:rPr>
                <w:rFonts w:ascii="Verdana" w:hAnsi="Verdana" w:cstheme="minorHAnsi"/>
                <w:iCs/>
                <w:szCs w:val="20"/>
              </w:rPr>
              <w:t>Finaliseren kaderdocument erfpacht – recht van opstal – vruchtgebruik bij VO</w:t>
            </w:r>
          </w:p>
          <w:p w:rsidR="003A01D5" w:rsidRPr="00DC3563" w:rsidRDefault="003A01D5" w:rsidP="003A01D5">
            <w:pPr>
              <w:pStyle w:val="Lijstalinea"/>
              <w:numPr>
                <w:ilvl w:val="0"/>
                <w:numId w:val="5"/>
              </w:numPr>
              <w:tabs>
                <w:tab w:val="left" w:pos="708"/>
                <w:tab w:val="left" w:pos="851"/>
                <w:tab w:val="center" w:pos="4394"/>
                <w:tab w:val="right" w:pos="8789"/>
              </w:tabs>
              <w:rPr>
                <w:rFonts w:ascii="Verdana" w:hAnsi="Verdana" w:cstheme="minorHAnsi"/>
                <w:iCs/>
                <w:szCs w:val="20"/>
              </w:rPr>
            </w:pPr>
            <w:r w:rsidRPr="00DC3563">
              <w:rPr>
                <w:rFonts w:ascii="Verdana" w:hAnsi="Verdana" w:cstheme="minorHAnsi"/>
                <w:iCs/>
                <w:szCs w:val="20"/>
              </w:rPr>
              <w:t xml:space="preserve">Uitbouwen handleiding voor gebruik van zakelijke rechten aan de hand van de </w:t>
            </w:r>
            <w:proofErr w:type="spellStart"/>
            <w:r w:rsidRPr="00DC3563">
              <w:rPr>
                <w:rFonts w:ascii="Verdana" w:hAnsi="Verdana" w:cstheme="minorHAnsi"/>
                <w:iCs/>
                <w:szCs w:val="20"/>
              </w:rPr>
              <w:t>use</w:t>
            </w:r>
            <w:proofErr w:type="spellEnd"/>
            <w:r w:rsidRPr="00DC3563">
              <w:rPr>
                <w:rFonts w:ascii="Verdana" w:hAnsi="Verdana" w:cstheme="minorHAnsi"/>
                <w:iCs/>
                <w:szCs w:val="20"/>
              </w:rPr>
              <w:t>-cases</w:t>
            </w:r>
          </w:p>
          <w:p w:rsidR="003A01D5" w:rsidRPr="00DC3563" w:rsidRDefault="003A01D5" w:rsidP="003A01D5">
            <w:pPr>
              <w:pStyle w:val="Lijstalinea"/>
              <w:numPr>
                <w:ilvl w:val="0"/>
                <w:numId w:val="5"/>
              </w:numPr>
              <w:tabs>
                <w:tab w:val="left" w:pos="708"/>
                <w:tab w:val="left" w:pos="851"/>
                <w:tab w:val="center" w:pos="4394"/>
                <w:tab w:val="right" w:pos="8789"/>
              </w:tabs>
              <w:rPr>
                <w:rFonts w:ascii="Verdana" w:hAnsi="Verdana" w:cstheme="minorHAnsi"/>
                <w:iCs/>
                <w:szCs w:val="20"/>
              </w:rPr>
            </w:pPr>
            <w:r w:rsidRPr="00DC3563">
              <w:rPr>
                <w:rFonts w:ascii="Verdana" w:hAnsi="Verdana" w:cstheme="minorHAnsi"/>
                <w:iCs/>
                <w:szCs w:val="20"/>
              </w:rPr>
              <w:t>Opvolgen van het wetsontwerp tot hervorming van het goederenrecht dat werd ingediend in de Kamer in functie van de wijzigingen aan deze instrumenten</w:t>
            </w:r>
          </w:p>
          <w:p w:rsidR="003A01D5" w:rsidRPr="00DC3563" w:rsidRDefault="003A01D5" w:rsidP="0013168A">
            <w:pPr>
              <w:rPr>
                <w:rFonts w:ascii="Verdana" w:hAnsi="Verdana" w:cstheme="minorHAnsi"/>
                <w:i/>
                <w:szCs w:val="20"/>
                <w:highlight w:val="yellow"/>
              </w:rPr>
            </w:pPr>
          </w:p>
          <w:p w:rsidR="003A01D5" w:rsidRPr="00DC3563" w:rsidRDefault="003A01D5" w:rsidP="0013168A">
            <w:pPr>
              <w:rPr>
                <w:rFonts w:ascii="Verdana" w:hAnsi="Verdana" w:cstheme="minorHAnsi"/>
                <w:i/>
                <w:szCs w:val="20"/>
              </w:rPr>
            </w:pPr>
          </w:p>
        </w:tc>
      </w:tr>
    </w:tbl>
    <w:p w:rsidR="003A01D5" w:rsidRPr="00DC3563" w:rsidRDefault="003A01D5" w:rsidP="003A01D5">
      <w:pPr>
        <w:rPr>
          <w:rFonts w:ascii="Verdana" w:hAnsi="Verdana"/>
          <w:sz w:val="20"/>
          <w:szCs w:val="20"/>
        </w:rPr>
      </w:pPr>
    </w:p>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344"/>
        <w:gridCol w:w="1793"/>
        <w:gridCol w:w="6897"/>
      </w:tblGrid>
      <w:tr w:rsidR="003A01D5" w:rsidRPr="00DC3563" w:rsidTr="0013168A">
        <w:trPr>
          <w:trHeight w:val="20"/>
          <w:tblHeader/>
        </w:trPr>
        <w:tc>
          <w:tcPr>
            <w:tcW w:w="0" w:type="auto"/>
            <w:tcBorders>
              <w:top w:val="single" w:sz="12" w:space="0" w:color="auto"/>
              <w:left w:val="single" w:sz="12" w:space="0" w:color="auto"/>
            </w:tcBorders>
            <w:shd w:val="clear" w:color="auto" w:fill="auto"/>
            <w:hideMark/>
          </w:tcPr>
          <w:p w:rsidR="003A01D5" w:rsidRPr="00DC3563" w:rsidRDefault="003A01D5" w:rsidP="0013168A">
            <w:pPr>
              <w:rPr>
                <w:rFonts w:ascii="Verdana" w:hAnsi="Verdana" w:cstheme="minorHAnsi"/>
                <w:szCs w:val="20"/>
              </w:rPr>
            </w:pPr>
            <w:r w:rsidRPr="00DC3563">
              <w:rPr>
                <w:rFonts w:ascii="Verdana" w:hAnsi="Verdana" w:cstheme="minorHAnsi"/>
                <w:szCs w:val="20"/>
              </w:rPr>
              <w:lastRenderedPageBreak/>
              <w:t>3</w:t>
            </w:r>
          </w:p>
        </w:tc>
        <w:tc>
          <w:tcPr>
            <w:tcW w:w="1794"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Lokale verevening</w:t>
            </w:r>
          </w:p>
        </w:tc>
        <w:tc>
          <w:tcPr>
            <w:tcW w:w="6922" w:type="dxa"/>
            <w:tcBorders>
              <w:top w:val="single" w:sz="12" w:space="0" w:color="auto"/>
              <w:right w:val="single" w:sz="12" w:space="0" w:color="auto"/>
            </w:tcBorders>
            <w:shd w:val="clear" w:color="auto" w:fill="auto"/>
            <w:hideMark/>
          </w:tcPr>
          <w:p w:rsidR="003A01D5" w:rsidRPr="00DC3563" w:rsidRDefault="003A01D5" w:rsidP="0013168A">
            <w:pPr>
              <w:rPr>
                <w:rFonts w:ascii="Verdana" w:hAnsi="Verdana" w:cstheme="minorHAnsi"/>
                <w:i/>
                <w:szCs w:val="20"/>
              </w:rPr>
            </w:pPr>
            <w:r w:rsidRPr="00DC3563">
              <w:rPr>
                <w:rFonts w:ascii="Verdana" w:hAnsi="Verdana" w:cstheme="minorHAnsi"/>
                <w:szCs w:val="20"/>
              </w:rPr>
              <w:t xml:space="preserve">We ontwikkelen een kader en onderzoeken hanteerbare modellen om </w:t>
            </w:r>
            <w:r w:rsidRPr="00DC3563">
              <w:rPr>
                <w:rFonts w:ascii="Verdana" w:hAnsi="Verdana" w:cstheme="minorHAnsi"/>
                <w:b/>
                <w:szCs w:val="20"/>
              </w:rPr>
              <w:t>financiële vereveningen tussen lokale overheden</w:t>
            </w:r>
            <w:r w:rsidRPr="00DC3563">
              <w:rPr>
                <w:rFonts w:ascii="Verdana" w:hAnsi="Verdana" w:cstheme="minorHAnsi"/>
                <w:szCs w:val="20"/>
              </w:rPr>
              <w:t xml:space="preserve"> te bereiken in het kader van ruimtelijke ontwikkelingen. </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794"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rPr>
              <w:t>Departement Omgeving</w:t>
            </w: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afgewerkt</w:t>
            </w:r>
          </w:p>
        </w:tc>
        <w:tc>
          <w:tcPr>
            <w:tcW w:w="6922"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lang w:val="nl"/>
              </w:rPr>
              <w:t>Het o</w:t>
            </w:r>
            <w:proofErr w:type="spellStart"/>
            <w:r w:rsidRPr="00DC3563">
              <w:rPr>
                <w:rFonts w:ascii="Verdana" w:hAnsi="Verdana" w:cstheme="minorHAnsi"/>
                <w:szCs w:val="20"/>
              </w:rPr>
              <w:t>nderzoek</w:t>
            </w:r>
            <w:proofErr w:type="spellEnd"/>
            <w:r w:rsidRPr="00DC3563">
              <w:rPr>
                <w:rFonts w:ascii="Verdana" w:hAnsi="Verdana" w:cstheme="minorHAnsi"/>
                <w:szCs w:val="20"/>
              </w:rPr>
              <w:t xml:space="preserve"> ‘</w:t>
            </w:r>
            <w:hyperlink r:id="rId5" w:history="1">
              <w:r w:rsidRPr="00DC3563">
                <w:rPr>
                  <w:rStyle w:val="Hyperlink"/>
                  <w:rFonts w:ascii="Verdana" w:hAnsi="Verdana" w:cstheme="minorHAnsi"/>
                  <w:szCs w:val="20"/>
                </w:rPr>
                <w:t>Concepten en instrumentarium voor financiële verevening tussen lokale overheden</w:t>
              </w:r>
            </w:hyperlink>
            <w:r w:rsidRPr="00DC3563">
              <w:rPr>
                <w:rFonts w:ascii="Verdana" w:hAnsi="Verdana" w:cstheme="minorHAnsi"/>
                <w:szCs w:val="20"/>
              </w:rPr>
              <w:t xml:space="preserve">’ is opgeleverd (miv financieel rekenmodel &amp; model overeenkomst voor lokale overheden). </w:t>
            </w:r>
          </w:p>
          <w:p w:rsidR="003A01D5" w:rsidRPr="00DC3563" w:rsidRDefault="003A01D5" w:rsidP="0013168A">
            <w:pPr>
              <w:rPr>
                <w:rFonts w:ascii="Verdana" w:hAnsi="Verdana" w:cstheme="minorHAnsi"/>
                <w:szCs w:val="20"/>
              </w:rPr>
            </w:pPr>
            <w:r w:rsidRPr="00DC3563">
              <w:rPr>
                <w:rFonts w:ascii="Verdana" w:hAnsi="Verdana" w:cstheme="minorHAnsi"/>
                <w:szCs w:val="20"/>
              </w:rPr>
              <w:t xml:space="preserve">Hoewel het onderzoek is afgerond, werken we aan de verdere afstemming met lopende pilootprojecten en onderzoeksinitiatieven.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64"/>
        <w:gridCol w:w="1764"/>
        <w:gridCol w:w="6806"/>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4a</w:t>
            </w:r>
          </w:p>
        </w:tc>
        <w:tc>
          <w:tcPr>
            <w:tcW w:w="1690"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Kader planologische ruil</w:t>
            </w:r>
          </w:p>
        </w:tc>
        <w:tc>
          <w:tcPr>
            <w:tcW w:w="6930"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rPr>
              <w:t xml:space="preserve">Aan de hand van pilootprojecten en kennisdeling ontwikkelen we een kader voor het gebruik van </w:t>
            </w:r>
            <w:r w:rsidRPr="00DC3563">
              <w:rPr>
                <w:rFonts w:ascii="Verdana" w:hAnsi="Verdana" w:cstheme="minorHAnsi"/>
                <w:b/>
                <w:szCs w:val="20"/>
              </w:rPr>
              <w:t>planologische ruil</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690"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VLM</w:t>
            </w: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afgewerkt</w:t>
            </w:r>
          </w:p>
        </w:tc>
        <w:tc>
          <w:tcPr>
            <w:tcW w:w="6930"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De juridische optimalisatie van het instrument ‘herverkaveling uit kracht van wet met planologische ruil’ is verwerkt binnen het instrumentendecreet. Aan de hand van verschillende projecten worden ervaringen met dit nieuwe instrument opgebouwd. Het gaat om volgende projecten:</w:t>
            </w:r>
          </w:p>
          <w:p w:rsidR="003A01D5" w:rsidRPr="00DC3563" w:rsidRDefault="003A01D5" w:rsidP="003A01D5">
            <w:pPr>
              <w:pStyle w:val="Lijstalinea"/>
              <w:numPr>
                <w:ilvl w:val="0"/>
                <w:numId w:val="15"/>
              </w:numPr>
              <w:tabs>
                <w:tab w:val="left" w:pos="284"/>
                <w:tab w:val="left" w:pos="567"/>
                <w:tab w:val="left" w:pos="851"/>
                <w:tab w:val="center" w:pos="4394"/>
                <w:tab w:val="right" w:pos="8789"/>
              </w:tabs>
              <w:spacing w:line="276" w:lineRule="auto"/>
              <w:rPr>
                <w:rFonts w:ascii="Verdana" w:hAnsi="Verdana" w:cstheme="minorHAnsi"/>
                <w:szCs w:val="20"/>
              </w:rPr>
            </w:pPr>
            <w:r w:rsidRPr="00DC3563">
              <w:rPr>
                <w:rFonts w:ascii="Verdana" w:hAnsi="Verdana" w:cstheme="minorHAnsi"/>
                <w:szCs w:val="20"/>
              </w:rPr>
              <w:t>LIP Molenbeekvallei Beersel</w:t>
            </w:r>
          </w:p>
          <w:p w:rsidR="003A01D5" w:rsidRPr="00DC3563" w:rsidRDefault="003A01D5" w:rsidP="003A01D5">
            <w:pPr>
              <w:pStyle w:val="Lijstalinea"/>
              <w:numPr>
                <w:ilvl w:val="0"/>
                <w:numId w:val="15"/>
              </w:numPr>
              <w:tabs>
                <w:tab w:val="left" w:pos="284"/>
                <w:tab w:val="left" w:pos="567"/>
                <w:tab w:val="left" w:pos="851"/>
                <w:tab w:val="center" w:pos="4394"/>
                <w:tab w:val="right" w:pos="8789"/>
              </w:tabs>
              <w:spacing w:line="276" w:lineRule="auto"/>
              <w:rPr>
                <w:rFonts w:ascii="Verdana" w:hAnsi="Verdana" w:cstheme="minorHAnsi"/>
                <w:szCs w:val="20"/>
              </w:rPr>
            </w:pPr>
            <w:r w:rsidRPr="00DC3563">
              <w:rPr>
                <w:rFonts w:ascii="Verdana" w:hAnsi="Verdana" w:cstheme="minorHAnsi"/>
                <w:szCs w:val="20"/>
              </w:rPr>
              <w:t xml:space="preserve">LIP </w:t>
            </w:r>
            <w:proofErr w:type="spellStart"/>
            <w:r w:rsidRPr="00DC3563">
              <w:rPr>
                <w:rFonts w:ascii="Verdana" w:hAnsi="Verdana" w:cstheme="minorHAnsi"/>
                <w:szCs w:val="20"/>
              </w:rPr>
              <w:t>Ijsvallei</w:t>
            </w:r>
            <w:proofErr w:type="spellEnd"/>
            <w:r w:rsidRPr="00DC3563">
              <w:rPr>
                <w:rFonts w:ascii="Verdana" w:hAnsi="Verdana" w:cstheme="minorHAnsi"/>
                <w:szCs w:val="20"/>
              </w:rPr>
              <w:t xml:space="preserve"> </w:t>
            </w:r>
            <w:proofErr w:type="spellStart"/>
            <w:r w:rsidRPr="00DC3563">
              <w:rPr>
                <w:rFonts w:ascii="Verdana" w:hAnsi="Verdana" w:cstheme="minorHAnsi"/>
                <w:szCs w:val="20"/>
              </w:rPr>
              <w:t>Hoelaart</w:t>
            </w:r>
            <w:proofErr w:type="spellEnd"/>
            <w:r w:rsidRPr="00DC3563">
              <w:rPr>
                <w:rFonts w:ascii="Verdana" w:hAnsi="Verdana" w:cstheme="minorHAnsi"/>
                <w:szCs w:val="20"/>
              </w:rPr>
              <w:t>/Overijse</w:t>
            </w:r>
          </w:p>
          <w:p w:rsidR="003A01D5" w:rsidRPr="00DC3563" w:rsidRDefault="003A01D5" w:rsidP="003A01D5">
            <w:pPr>
              <w:pStyle w:val="Lijstalinea"/>
              <w:numPr>
                <w:ilvl w:val="0"/>
                <w:numId w:val="15"/>
              </w:numPr>
              <w:tabs>
                <w:tab w:val="left" w:pos="284"/>
                <w:tab w:val="left" w:pos="567"/>
                <w:tab w:val="left" w:pos="851"/>
                <w:tab w:val="center" w:pos="4394"/>
                <w:tab w:val="right" w:pos="8789"/>
              </w:tabs>
              <w:spacing w:line="276" w:lineRule="auto"/>
              <w:rPr>
                <w:rFonts w:ascii="Verdana" w:hAnsi="Verdana" w:cstheme="minorHAnsi"/>
                <w:szCs w:val="20"/>
              </w:rPr>
            </w:pPr>
            <w:r w:rsidRPr="00DC3563">
              <w:rPr>
                <w:rFonts w:ascii="Verdana" w:hAnsi="Verdana" w:cstheme="minorHAnsi"/>
                <w:szCs w:val="20"/>
              </w:rPr>
              <w:t>Inrichtingsnota Wildenburg Wingene</w:t>
            </w:r>
          </w:p>
          <w:p w:rsidR="003A01D5" w:rsidRPr="00DC3563" w:rsidRDefault="003A01D5" w:rsidP="003A01D5">
            <w:pPr>
              <w:pStyle w:val="Lijstalinea"/>
              <w:numPr>
                <w:ilvl w:val="0"/>
                <w:numId w:val="15"/>
              </w:numPr>
              <w:tabs>
                <w:tab w:val="left" w:pos="284"/>
                <w:tab w:val="left" w:pos="567"/>
                <w:tab w:val="left" w:pos="851"/>
                <w:tab w:val="center" w:pos="4394"/>
                <w:tab w:val="right" w:pos="8789"/>
              </w:tabs>
              <w:spacing w:line="276" w:lineRule="auto"/>
              <w:rPr>
                <w:rFonts w:ascii="Verdana" w:hAnsi="Verdana" w:cstheme="minorHAnsi"/>
                <w:szCs w:val="20"/>
              </w:rPr>
            </w:pPr>
            <w:r w:rsidRPr="00DC3563">
              <w:rPr>
                <w:rFonts w:ascii="Verdana" w:hAnsi="Verdana" w:cstheme="minorHAnsi"/>
                <w:szCs w:val="20"/>
              </w:rPr>
              <w:t>Inrichtingsnota Nieuwmunster Zuienkerke</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68"/>
        <w:gridCol w:w="1687"/>
        <w:gridCol w:w="6879"/>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4b</w:t>
            </w:r>
          </w:p>
        </w:tc>
        <w:tc>
          <w:tcPr>
            <w:tcW w:w="1689"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Kader VOR</w:t>
            </w:r>
          </w:p>
        </w:tc>
        <w:tc>
          <w:tcPr>
            <w:tcW w:w="6922"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rPr>
              <w:t xml:space="preserve">Aan de hand van pilootprojecten en kennisdeling ontwikkelen we een kader voor het gebruik van </w:t>
            </w:r>
            <w:r w:rsidRPr="00DC3563">
              <w:rPr>
                <w:rFonts w:ascii="Verdana" w:hAnsi="Verdana" w:cstheme="minorHAnsi"/>
                <w:b/>
                <w:szCs w:val="20"/>
              </w:rPr>
              <w:t>verhandelbare ontwikkelingsrechten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689"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i/>
                <w:szCs w:val="20"/>
                <w:lang w:val="nl-BE" w:eastAsia="nl-BE"/>
              </w:rPr>
            </w:pPr>
            <w:r w:rsidRPr="00DC3563">
              <w:rPr>
                <w:rFonts w:ascii="Verdana" w:hAnsi="Verdana" w:cstheme="minorHAnsi"/>
                <w:b/>
                <w:szCs w:val="20"/>
                <w:lang w:val="nl-BE" w:eastAsia="nl-BE"/>
              </w:rPr>
              <w:t xml:space="preserve">Trekker </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Departement Omgeving</w:t>
            </w: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r w:rsidRPr="00DC3563">
              <w:rPr>
                <w:rFonts w:ascii="Verdana" w:hAnsi="Verdana" w:cstheme="minorHAnsi"/>
                <w:b/>
                <w:szCs w:val="20"/>
              </w:rPr>
              <w:t>Status: afgewerkt</w:t>
            </w:r>
          </w:p>
        </w:tc>
        <w:tc>
          <w:tcPr>
            <w:tcW w:w="6922" w:type="dxa"/>
            <w:tcBorders>
              <w:bottom w:val="single" w:sz="12" w:space="0" w:color="auto"/>
              <w:right w:val="single" w:sz="12" w:space="0" w:color="auto"/>
            </w:tcBorders>
            <w:shd w:val="clear" w:color="auto" w:fill="auto"/>
          </w:tcPr>
          <w:p w:rsidR="003A01D5" w:rsidRPr="00DC3563" w:rsidRDefault="003A01D5" w:rsidP="0013168A">
            <w:pPr>
              <w:spacing w:line="276" w:lineRule="auto"/>
              <w:rPr>
                <w:rFonts w:ascii="Verdana" w:hAnsi="Verdana" w:cstheme="minorHAnsi"/>
                <w:szCs w:val="20"/>
                <w:lang w:eastAsia="nl-BE"/>
              </w:rPr>
            </w:pPr>
            <w:r w:rsidRPr="00DC3563">
              <w:rPr>
                <w:rFonts w:ascii="Verdana" w:hAnsi="Verdana" w:cstheme="minorHAnsi"/>
                <w:szCs w:val="20"/>
              </w:rPr>
              <w:t xml:space="preserve">De juridische basis voor het instrument ‘regionaal project met overdracht van ontwikkelingsrechten’ is voorzien binnen het instrumentendecreet. Aan de hand van pilootprojecten zal ervaring met dit nieuwe instrument moeten ontwikkeld worden. </w:t>
            </w:r>
            <w:r w:rsidRPr="00DC3563">
              <w:rPr>
                <w:rFonts w:ascii="Verdana" w:hAnsi="Verdana" w:cstheme="minorHAnsi"/>
                <w:szCs w:val="20"/>
                <w:lang w:eastAsia="nl-BE"/>
              </w:rPr>
              <w:t xml:space="preserve">De Vlaamse overheid neemt een ondersteunende rol op en onderhandelt in de beginfase met de initiatiefnemers, tot aan de goedkeuring van een convenant. </w:t>
            </w:r>
          </w:p>
          <w:p w:rsidR="003A01D5" w:rsidRPr="00DC3563" w:rsidRDefault="003A01D5" w:rsidP="0013168A">
            <w:pPr>
              <w:spacing w:line="276" w:lineRule="auto"/>
              <w:rPr>
                <w:rFonts w:ascii="Verdana" w:hAnsi="Verdana" w:cstheme="minorHAnsi"/>
                <w:szCs w:val="20"/>
                <w:lang w:eastAsia="nl-BE"/>
              </w:rPr>
            </w:pPr>
            <w:r w:rsidRPr="00DC3563">
              <w:rPr>
                <w:rFonts w:ascii="Verdana" w:hAnsi="Verdana" w:cstheme="minorHAnsi"/>
                <w:szCs w:val="20"/>
                <w:lang w:eastAsia="nl-BE"/>
              </w:rPr>
              <w:t xml:space="preserve">Additioneel aan de ondersteunende rol per project, organiseert de Vlaamse overheid kennisdeling tussen initiatiefnemers van regionale VOR-projecten en – waar zinvol – afstemming over overkoepelende vraagstukken.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344"/>
        <w:gridCol w:w="2216"/>
        <w:gridCol w:w="6474"/>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5</w:t>
            </w:r>
          </w:p>
        </w:tc>
        <w:tc>
          <w:tcPr>
            <w:tcW w:w="2219"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Optimalisatie planbaten</w:t>
            </w:r>
          </w:p>
        </w:tc>
        <w:tc>
          <w:tcPr>
            <w:tcW w:w="6497"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rPr>
              <w:t xml:space="preserve">Vanuit een fundamentele evaluatie </w:t>
            </w:r>
            <w:r w:rsidRPr="00DC3563">
              <w:rPr>
                <w:rFonts w:ascii="Verdana" w:hAnsi="Verdana" w:cstheme="minorHAnsi"/>
                <w:color w:val="000000" w:themeColor="text1"/>
                <w:szCs w:val="20"/>
              </w:rPr>
              <w:t>en in samenhang met de ontwikkeling van een systeem voor verhandelbare ontwikkelingsrechten</w:t>
            </w:r>
            <w:r w:rsidRPr="00DC3563">
              <w:rPr>
                <w:rFonts w:ascii="Verdana" w:hAnsi="Verdana" w:cstheme="minorHAnsi"/>
                <w:szCs w:val="20"/>
              </w:rPr>
              <w:t xml:space="preserve"> verbeteren we het systeem van de </w:t>
            </w:r>
            <w:r w:rsidRPr="00DC3563">
              <w:rPr>
                <w:rFonts w:ascii="Verdana" w:hAnsi="Verdana" w:cstheme="minorHAnsi"/>
                <w:b/>
                <w:szCs w:val="20"/>
              </w:rPr>
              <w:t>planbaten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219"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BE" w:eastAsia="nl-BE"/>
              </w:rPr>
            </w:pPr>
            <w:r w:rsidRPr="00DC3563">
              <w:rPr>
                <w:rFonts w:ascii="Verdana" w:hAnsi="Verdana" w:cstheme="minorHAnsi"/>
                <w:b/>
                <w:szCs w:val="20"/>
                <w:lang w:val="nl-BE"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rPr>
              <w:t>Departement Omgeving</w:t>
            </w:r>
          </w:p>
          <w:p w:rsidR="003A01D5" w:rsidRPr="00DC3563" w:rsidRDefault="003A01D5" w:rsidP="0013168A">
            <w:pPr>
              <w:rPr>
                <w:rFonts w:ascii="Verdana" w:hAnsi="Verdana" w:cstheme="minorHAnsi"/>
                <w:szCs w:val="20"/>
              </w:rPr>
            </w:pPr>
          </w:p>
          <w:p w:rsidR="003A01D5" w:rsidRPr="00DC3563" w:rsidRDefault="003A01D5" w:rsidP="0013168A">
            <w:pPr>
              <w:rPr>
                <w:rFonts w:ascii="Verdana" w:hAnsi="Verdana" w:cstheme="minorHAnsi"/>
                <w:szCs w:val="20"/>
                <w:lang w:val="nl-BE" w:eastAsia="nl-BE"/>
              </w:rPr>
            </w:pPr>
            <w:r w:rsidRPr="00DC3563">
              <w:rPr>
                <w:rFonts w:ascii="Verdana" w:hAnsi="Verdana" w:cstheme="minorHAnsi"/>
                <w:b/>
                <w:szCs w:val="20"/>
              </w:rPr>
              <w:t>Status: afgewerkt</w:t>
            </w:r>
          </w:p>
        </w:tc>
        <w:tc>
          <w:tcPr>
            <w:tcW w:w="6497"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rPr>
              <w:t>De juridische basis voor deze optimalisatie is verwerkt binnen het instrumentendecreet. Aan de hand van pilootprojecten zal ervaring met dit nieuwe instrument moeten ontwikkeld worden.</w:t>
            </w:r>
          </w:p>
        </w:tc>
      </w:tr>
    </w:tbl>
    <w:p w:rsidR="003A01D5" w:rsidRPr="00DC3563" w:rsidRDefault="003A01D5" w:rsidP="003A01D5">
      <w:pPr>
        <w:rPr>
          <w:rFonts w:ascii="Verdana" w:hAnsi="Verdana"/>
          <w:sz w:val="20"/>
          <w:szCs w:val="20"/>
        </w:rPr>
      </w:pPr>
    </w:p>
    <w:tbl>
      <w:tblPr>
        <w:tblStyle w:val="Tabel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44"/>
        <w:gridCol w:w="2211"/>
        <w:gridCol w:w="6487"/>
      </w:tblGrid>
      <w:tr w:rsidR="003A01D5" w:rsidRPr="00DC3563" w:rsidTr="0013168A">
        <w:trPr>
          <w:trHeight w:val="20"/>
          <w:tblHeader/>
        </w:trPr>
        <w:tc>
          <w:tcPr>
            <w:tcW w:w="176" w:type="pct"/>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6</w:t>
            </w:r>
          </w:p>
        </w:tc>
        <w:tc>
          <w:tcPr>
            <w:tcW w:w="1230" w:type="pct"/>
            <w:tcBorders>
              <w:top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Evaluatie gebruik voorkooprechten</w:t>
            </w:r>
          </w:p>
        </w:tc>
        <w:tc>
          <w:tcPr>
            <w:tcW w:w="3594" w:type="pct"/>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brengen de huidige en toekomstige toepassingsmogelijkheden van het instrument </w:t>
            </w:r>
            <w:r w:rsidRPr="00DC3563">
              <w:rPr>
                <w:rFonts w:ascii="Verdana" w:hAnsi="Verdana" w:cstheme="minorHAnsi"/>
                <w:b/>
                <w:szCs w:val="20"/>
              </w:rPr>
              <w:t xml:space="preserve">voorkooprecht </w:t>
            </w:r>
            <w:r w:rsidRPr="00DC3563">
              <w:rPr>
                <w:rFonts w:ascii="Verdana" w:hAnsi="Verdana" w:cstheme="minorHAnsi"/>
                <w:szCs w:val="20"/>
              </w:rPr>
              <w:t>in kaart en lossen eventuele knelpunten hierbij op.</w:t>
            </w:r>
          </w:p>
        </w:tc>
      </w:tr>
      <w:tr w:rsidR="003A01D5" w:rsidRPr="00DC3563" w:rsidTr="0013168A">
        <w:trPr>
          <w:trHeight w:val="20"/>
          <w:tblHeader/>
        </w:trPr>
        <w:tc>
          <w:tcPr>
            <w:tcW w:w="176" w:type="pct"/>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230" w:type="pct"/>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tijdelijk on-</w:t>
            </w:r>
            <w:proofErr w:type="spellStart"/>
            <w:r w:rsidRPr="00DC3563">
              <w:rPr>
                <w:rFonts w:ascii="Verdana" w:hAnsi="Verdana" w:cstheme="minorHAnsi"/>
                <w:b/>
                <w:szCs w:val="20"/>
              </w:rPr>
              <w:t>hold</w:t>
            </w:r>
            <w:proofErr w:type="spellEnd"/>
          </w:p>
        </w:tc>
        <w:tc>
          <w:tcPr>
            <w:tcW w:w="3594" w:type="pct"/>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BE"/>
              </w:rPr>
              <w:t xml:space="preserve">De procedure rond voorkooprecht werd in het verleden reeds geharmoniseerd. Deze actie heeft eerder betrekking op de toepassingsmodaliteiten van dit instrument. We starten met een bevraging van </w:t>
            </w:r>
            <w:r w:rsidRPr="00DC3563">
              <w:rPr>
                <w:rFonts w:ascii="Verdana" w:hAnsi="Verdana" w:cstheme="minorHAnsi"/>
                <w:szCs w:val="20"/>
                <w:lang w:val="nl" w:eastAsia="nl-BE"/>
              </w:rPr>
              <w:t>Vlaamse actoren en lokale overheden naar noden/knelpunten bij gebruik voorkooprecht. Op basis van deze bevraging stellen we een plan van aanpak op.</w:t>
            </w:r>
          </w:p>
        </w:tc>
      </w:tr>
    </w:tbl>
    <w:p w:rsidR="003A01D5" w:rsidRPr="00DC3563" w:rsidRDefault="003A01D5" w:rsidP="003A01D5">
      <w:pPr>
        <w:rPr>
          <w:rFonts w:ascii="Verdana" w:hAnsi="Verdana"/>
          <w:sz w:val="20"/>
          <w:szCs w:val="20"/>
        </w:rPr>
      </w:pPr>
    </w:p>
    <w:tbl>
      <w:tblPr>
        <w:tblStyle w:val="Tabel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44"/>
        <w:gridCol w:w="2211"/>
        <w:gridCol w:w="6487"/>
      </w:tblGrid>
      <w:tr w:rsidR="003A01D5" w:rsidRPr="00DC3563" w:rsidTr="0013168A">
        <w:trPr>
          <w:trHeight w:val="20"/>
          <w:tblHeader/>
        </w:trPr>
        <w:tc>
          <w:tcPr>
            <w:tcW w:w="176" w:type="pct"/>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7</w:t>
            </w:r>
          </w:p>
        </w:tc>
        <w:tc>
          <w:tcPr>
            <w:tcW w:w="1230" w:type="pct"/>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Aankoopbeleid overheid</w:t>
            </w:r>
          </w:p>
        </w:tc>
        <w:tc>
          <w:tcPr>
            <w:tcW w:w="3594" w:type="pct"/>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expliciteren vanuit welke doelstellingen en strategie anders en proactief kan omgegaan worden met </w:t>
            </w:r>
            <w:r w:rsidRPr="00DC3563">
              <w:rPr>
                <w:rFonts w:ascii="Verdana" w:hAnsi="Verdana" w:cstheme="minorHAnsi"/>
                <w:b/>
                <w:szCs w:val="20"/>
              </w:rPr>
              <w:t>aankoopbeleid</w:t>
            </w:r>
            <w:r w:rsidRPr="00DC3563">
              <w:rPr>
                <w:rFonts w:ascii="Verdana" w:hAnsi="Verdana" w:cstheme="minorHAnsi"/>
                <w:szCs w:val="20"/>
              </w:rPr>
              <w:t xml:space="preserve"> van onroerende goederen</w:t>
            </w:r>
          </w:p>
        </w:tc>
      </w:tr>
      <w:tr w:rsidR="003A01D5" w:rsidRPr="00DC3563" w:rsidTr="0013168A">
        <w:trPr>
          <w:trHeight w:val="20"/>
          <w:tblHeader/>
        </w:trPr>
        <w:tc>
          <w:tcPr>
            <w:tcW w:w="176" w:type="pct"/>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230" w:type="pct"/>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tijdelijk on-</w:t>
            </w:r>
            <w:proofErr w:type="spellStart"/>
            <w:r w:rsidRPr="00DC3563">
              <w:rPr>
                <w:rFonts w:ascii="Verdana" w:hAnsi="Verdana" w:cstheme="minorHAnsi"/>
                <w:b/>
                <w:szCs w:val="20"/>
              </w:rPr>
              <w:t>hold</w:t>
            </w:r>
            <w:proofErr w:type="spellEnd"/>
          </w:p>
        </w:tc>
        <w:tc>
          <w:tcPr>
            <w:tcW w:w="3594" w:type="pct"/>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Het onderzoek over de publieke regierol bij grondbeleid (zie actie 14)  levert reeds eerste inzichten op over aankoopstrategieën bij diverse entiteiten van de Vlaamse overheid en bij lokale overheden. </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Een verdere uitdieping van het vraagstuk en een plan van aanpak dienen nog uitgewerkt te worden. Daarbij zal worden teruggevallen op de ervaringen en strategie van de Vlaamse Grondenbank, maar ook andere leden van de V13.</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344"/>
        <w:gridCol w:w="2512"/>
        <w:gridCol w:w="6178"/>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8</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Screening vastgoedprocessen</w:t>
            </w:r>
          </w:p>
        </w:tc>
        <w:tc>
          <w:tcPr>
            <w:tcW w:w="0" w:type="auto"/>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We screenen de </w:t>
            </w:r>
            <w:r w:rsidRPr="00DC3563">
              <w:rPr>
                <w:rFonts w:ascii="Verdana" w:hAnsi="Verdana" w:cstheme="minorHAnsi"/>
                <w:b/>
                <w:szCs w:val="20"/>
              </w:rPr>
              <w:t>vastgoedprocessen</w:t>
            </w:r>
            <w:r w:rsidRPr="00DC3563">
              <w:rPr>
                <w:rFonts w:ascii="Verdana" w:hAnsi="Verdana" w:cstheme="minorHAnsi"/>
                <w:szCs w:val="20"/>
              </w:rPr>
              <w:t xml:space="preserve"> bij de leden van de V13 en zoeken naar verdere optimalisatiemogelijkheden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BE" w:eastAsia="nl-BE"/>
              </w:rPr>
            </w:pPr>
            <w:r w:rsidRPr="00DC3563">
              <w:rPr>
                <w:rFonts w:ascii="Verdana" w:hAnsi="Verdana" w:cstheme="minorHAnsi"/>
                <w:b/>
                <w:szCs w:val="20"/>
                <w:lang w:val="nl-BE" w:eastAsia="nl-BE"/>
              </w:rPr>
              <w:t>Trekker</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Het Facilitair Bedrijf</w:t>
            </w: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r w:rsidRPr="00DC3563">
              <w:rPr>
                <w:rFonts w:ascii="Verdana" w:hAnsi="Verdana" w:cstheme="minorHAnsi"/>
                <w:b/>
                <w:szCs w:val="20"/>
              </w:rPr>
              <w:t>Status: afgewerkt</w:t>
            </w:r>
          </w:p>
        </w:tc>
        <w:tc>
          <w:tcPr>
            <w:tcW w:w="0" w:type="auto"/>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Het onderzoek </w:t>
            </w:r>
            <w:r w:rsidRPr="00DC3563">
              <w:rPr>
                <w:rFonts w:ascii="Verdana" w:hAnsi="Verdana" w:cstheme="minorHAnsi"/>
                <w:szCs w:val="20"/>
                <w:lang w:val="nl-BE"/>
              </w:rPr>
              <w:t>'</w:t>
            </w:r>
            <w:hyperlink r:id="rId6" w:history="1">
              <w:r w:rsidRPr="00DC3563">
                <w:rPr>
                  <w:rStyle w:val="Hyperlink"/>
                  <w:rFonts w:ascii="Verdana" w:hAnsi="Verdana" w:cstheme="minorHAnsi"/>
                  <w:szCs w:val="20"/>
                  <w:lang w:val="nl-BE"/>
                </w:rPr>
                <w:t xml:space="preserve">Portefeuillebeheer </w:t>
              </w:r>
            </w:hyperlink>
            <w:hyperlink r:id="rId7" w:history="1">
              <w:proofErr w:type="spellStart"/>
              <w:r w:rsidRPr="00DC3563">
                <w:rPr>
                  <w:rStyle w:val="Hyperlink"/>
                  <w:rFonts w:ascii="Verdana" w:hAnsi="Verdana" w:cstheme="minorHAnsi"/>
                  <w:szCs w:val="20"/>
                  <w:lang w:val="nl-BE"/>
                </w:rPr>
                <w:t>overheidsbreed</w:t>
              </w:r>
              <w:proofErr w:type="spellEnd"/>
            </w:hyperlink>
            <w:r w:rsidRPr="00DC3563">
              <w:rPr>
                <w:rFonts w:ascii="Verdana" w:hAnsi="Verdana" w:cstheme="minorHAnsi"/>
                <w:szCs w:val="20"/>
                <w:lang w:val="nl-BE"/>
              </w:rPr>
              <w:t xml:space="preserve">. </w:t>
            </w:r>
            <w:hyperlink r:id="rId8" w:history="1">
              <w:r w:rsidRPr="00DC3563">
                <w:rPr>
                  <w:rStyle w:val="Hyperlink"/>
                  <w:rFonts w:ascii="Verdana" w:hAnsi="Verdana" w:cstheme="minorHAnsi"/>
                  <w:szCs w:val="20"/>
                  <w:lang w:val="nl-BE"/>
                </w:rPr>
                <w:t>Vastgoedprocessen in kaart brengen binnen de grootste vastgoedportefeuilles van de Vlaamse overheid'</w:t>
              </w:r>
            </w:hyperlink>
            <w:r w:rsidRPr="00DC3563">
              <w:rPr>
                <w:rFonts w:ascii="Verdana" w:hAnsi="Verdana" w:cstheme="minorHAnsi"/>
                <w:szCs w:val="20"/>
                <w:lang w:val="nl-BE"/>
              </w:rPr>
              <w:t xml:space="preserve"> werd opgeleverd eind 2015. De resultaten van dit onderzoek werden eind 2015 afgestemd binnen de </w:t>
            </w:r>
            <w:r w:rsidRPr="00DC3563">
              <w:rPr>
                <w:rFonts w:ascii="Verdana" w:hAnsi="Verdana" w:cstheme="minorHAnsi"/>
                <w:szCs w:val="20"/>
              </w:rPr>
              <w:t>V13 (structureel overleg tussen de 13 grootste vastgoedeigenaars binnen de VO) en toegelicht op het 7</w:t>
            </w:r>
            <w:r w:rsidRPr="00DC3563">
              <w:rPr>
                <w:rFonts w:ascii="Verdana" w:hAnsi="Verdana" w:cstheme="minorHAnsi"/>
                <w:szCs w:val="20"/>
                <w:vertAlign w:val="superscript"/>
              </w:rPr>
              <w:t>de</w:t>
            </w:r>
            <w:r w:rsidRPr="00DC3563">
              <w:rPr>
                <w:rFonts w:ascii="Verdana" w:hAnsi="Verdana" w:cstheme="minorHAnsi"/>
                <w:szCs w:val="20"/>
              </w:rPr>
              <w:t xml:space="preserve"> Vastgoedforum (februari 2016).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344"/>
        <w:gridCol w:w="2371"/>
        <w:gridCol w:w="3523"/>
        <w:gridCol w:w="2804"/>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9</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Optimalisatie vastgoedprocessen</w:t>
            </w:r>
          </w:p>
        </w:tc>
        <w:tc>
          <w:tcPr>
            <w:tcW w:w="0" w:type="auto"/>
            <w:gridSpan w:val="2"/>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rPr>
            </w:pPr>
            <w:r w:rsidRPr="00DC3563">
              <w:rPr>
                <w:rFonts w:ascii="Verdana" w:hAnsi="Verdana" w:cstheme="minorHAnsi"/>
                <w:color w:val="000000" w:themeColor="text1"/>
                <w:szCs w:val="20"/>
              </w:rPr>
              <w:t xml:space="preserve">Aansluitend op de inzichten uit het onderzoek naar de vastgoedprocessen bij de grootste vastgoedbeheerders van de Vlaamse overheid werken we aan de </w:t>
            </w:r>
            <w:r w:rsidRPr="00DC3563">
              <w:rPr>
                <w:rFonts w:ascii="Verdana" w:hAnsi="Verdana" w:cstheme="minorHAnsi"/>
                <w:b/>
                <w:color w:val="000000" w:themeColor="text1"/>
                <w:szCs w:val="20"/>
              </w:rPr>
              <w:t xml:space="preserve">optimalisatie </w:t>
            </w:r>
            <w:r w:rsidRPr="00DC3563">
              <w:rPr>
                <w:rFonts w:ascii="Verdana" w:hAnsi="Verdana" w:cstheme="minorHAnsi"/>
                <w:szCs w:val="20"/>
              </w:rPr>
              <w:t>van de</w:t>
            </w:r>
            <w:r w:rsidRPr="00DC3563">
              <w:rPr>
                <w:rFonts w:ascii="Verdana" w:hAnsi="Verdana" w:cstheme="minorHAnsi"/>
                <w:b/>
                <w:szCs w:val="20"/>
              </w:rPr>
              <w:t xml:space="preserve"> vastgoedprocessen </w:t>
            </w:r>
            <w:proofErr w:type="spellStart"/>
            <w:r w:rsidRPr="00DC3563">
              <w:rPr>
                <w:rFonts w:ascii="Verdana" w:hAnsi="Verdana" w:cstheme="minorHAnsi"/>
                <w:szCs w:val="20"/>
              </w:rPr>
              <w:t>ihkv</w:t>
            </w:r>
            <w:proofErr w:type="spellEnd"/>
            <w:r w:rsidRPr="00DC3563">
              <w:rPr>
                <w:rFonts w:ascii="Verdana" w:hAnsi="Verdana" w:cstheme="minorHAnsi"/>
                <w:szCs w:val="20"/>
              </w:rPr>
              <w:t xml:space="preserve"> een </w:t>
            </w:r>
            <w:proofErr w:type="spellStart"/>
            <w:r w:rsidRPr="00DC3563">
              <w:rPr>
                <w:rFonts w:ascii="Verdana" w:hAnsi="Verdana" w:cstheme="minorHAnsi"/>
                <w:szCs w:val="20"/>
              </w:rPr>
              <w:t>overheidsbreed</w:t>
            </w:r>
            <w:proofErr w:type="spellEnd"/>
            <w:r w:rsidRPr="00DC3563">
              <w:rPr>
                <w:rFonts w:ascii="Verdana" w:hAnsi="Verdana" w:cstheme="minorHAnsi"/>
                <w:szCs w:val="20"/>
              </w:rPr>
              <w:t xml:space="preserve"> portefeuillebeheer.</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BE" w:eastAsia="nl-BE"/>
              </w:rPr>
            </w:pPr>
            <w:r w:rsidRPr="00DC3563">
              <w:rPr>
                <w:rFonts w:ascii="Verdana" w:hAnsi="Verdana" w:cstheme="minorHAnsi"/>
                <w:b/>
                <w:szCs w:val="20"/>
                <w:lang w:val="nl-BE" w:eastAsia="nl-BE"/>
              </w:rPr>
              <w:t>Trekker</w:t>
            </w:r>
          </w:p>
          <w:p w:rsidR="003A01D5" w:rsidRPr="00DC3563" w:rsidRDefault="003A01D5" w:rsidP="0013168A">
            <w:pPr>
              <w:rPr>
                <w:rFonts w:ascii="Verdana" w:hAnsi="Verdana" w:cstheme="minorHAnsi"/>
                <w:szCs w:val="20"/>
                <w:lang w:val="en-US"/>
              </w:rPr>
            </w:pPr>
            <w:r w:rsidRPr="00DC3563">
              <w:rPr>
                <w:rFonts w:ascii="Verdana" w:hAnsi="Verdana" w:cstheme="minorHAnsi"/>
                <w:szCs w:val="20"/>
                <w:lang w:val="nl-BE" w:eastAsia="nl-BE"/>
              </w:rPr>
              <w:t>Het Facilitair Bedrijf</w:t>
            </w:r>
          </w:p>
        </w:tc>
        <w:tc>
          <w:tcPr>
            <w:tcW w:w="0" w:type="auto"/>
            <w:gridSpan w:val="2"/>
            <w:tcBorders>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rPr>
              <w:t>Entiteiten V13: DE VLAAMSE WATERWEG, DMOW, AWV, ANB, Het Facilitair Bedrijf, DCJSM, VLM, VDAB, VMM, De Lijn, GO!, De Watergroep, PMV, MDK, ILVO</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Status: lopend</w:t>
            </w:r>
          </w:p>
        </w:tc>
        <w:tc>
          <w:tcPr>
            <w:tcW w:w="0" w:type="auto"/>
            <w:tcBorders>
              <w:bottom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Tussentijdse resultaten</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Workshops specifieke thema’s (op de Vastgoedfora): gebruik vastgoeddatabank, tools voor benchmarking en prestatiemeting, hefbomen voor aanpak leegstand en onderbenutting, ontwikkeling vastgoedacademie, renovatie of nieuwbouw, smart </w:t>
            </w:r>
            <w:proofErr w:type="spellStart"/>
            <w:r w:rsidRPr="00DC3563">
              <w:rPr>
                <w:rFonts w:ascii="Verdana" w:hAnsi="Verdana" w:cstheme="minorHAnsi"/>
                <w:szCs w:val="20"/>
              </w:rPr>
              <w:t>mobility</w:t>
            </w:r>
            <w:proofErr w:type="spellEnd"/>
            <w:r w:rsidRPr="00DC3563">
              <w:rPr>
                <w:rFonts w:ascii="Verdana" w:hAnsi="Verdana" w:cstheme="minorHAnsi"/>
                <w:szCs w:val="20"/>
              </w:rPr>
              <w:t xml:space="preserve"> (impact op locatie gebouwen en laadinfrastructuur). </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Inventarisatie van gronden en gebouwen: Optimalisatie vastgoeddatabank Vlaamse overheid: aanpassingen in de invoermodule, automatisatie van het invullen van velden ter verbetering van de datakwaliteit, koppeling met bestaande databanken entiteiten, …</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Tools voor benchmarking en prestatiemeting: er werden management rapporten gecreëerd </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Leegstand en onderbenutting tegengaan: Raamcontract leegstandsbeheer om verkrotting, kraak tegen te gaan</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Raamcontract landmeter voor schattingen, plaatsbeschrijvingen, expertises</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Leegstand en onderbenutting tegengaan: Publieke vastgoedmarkt Vlaamse overheid beschikbaar, opzoekingen mogelijk via zoekmotor, linken naar andere gelijkaardige pagina’s van entiteiten van de Vlaamse overheid werden verzameld</w:t>
            </w:r>
          </w:p>
          <w:p w:rsidR="003A01D5" w:rsidRPr="00DC3563" w:rsidRDefault="003A01D5" w:rsidP="003A01D5">
            <w:pPr>
              <w:numPr>
                <w:ilvl w:val="0"/>
                <w:numId w:val="2"/>
              </w:numPr>
              <w:tabs>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Leegstand en onderbenutting tegengaan: Interne vastgoedmarkt met onroerende goederen die tijdelijk onderbenut zijn of verkocht zullen worden via </w:t>
            </w:r>
            <w:proofErr w:type="spellStart"/>
            <w:r w:rsidRPr="00DC3563">
              <w:rPr>
                <w:rFonts w:ascii="Verdana" w:hAnsi="Verdana" w:cstheme="minorHAnsi"/>
                <w:szCs w:val="20"/>
              </w:rPr>
              <w:t>excellijst</w:t>
            </w:r>
            <w:proofErr w:type="spellEnd"/>
            <w:r w:rsidRPr="00DC3563">
              <w:rPr>
                <w:rFonts w:ascii="Verdana" w:hAnsi="Verdana" w:cstheme="minorHAnsi"/>
                <w:szCs w:val="20"/>
              </w:rPr>
              <w:t xml:space="preserve"> op website. Goederen die op de lijst komen te staan worden beheerd door de databeheerders en valorisatieverantwoordelijken van elke entiteit via de </w:t>
            </w:r>
            <w:proofErr w:type="spellStart"/>
            <w:r w:rsidRPr="00DC3563">
              <w:rPr>
                <w:rFonts w:ascii="Verdana" w:hAnsi="Verdana" w:cstheme="minorHAnsi"/>
                <w:szCs w:val="20"/>
              </w:rPr>
              <w:t>vastgoedinvoermodule</w:t>
            </w:r>
            <w:proofErr w:type="spellEnd"/>
            <w:r w:rsidRPr="00DC3563">
              <w:rPr>
                <w:rFonts w:ascii="Verdana" w:hAnsi="Verdana" w:cstheme="minorHAnsi"/>
                <w:szCs w:val="20"/>
              </w:rPr>
              <w:t>.</w:t>
            </w:r>
          </w:p>
        </w:tc>
        <w:tc>
          <w:tcPr>
            <w:tcW w:w="0" w:type="auto"/>
            <w:tcBorders>
              <w:bottom w:val="single" w:sz="12" w:space="0" w:color="auto"/>
              <w:right w:val="single" w:sz="12" w:space="0" w:color="auto"/>
            </w:tcBorders>
          </w:tcPr>
          <w:p w:rsidR="003A01D5" w:rsidRPr="00DC3563" w:rsidRDefault="003A01D5" w:rsidP="0013168A">
            <w:pPr>
              <w:rPr>
                <w:rFonts w:ascii="Verdana" w:hAnsi="Verdana" w:cstheme="minorHAnsi"/>
                <w:b/>
                <w:szCs w:val="20"/>
              </w:rPr>
            </w:pPr>
            <w:r w:rsidRPr="00DC3563">
              <w:rPr>
                <w:rFonts w:ascii="Verdana" w:hAnsi="Verdana" w:cstheme="minorHAnsi"/>
                <w:b/>
                <w:szCs w:val="20"/>
              </w:rPr>
              <w:t>Verdere aanpak</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Optimalisatie publieke en interne vastgoedmarkt Vlaamse overheid door automatische nieuwbrief naar geïnteresseerden</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Vastgoedacademie: deelname aan pilot met AGO </w:t>
            </w:r>
            <w:proofErr w:type="spellStart"/>
            <w:r w:rsidRPr="00DC3563">
              <w:rPr>
                <w:rFonts w:ascii="Verdana" w:hAnsi="Verdana" w:cstheme="minorHAnsi"/>
                <w:szCs w:val="20"/>
              </w:rPr>
              <w:t>ihkv</w:t>
            </w:r>
            <w:proofErr w:type="spellEnd"/>
            <w:r w:rsidRPr="00DC3563">
              <w:rPr>
                <w:rFonts w:ascii="Verdana" w:hAnsi="Verdana" w:cstheme="minorHAnsi"/>
                <w:szCs w:val="20"/>
              </w:rPr>
              <w:t xml:space="preserve"> digitaal leren, bouwstenen aanbieden aan vastgoedprofessionals binnen de Vlaamse overheid, expertise entiteiten formaliseren binnen het kader van het toekomstige </w:t>
            </w:r>
            <w:proofErr w:type="spellStart"/>
            <w:r w:rsidRPr="00DC3563">
              <w:rPr>
                <w:rFonts w:ascii="Verdana" w:hAnsi="Verdana" w:cstheme="minorHAnsi"/>
                <w:szCs w:val="20"/>
              </w:rPr>
              <w:t>vormingsweb</w:t>
            </w:r>
            <w:proofErr w:type="spellEnd"/>
            <w:r w:rsidRPr="00DC3563">
              <w:rPr>
                <w:rFonts w:ascii="Verdana" w:hAnsi="Verdana" w:cstheme="minorHAnsi"/>
                <w:szCs w:val="20"/>
              </w:rPr>
              <w:t xml:space="preserve"> “Personeelspunt” van AGO</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Volgend Vastgoedforum wordt georganiseerd in het thema “milieumanagement in gebouwen”, andere in het verschiet: financieel managen van vastgoed, kostenefficiënt omspringen met archief,…</w:t>
            </w:r>
          </w:p>
          <w:p w:rsidR="003A01D5" w:rsidRPr="00DC3563" w:rsidRDefault="003A01D5" w:rsidP="003A01D5">
            <w:pPr>
              <w:numPr>
                <w:ilvl w:val="0"/>
                <w:numId w:val="2"/>
              </w:numPr>
              <w:tabs>
                <w:tab w:val="clear" w:pos="360"/>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Vastgoeddatabank met vernieuwde rapportering in Tableau wat meer interactie en analysemogelijkheden toelaat</w:t>
            </w:r>
          </w:p>
          <w:p w:rsidR="003A01D5" w:rsidRPr="00DC3563" w:rsidRDefault="003A01D5" w:rsidP="003A01D5">
            <w:pPr>
              <w:pStyle w:val="Lijstalinea"/>
              <w:numPr>
                <w:ilvl w:val="0"/>
                <w:numId w:val="2"/>
              </w:numPr>
              <w:tabs>
                <w:tab w:val="left" w:pos="284"/>
                <w:tab w:val="left" w:pos="567"/>
                <w:tab w:val="left" w:pos="851"/>
                <w:tab w:val="center" w:pos="4394"/>
                <w:tab w:val="right" w:pos="8789"/>
              </w:tabs>
              <w:rPr>
                <w:rFonts w:ascii="Verdana" w:hAnsi="Verdana" w:cstheme="minorHAnsi"/>
                <w:i/>
                <w:szCs w:val="20"/>
                <w:lang w:val="nl-BE" w:eastAsia="nl-BE"/>
              </w:rPr>
            </w:pPr>
            <w:r w:rsidRPr="00DC3563">
              <w:rPr>
                <w:rFonts w:ascii="Verdana" w:hAnsi="Verdana" w:cstheme="minorHAnsi"/>
                <w:szCs w:val="20"/>
              </w:rPr>
              <w:t>Vastgoeddatabank met nieuwe, gebruiksvriendelijkere invoermodule wordt gereleaset begin 2019</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1828"/>
        <w:gridCol w:w="3386"/>
        <w:gridCol w:w="3357"/>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10</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Optimalisatie subsidiebeleid</w:t>
            </w:r>
          </w:p>
        </w:tc>
        <w:tc>
          <w:tcPr>
            <w:tcW w:w="0" w:type="auto"/>
            <w:gridSpan w:val="2"/>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w:t>
            </w:r>
            <w:r w:rsidRPr="00DC3563">
              <w:rPr>
                <w:rFonts w:ascii="Verdana" w:hAnsi="Verdana" w:cstheme="minorHAnsi"/>
                <w:b/>
                <w:szCs w:val="20"/>
              </w:rPr>
              <w:t>inventariseren</w:t>
            </w:r>
            <w:r w:rsidRPr="00DC3563">
              <w:rPr>
                <w:rFonts w:ascii="Verdana" w:hAnsi="Verdana" w:cstheme="minorHAnsi"/>
                <w:szCs w:val="20"/>
              </w:rPr>
              <w:t xml:space="preserve"> het bestaand impulsgericht </w:t>
            </w:r>
            <w:r w:rsidRPr="00DC3563">
              <w:rPr>
                <w:rFonts w:ascii="Verdana" w:hAnsi="Verdana" w:cstheme="minorHAnsi"/>
                <w:b/>
                <w:szCs w:val="20"/>
              </w:rPr>
              <w:t>subsidiebeleid</w:t>
            </w:r>
            <w:r w:rsidRPr="00DC3563">
              <w:rPr>
                <w:rFonts w:ascii="Verdana" w:hAnsi="Verdana" w:cstheme="minorHAnsi"/>
                <w:szCs w:val="20"/>
              </w:rPr>
              <w:t xml:space="preserve"> en leiden hieruit relevante optimaliseringsmogelijkheden af.</w:t>
            </w:r>
          </w:p>
        </w:tc>
      </w:tr>
      <w:tr w:rsidR="003A01D5" w:rsidRPr="00DC3563" w:rsidTr="0013168A">
        <w:trPr>
          <w:trHeight w:val="20"/>
          <w:tblHeader/>
        </w:trPr>
        <w:tc>
          <w:tcPr>
            <w:tcW w:w="0" w:type="auto"/>
            <w:tcBorders>
              <w:left w:val="single" w:sz="12" w:space="0" w:color="auto"/>
              <w:bottom w:val="single" w:sz="4"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4"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Departement Omgeving</w:t>
            </w:r>
          </w:p>
        </w:tc>
        <w:tc>
          <w:tcPr>
            <w:tcW w:w="0" w:type="auto"/>
            <w:gridSpan w:val="2"/>
            <w:tcBorders>
              <w:bottom w:val="single" w:sz="4" w:space="0" w:color="auto"/>
              <w:right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Sleutelpartners</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 xml:space="preserve">Departement Kanselarij &amp; Bestuur (project ‘slimme subsidies’), </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Betrokkenen bij onderzoek</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lopend</w:t>
            </w:r>
          </w:p>
        </w:tc>
        <w:tc>
          <w:tcPr>
            <w:tcW w:w="3374" w:type="dxa"/>
            <w:tcBorders>
              <w:bottom w:val="single" w:sz="12" w:space="0" w:color="auto"/>
              <w:right w:val="nil"/>
            </w:tcBorders>
            <w:shd w:val="clear" w:color="auto" w:fill="auto"/>
          </w:tcPr>
          <w:p w:rsidR="003A01D5" w:rsidRPr="00DC3563" w:rsidRDefault="003A01D5" w:rsidP="0013168A">
            <w:pPr>
              <w:rPr>
                <w:rFonts w:ascii="Verdana" w:hAnsi="Verdana" w:cstheme="minorHAnsi"/>
                <w:b/>
                <w:szCs w:val="20"/>
                <w:lang w:val="nl-BE"/>
              </w:rPr>
            </w:pPr>
            <w:r w:rsidRPr="00DC3563">
              <w:rPr>
                <w:rFonts w:ascii="Verdana" w:hAnsi="Verdana" w:cstheme="minorHAnsi"/>
                <w:b/>
                <w:szCs w:val="20"/>
                <w:lang w:val="nl-BE"/>
              </w:rPr>
              <w:t>Tussentijdse resultaten</w:t>
            </w:r>
          </w:p>
          <w:p w:rsidR="003A01D5" w:rsidRPr="00DC3563" w:rsidRDefault="003A01D5" w:rsidP="003A01D5">
            <w:pPr>
              <w:pStyle w:val="Lijstalinea"/>
              <w:numPr>
                <w:ilvl w:val="0"/>
                <w:numId w:val="9"/>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lang w:val="nl-BE"/>
              </w:rPr>
              <w:t>Eigen maken van begrippenkader en principes ‘slimme subsidies’ (VO)</w:t>
            </w:r>
          </w:p>
          <w:p w:rsidR="003A01D5" w:rsidRPr="00DC3563" w:rsidRDefault="003A01D5" w:rsidP="003A01D5">
            <w:pPr>
              <w:pStyle w:val="Lijstalinea"/>
              <w:numPr>
                <w:ilvl w:val="0"/>
                <w:numId w:val="9"/>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lang w:val="nl-BE"/>
              </w:rPr>
              <w:t>Inventarisatie subsidies departement Omgeving</w:t>
            </w:r>
          </w:p>
          <w:p w:rsidR="003A01D5" w:rsidRPr="00DC3563" w:rsidRDefault="003A01D5" w:rsidP="003A01D5">
            <w:pPr>
              <w:pStyle w:val="Lijstalinea"/>
              <w:numPr>
                <w:ilvl w:val="0"/>
                <w:numId w:val="9"/>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lang w:val="nl-BE"/>
              </w:rPr>
              <w:t xml:space="preserve">Opstart onderzoek ‘heroriëntering subsidiebeleid </w:t>
            </w:r>
            <w:proofErr w:type="spellStart"/>
            <w:r w:rsidRPr="00DC3563">
              <w:rPr>
                <w:rFonts w:ascii="Verdana" w:hAnsi="Verdana" w:cstheme="minorHAnsi"/>
                <w:szCs w:val="20"/>
                <w:lang w:val="nl-BE"/>
              </w:rPr>
              <w:t>ifv</w:t>
            </w:r>
            <w:proofErr w:type="spellEnd"/>
            <w:r w:rsidRPr="00DC3563">
              <w:rPr>
                <w:rFonts w:ascii="Verdana" w:hAnsi="Verdana" w:cstheme="minorHAnsi"/>
                <w:szCs w:val="20"/>
                <w:lang w:val="nl-BE"/>
              </w:rPr>
              <w:t xml:space="preserve"> ruimtelijk beleid’</w:t>
            </w:r>
          </w:p>
        </w:tc>
        <w:tc>
          <w:tcPr>
            <w:tcW w:w="3505" w:type="dxa"/>
            <w:tcBorders>
              <w:left w:val="nil"/>
              <w:bottom w:val="single" w:sz="12" w:space="0" w:color="auto"/>
              <w:right w:val="single" w:sz="12" w:space="0" w:color="auto"/>
            </w:tcBorders>
            <w:shd w:val="clear" w:color="auto" w:fill="auto"/>
          </w:tcPr>
          <w:p w:rsidR="003A01D5" w:rsidRPr="00DC3563" w:rsidRDefault="003A01D5" w:rsidP="0013168A">
            <w:pPr>
              <w:jc w:val="both"/>
              <w:rPr>
                <w:rFonts w:ascii="Verdana" w:hAnsi="Verdana" w:cstheme="minorHAnsi"/>
                <w:b/>
                <w:szCs w:val="20"/>
                <w:lang w:val="nl-BE"/>
              </w:rPr>
            </w:pPr>
            <w:r w:rsidRPr="00DC3563">
              <w:rPr>
                <w:rFonts w:ascii="Verdana" w:hAnsi="Verdana" w:cstheme="minorHAnsi"/>
                <w:b/>
                <w:szCs w:val="20"/>
                <w:lang w:val="nl-BE"/>
              </w:rPr>
              <w:t>Verdere aanpak</w:t>
            </w:r>
          </w:p>
          <w:p w:rsidR="003A01D5" w:rsidRPr="00DC3563" w:rsidRDefault="003A01D5" w:rsidP="003A01D5">
            <w:pPr>
              <w:pStyle w:val="Lijstalinea"/>
              <w:numPr>
                <w:ilvl w:val="0"/>
                <w:numId w:val="11"/>
              </w:numPr>
              <w:tabs>
                <w:tab w:val="left" w:pos="284"/>
                <w:tab w:val="left" w:pos="567"/>
                <w:tab w:val="left" w:pos="851"/>
                <w:tab w:val="center" w:pos="4394"/>
                <w:tab w:val="right" w:pos="8789"/>
              </w:tabs>
              <w:jc w:val="both"/>
              <w:rPr>
                <w:rFonts w:ascii="Verdana" w:hAnsi="Verdana" w:cstheme="minorHAnsi"/>
                <w:szCs w:val="20"/>
                <w:lang w:val="nl-BE"/>
              </w:rPr>
            </w:pPr>
            <w:r w:rsidRPr="00DC3563">
              <w:rPr>
                <w:rFonts w:ascii="Verdana" w:hAnsi="Verdana" w:cstheme="minorHAnsi"/>
                <w:szCs w:val="20"/>
                <w:lang w:val="nl-BE"/>
              </w:rPr>
              <w:t>Evaluatie bestaande subsidies in relatie tot BRV-doelstellingen</w:t>
            </w:r>
          </w:p>
          <w:p w:rsidR="003A01D5" w:rsidRPr="00DC3563" w:rsidRDefault="003A01D5" w:rsidP="003A01D5">
            <w:pPr>
              <w:pStyle w:val="Lijstalinea"/>
              <w:numPr>
                <w:ilvl w:val="0"/>
                <w:numId w:val="11"/>
              </w:numPr>
              <w:tabs>
                <w:tab w:val="left" w:pos="284"/>
                <w:tab w:val="left" w:pos="567"/>
                <w:tab w:val="left" w:pos="851"/>
                <w:tab w:val="center" w:pos="4394"/>
                <w:tab w:val="right" w:pos="8789"/>
              </w:tabs>
              <w:jc w:val="both"/>
              <w:rPr>
                <w:rFonts w:ascii="Verdana" w:hAnsi="Verdana" w:cstheme="minorHAnsi"/>
                <w:szCs w:val="20"/>
                <w:lang w:val="nl-BE"/>
              </w:rPr>
            </w:pPr>
            <w:r w:rsidRPr="00DC3563">
              <w:rPr>
                <w:rFonts w:ascii="Verdana" w:hAnsi="Verdana" w:cstheme="minorHAnsi"/>
                <w:szCs w:val="20"/>
                <w:lang w:val="nl-BE"/>
              </w:rPr>
              <w:t>Ontwikkeling methodologie voor de heroriëntering van het subsidiebeleid</w:t>
            </w:r>
          </w:p>
          <w:p w:rsidR="003A01D5" w:rsidRPr="00DC3563" w:rsidRDefault="003A01D5" w:rsidP="0013168A">
            <w:pPr>
              <w:jc w:val="both"/>
              <w:rPr>
                <w:rFonts w:ascii="Verdana" w:hAnsi="Verdana" w:cstheme="minorHAnsi"/>
                <w:szCs w:val="20"/>
                <w:lang w:val="nl-BE"/>
              </w:rPr>
            </w:pPr>
          </w:p>
        </w:tc>
      </w:tr>
    </w:tbl>
    <w:p w:rsidR="003A01D5" w:rsidRPr="00DC3563" w:rsidRDefault="003A01D5" w:rsidP="003A01D5">
      <w:pPr>
        <w:rPr>
          <w:rFonts w:ascii="Verdana" w:hAnsi="Verdana"/>
          <w:sz w:val="20"/>
          <w:szCs w:val="20"/>
        </w:rPr>
      </w:pPr>
    </w:p>
    <w:tbl>
      <w:tblPr>
        <w:tblStyle w:val="Tabel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1"/>
        <w:gridCol w:w="1954"/>
        <w:gridCol w:w="6617"/>
      </w:tblGrid>
      <w:tr w:rsidR="003A01D5" w:rsidRPr="00DC3563" w:rsidTr="0013168A">
        <w:trPr>
          <w:trHeight w:val="20"/>
          <w:tblHeader/>
        </w:trPr>
        <w:tc>
          <w:tcPr>
            <w:tcW w:w="232" w:type="pct"/>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11</w:t>
            </w:r>
          </w:p>
        </w:tc>
        <w:tc>
          <w:tcPr>
            <w:tcW w:w="1095" w:type="pct"/>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Subsidiëren versus investeren</w:t>
            </w:r>
          </w:p>
        </w:tc>
        <w:tc>
          <w:tcPr>
            <w:tcW w:w="3672" w:type="pct"/>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expliciteren toekomstige visie- en </w:t>
            </w:r>
            <w:r w:rsidRPr="00DC3563">
              <w:rPr>
                <w:rFonts w:ascii="Verdana" w:hAnsi="Verdana" w:cstheme="minorHAnsi"/>
                <w:b/>
                <w:szCs w:val="20"/>
              </w:rPr>
              <w:t>strategie-elementen inzake subsidie-  versus investeringsbeleid</w:t>
            </w:r>
            <w:r w:rsidRPr="00DC3563">
              <w:rPr>
                <w:rFonts w:ascii="Verdana" w:hAnsi="Verdana" w:cstheme="minorHAnsi"/>
                <w:szCs w:val="20"/>
              </w:rPr>
              <w:t xml:space="preserve"> vanuit de overheid in functie van ruimtelijke realisaties</w:t>
            </w:r>
          </w:p>
        </w:tc>
      </w:tr>
      <w:tr w:rsidR="003A01D5" w:rsidRPr="00DC3563" w:rsidTr="0013168A">
        <w:trPr>
          <w:trHeight w:val="20"/>
          <w:tblHeader/>
        </w:trPr>
        <w:tc>
          <w:tcPr>
            <w:tcW w:w="232" w:type="pct"/>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095" w:type="pct"/>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on-</w:t>
            </w:r>
            <w:proofErr w:type="spellStart"/>
            <w:r w:rsidRPr="00DC3563">
              <w:rPr>
                <w:rFonts w:ascii="Verdana" w:hAnsi="Verdana" w:cstheme="minorHAnsi"/>
                <w:b/>
                <w:szCs w:val="20"/>
              </w:rPr>
              <w:t>hold</w:t>
            </w:r>
            <w:proofErr w:type="spellEnd"/>
          </w:p>
        </w:tc>
        <w:tc>
          <w:tcPr>
            <w:tcW w:w="3672" w:type="pct"/>
            <w:tcBorders>
              <w:bottom w:val="single" w:sz="12" w:space="0" w:color="auto"/>
              <w:right w:val="single" w:sz="12" w:space="0" w:color="auto"/>
            </w:tcBorders>
            <w:shd w:val="clear" w:color="auto" w:fill="auto"/>
          </w:tcPr>
          <w:p w:rsidR="003A01D5" w:rsidRPr="00DC3563" w:rsidRDefault="003A01D5" w:rsidP="003A01D5">
            <w:pPr>
              <w:pStyle w:val="Lijstalinea"/>
              <w:numPr>
                <w:ilvl w:val="0"/>
                <w:numId w:val="7"/>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 xml:space="preserve">Andere acties leveren reeds inzichten op over de wijze waarop overheden omgaan met een subsidiërende of investerende houding bij ruimtelijke realisaties. Het gaat om het haalbaarheidsonderzoek naar </w:t>
            </w:r>
            <w:proofErr w:type="spellStart"/>
            <w:r w:rsidRPr="00DC3563">
              <w:rPr>
                <w:rFonts w:ascii="Verdana" w:hAnsi="Verdana" w:cstheme="minorHAnsi"/>
                <w:szCs w:val="20"/>
                <w:lang w:val="nl-BE" w:eastAsia="nl-BE"/>
              </w:rPr>
              <w:t>TerInvest</w:t>
            </w:r>
            <w:proofErr w:type="spellEnd"/>
            <w:r w:rsidRPr="00DC3563">
              <w:rPr>
                <w:rFonts w:ascii="Verdana" w:hAnsi="Verdana" w:cstheme="minorHAnsi"/>
                <w:szCs w:val="20"/>
                <w:lang w:val="nl-BE" w:eastAsia="nl-BE"/>
              </w:rPr>
              <w:t xml:space="preserve"> (actie 13) en het onderzoek naar de regierol van overheden bij grondbeleid en ruimtelijke realisaties (actie 14). </w:t>
            </w:r>
          </w:p>
          <w:p w:rsidR="003A01D5" w:rsidRPr="00DC3563" w:rsidRDefault="003A01D5" w:rsidP="003A01D5">
            <w:pPr>
              <w:pStyle w:val="Lijstalinea"/>
              <w:numPr>
                <w:ilvl w:val="0"/>
                <w:numId w:val="7"/>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 xml:space="preserve">Het (lopende) SBV-onderzoek over investeringsprogramma’s voor infrastructuur (zie actie 12) moet inzichten en aanbevelingen opleveren inzake de investeringspolitiek bij de Vlaamse overheid. </w:t>
            </w:r>
          </w:p>
          <w:p w:rsidR="003A01D5" w:rsidRPr="00DC3563" w:rsidRDefault="003A01D5" w:rsidP="003A01D5">
            <w:pPr>
              <w:pStyle w:val="Lijstalinea"/>
              <w:numPr>
                <w:ilvl w:val="0"/>
                <w:numId w:val="7"/>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 xml:space="preserve">Het lopende onderzoek ‘heroriëntering subsidiebeleid’ binnen het departement Omgeving moet een methodologisch kader opleveren voor de uitbouw van een toekomstig subsidiebeleid. Hieruit zal blijken in hoeverre ontwerpcriteria over de afweging met investeringsbeleid relevant kunnen zijn.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1971"/>
        <w:gridCol w:w="6592"/>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12</w:t>
            </w:r>
          </w:p>
        </w:tc>
        <w:tc>
          <w:tcPr>
            <w:tcW w:w="19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Kennisbank subsidies</w:t>
            </w:r>
          </w:p>
        </w:tc>
        <w:tc>
          <w:tcPr>
            <w:tcW w:w="6639"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ontwikkelen een </w:t>
            </w:r>
            <w:r w:rsidRPr="00DC3563">
              <w:rPr>
                <w:rFonts w:ascii="Verdana" w:hAnsi="Verdana" w:cstheme="minorHAnsi"/>
                <w:b/>
                <w:szCs w:val="20"/>
              </w:rPr>
              <w:t>subsidiedatabank</w:t>
            </w:r>
            <w:r w:rsidRPr="00DC3563">
              <w:rPr>
                <w:rFonts w:ascii="Verdana" w:hAnsi="Verdana" w:cstheme="minorHAnsi"/>
                <w:szCs w:val="20"/>
              </w:rPr>
              <w:t xml:space="preserve"> die lokale overheden ondersteunt bij hun onderzoek naar impulsgerichte subsidiemogelijkheden voor ruimtelijke projecten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1976"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szCs w:val="20"/>
                <w:lang w:val="en-US" w:eastAsia="nl-BE"/>
              </w:rPr>
            </w:pPr>
            <w:r w:rsidRPr="00DC3563">
              <w:rPr>
                <w:rFonts w:ascii="Verdana" w:hAnsi="Verdana" w:cstheme="minorHAnsi"/>
                <w:b/>
                <w:szCs w:val="20"/>
              </w:rPr>
              <w:t>Status: on-</w:t>
            </w:r>
            <w:proofErr w:type="spellStart"/>
            <w:r w:rsidRPr="00DC3563">
              <w:rPr>
                <w:rFonts w:ascii="Verdana" w:hAnsi="Verdana" w:cstheme="minorHAnsi"/>
                <w:b/>
                <w:szCs w:val="20"/>
              </w:rPr>
              <w:t>hold</w:t>
            </w:r>
            <w:proofErr w:type="spellEnd"/>
          </w:p>
        </w:tc>
        <w:tc>
          <w:tcPr>
            <w:tcW w:w="6639" w:type="dxa"/>
            <w:tcBorders>
              <w:bottom w:val="single" w:sz="12" w:space="0" w:color="auto"/>
              <w:right w:val="single" w:sz="12" w:space="0" w:color="auto"/>
            </w:tcBorders>
            <w:shd w:val="clear" w:color="auto" w:fill="auto"/>
          </w:tcPr>
          <w:p w:rsidR="003A01D5" w:rsidRPr="00DC3563" w:rsidRDefault="003A01D5" w:rsidP="003A01D5">
            <w:pPr>
              <w:pStyle w:val="Lijstalinea"/>
              <w:numPr>
                <w:ilvl w:val="0"/>
                <w:numId w:val="12"/>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rPr>
              <w:t xml:space="preserve">Er wordt een maximale afstemming nagestreefd met het project ‘slimme subsidies’. Vermits de opbouw van een transparant subsidieregister reeds deel uitmaakt van dit project, lijkt het voorlopig voorbarig om een parallel initiatief op te starten voor impulsgerichte subsidies voor ruimtelijke projecten. </w:t>
            </w:r>
          </w:p>
          <w:p w:rsidR="003A01D5" w:rsidRPr="00DC3563" w:rsidRDefault="003A01D5" w:rsidP="003A01D5">
            <w:pPr>
              <w:pStyle w:val="Lijstalinea"/>
              <w:numPr>
                <w:ilvl w:val="0"/>
                <w:numId w:val="12"/>
              </w:numPr>
              <w:tabs>
                <w:tab w:val="left" w:pos="284"/>
                <w:tab w:val="left" w:pos="567"/>
                <w:tab w:val="left" w:pos="851"/>
                <w:tab w:val="center" w:pos="4394"/>
                <w:tab w:val="right" w:pos="8789"/>
              </w:tabs>
              <w:rPr>
                <w:rFonts w:ascii="Verdana" w:hAnsi="Verdana" w:cstheme="minorHAnsi"/>
                <w:szCs w:val="20"/>
                <w:lang w:val="nl-BE"/>
              </w:rPr>
            </w:pPr>
            <w:r w:rsidRPr="00DC3563">
              <w:rPr>
                <w:rFonts w:ascii="Verdana" w:hAnsi="Verdana" w:cstheme="minorHAnsi"/>
                <w:szCs w:val="20"/>
              </w:rPr>
              <w:t xml:space="preserve">Alle beschikbare informatie over subsidies uitgereikt door het departement Omgeving, werd reeds gebundeld. Deze inventaris omvat ook andere dan de ‘impulsgerichte’ subsidies. </w:t>
            </w:r>
          </w:p>
        </w:tc>
      </w:tr>
    </w:tbl>
    <w:p w:rsidR="003A01D5" w:rsidRPr="00DC3563" w:rsidRDefault="003A01D5" w:rsidP="003A01D5">
      <w:pPr>
        <w:rPr>
          <w:rFonts w:ascii="Verdana" w:hAnsi="Verdana"/>
          <w:sz w:val="20"/>
          <w:szCs w:val="20"/>
        </w:rPr>
      </w:pPr>
    </w:p>
    <w:tbl>
      <w:tblPr>
        <w:tblStyle w:val="Tabel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60"/>
        <w:gridCol w:w="3006"/>
        <w:gridCol w:w="2902"/>
        <w:gridCol w:w="2674"/>
      </w:tblGrid>
      <w:tr w:rsidR="003A01D5" w:rsidRPr="00DC3563" w:rsidTr="0013168A">
        <w:trPr>
          <w:trHeight w:val="20"/>
          <w:tblHeader/>
        </w:trPr>
        <w:tc>
          <w:tcPr>
            <w:tcW w:w="232" w:type="pct"/>
            <w:tcBorders>
              <w:top w:val="single" w:sz="12" w:space="0" w:color="auto"/>
              <w:left w:val="single" w:sz="12" w:space="0" w:color="auto"/>
            </w:tcBorders>
            <w:shd w:val="clear" w:color="auto" w:fill="FFFFFF" w:themeFill="background1"/>
            <w:hideMark/>
          </w:tcPr>
          <w:p w:rsidR="003A01D5" w:rsidRPr="00DC3563" w:rsidRDefault="003A01D5" w:rsidP="0013168A">
            <w:pPr>
              <w:rPr>
                <w:rFonts w:ascii="Verdana" w:hAnsi="Verdana" w:cstheme="minorHAnsi"/>
                <w:szCs w:val="20"/>
              </w:rPr>
            </w:pPr>
            <w:r w:rsidRPr="00DC3563">
              <w:rPr>
                <w:rFonts w:ascii="Verdana" w:hAnsi="Verdana" w:cstheme="minorHAnsi"/>
                <w:szCs w:val="20"/>
              </w:rPr>
              <w:t>13</w:t>
            </w:r>
          </w:p>
        </w:tc>
        <w:tc>
          <w:tcPr>
            <w:tcW w:w="1409" w:type="pct"/>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Investeringsprogramma’s</w:t>
            </w:r>
          </w:p>
        </w:tc>
        <w:tc>
          <w:tcPr>
            <w:tcW w:w="3358" w:type="pct"/>
            <w:gridSpan w:val="2"/>
            <w:tcBorders>
              <w:top w:val="single" w:sz="12" w:space="0" w:color="auto"/>
              <w:right w:val="single" w:sz="12" w:space="0" w:color="auto"/>
            </w:tcBorders>
            <w:shd w:val="clear" w:color="auto" w:fill="FFFFFF" w:themeFill="background1"/>
            <w:hideMark/>
          </w:tcPr>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We brengen instrumenten en methodieken in kaart voor transparante en meer gebiedsgerichte </w:t>
            </w:r>
            <w:r w:rsidRPr="00DC3563">
              <w:rPr>
                <w:rFonts w:ascii="Verdana" w:hAnsi="Verdana" w:cstheme="minorHAnsi"/>
                <w:b/>
                <w:szCs w:val="20"/>
              </w:rPr>
              <w:t>investeringsprogramma’s en gebiedsenveloppes.</w:t>
            </w:r>
          </w:p>
        </w:tc>
      </w:tr>
      <w:tr w:rsidR="003A01D5" w:rsidRPr="00DC3563" w:rsidTr="0013168A">
        <w:trPr>
          <w:trHeight w:val="20"/>
          <w:tblHeader/>
        </w:trPr>
        <w:tc>
          <w:tcPr>
            <w:tcW w:w="232" w:type="pct"/>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1409" w:type="pct"/>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rPr>
              <w:t>Departement Kanselarij &amp; Bestuur-Team PPS</w:t>
            </w:r>
          </w:p>
        </w:tc>
        <w:tc>
          <w:tcPr>
            <w:tcW w:w="3358" w:type="pct"/>
            <w:gridSpan w:val="2"/>
            <w:tcBorders>
              <w:right w:val="single" w:sz="12" w:space="0" w:color="auto"/>
            </w:tcBorders>
            <w:shd w:val="clear" w:color="auto" w:fill="FFFFFF" w:themeFill="background1"/>
          </w:tcPr>
          <w:p w:rsidR="003A01D5" w:rsidRPr="00DC3563" w:rsidRDefault="003A01D5" w:rsidP="0013168A">
            <w:pPr>
              <w:rPr>
                <w:rFonts w:ascii="Verdana" w:hAnsi="Verdana" w:cstheme="minorHAnsi"/>
                <w:b/>
                <w:szCs w:val="20"/>
                <w:lang w:val="nl-BE"/>
              </w:rPr>
            </w:pPr>
            <w:r w:rsidRPr="00DC3563">
              <w:rPr>
                <w:rFonts w:ascii="Verdana" w:hAnsi="Verdana" w:cstheme="minorHAnsi"/>
                <w:b/>
                <w:szCs w:val="20"/>
                <w:lang w:val="nl-BE"/>
              </w:rPr>
              <w:t>Sleutelpartners</w:t>
            </w:r>
          </w:p>
          <w:p w:rsidR="003A01D5" w:rsidRPr="00DC3563" w:rsidRDefault="003A01D5" w:rsidP="0013168A">
            <w:pPr>
              <w:rPr>
                <w:rFonts w:ascii="Verdana" w:hAnsi="Verdana" w:cstheme="minorHAnsi"/>
                <w:szCs w:val="20"/>
                <w:lang w:val="nl-BE"/>
              </w:rPr>
            </w:pPr>
            <w:r w:rsidRPr="00DC3563">
              <w:rPr>
                <w:rFonts w:ascii="Verdana" w:hAnsi="Verdana" w:cstheme="minorHAnsi"/>
                <w:szCs w:val="20"/>
                <w:lang w:val="nl-BE" w:eastAsia="nl-BE"/>
              </w:rPr>
              <w:t>Departement Omgeving,</w:t>
            </w:r>
            <w:r w:rsidRPr="00DC3563">
              <w:rPr>
                <w:rFonts w:ascii="Verdana" w:hAnsi="Verdana" w:cstheme="minorHAnsi"/>
                <w:szCs w:val="20"/>
                <w:lang w:val="nl-BE"/>
              </w:rPr>
              <w:t xml:space="preserve"> Departement MOW, Departement F&amp;B </w:t>
            </w:r>
          </w:p>
          <w:p w:rsidR="003A01D5" w:rsidRPr="00DC3563" w:rsidRDefault="003A01D5" w:rsidP="0013168A">
            <w:pPr>
              <w:rPr>
                <w:rFonts w:ascii="Verdana" w:hAnsi="Verdana" w:cstheme="minorHAnsi"/>
                <w:szCs w:val="20"/>
                <w:lang w:val="nl-BE"/>
              </w:rPr>
            </w:pPr>
            <w:r w:rsidRPr="00DC3563">
              <w:rPr>
                <w:rFonts w:ascii="Verdana" w:hAnsi="Verdana" w:cstheme="minorHAnsi"/>
                <w:szCs w:val="20"/>
                <w:lang w:val="nl-BE"/>
              </w:rPr>
              <w:t>Steunpunt Bestuurlijke Vernieuwing</w:t>
            </w:r>
          </w:p>
        </w:tc>
      </w:tr>
      <w:tr w:rsidR="003A01D5" w:rsidRPr="00DC3563" w:rsidTr="0013168A">
        <w:trPr>
          <w:trHeight w:val="20"/>
          <w:tblHeader/>
        </w:trPr>
        <w:tc>
          <w:tcPr>
            <w:tcW w:w="232" w:type="pct"/>
            <w:tcBorders>
              <w:left w:val="single" w:sz="12" w:space="0" w:color="auto"/>
              <w:bottom w:val="single" w:sz="12" w:space="0" w:color="auto"/>
            </w:tcBorders>
            <w:shd w:val="clear" w:color="auto" w:fill="FFFFFF" w:themeFill="background1"/>
          </w:tcPr>
          <w:p w:rsidR="003A01D5" w:rsidRPr="00DC3563" w:rsidRDefault="003A01D5" w:rsidP="0013168A">
            <w:pPr>
              <w:rPr>
                <w:rFonts w:ascii="Verdana" w:hAnsi="Verdana" w:cstheme="minorHAnsi"/>
                <w:szCs w:val="20"/>
                <w:lang w:val="nl-BE"/>
              </w:rPr>
            </w:pPr>
          </w:p>
        </w:tc>
        <w:tc>
          <w:tcPr>
            <w:tcW w:w="1409" w:type="pct"/>
            <w:tcBorders>
              <w:bottom w:val="single" w:sz="12" w:space="0" w:color="auto"/>
            </w:tcBorders>
            <w:shd w:val="clear" w:color="auto" w:fill="FFFFFF" w:themeFill="background1"/>
          </w:tcPr>
          <w:p w:rsidR="003A01D5" w:rsidRPr="00DC3563" w:rsidRDefault="003A01D5" w:rsidP="0013168A">
            <w:pPr>
              <w:ind w:left="54"/>
              <w:rPr>
                <w:rFonts w:ascii="Verdana" w:hAnsi="Verdana" w:cstheme="minorHAnsi"/>
                <w:szCs w:val="20"/>
                <w:lang w:val="en-US" w:eastAsia="nl-BE"/>
              </w:rPr>
            </w:pPr>
            <w:r w:rsidRPr="00DC3563">
              <w:rPr>
                <w:rFonts w:ascii="Verdana" w:hAnsi="Verdana" w:cstheme="minorHAnsi"/>
                <w:b/>
                <w:szCs w:val="20"/>
              </w:rPr>
              <w:t>Status: lopend</w:t>
            </w:r>
          </w:p>
        </w:tc>
        <w:tc>
          <w:tcPr>
            <w:tcW w:w="1679" w:type="pct"/>
            <w:tcBorders>
              <w:bottom w:val="single" w:sz="12" w:space="0" w:color="auto"/>
              <w:right w:val="nil"/>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Tussentijdse resultaten</w:t>
            </w:r>
          </w:p>
          <w:p w:rsidR="003A01D5" w:rsidRPr="00DC3563" w:rsidRDefault="003A01D5" w:rsidP="003A01D5">
            <w:pPr>
              <w:pStyle w:val="Lijstalinea"/>
              <w:numPr>
                <w:ilvl w:val="0"/>
                <w:numId w:val="16"/>
              </w:numPr>
              <w:tabs>
                <w:tab w:val="left" w:pos="284"/>
                <w:tab w:val="left" w:pos="567"/>
                <w:tab w:val="left" w:pos="851"/>
                <w:tab w:val="center" w:pos="4394"/>
                <w:tab w:val="right" w:pos="8789"/>
              </w:tabs>
              <w:spacing w:line="276" w:lineRule="auto"/>
              <w:rPr>
                <w:rFonts w:ascii="Verdana" w:hAnsi="Verdana" w:cstheme="minorHAnsi"/>
                <w:szCs w:val="20"/>
              </w:rPr>
            </w:pPr>
            <w:r w:rsidRPr="00DC3563">
              <w:rPr>
                <w:rFonts w:ascii="Verdana" w:hAnsi="Verdana" w:cstheme="minorHAnsi"/>
                <w:szCs w:val="20"/>
              </w:rPr>
              <w:t>Opstart SBV-onderzoekstraject over ‘</w:t>
            </w:r>
            <w:hyperlink r:id="rId9" w:history="1">
              <w:r w:rsidRPr="00DC3563">
                <w:rPr>
                  <w:rStyle w:val="Hyperlink"/>
                  <w:rFonts w:ascii="Verdana" w:hAnsi="Verdana" w:cstheme="minorHAnsi"/>
                  <w:szCs w:val="20"/>
                </w:rPr>
                <w:t>Vlaams investeringsbeleid voor grote infrastructuurprojecten</w:t>
              </w:r>
            </w:hyperlink>
            <w:r w:rsidRPr="00DC3563">
              <w:rPr>
                <w:rFonts w:ascii="Verdana" w:hAnsi="Verdana" w:cstheme="minorHAnsi"/>
                <w:szCs w:val="20"/>
              </w:rPr>
              <w:t xml:space="preserve">’. </w:t>
            </w:r>
          </w:p>
          <w:p w:rsidR="003A01D5" w:rsidRPr="00DC3563" w:rsidRDefault="003A01D5" w:rsidP="003A01D5">
            <w:pPr>
              <w:pStyle w:val="Lijstalinea"/>
              <w:numPr>
                <w:ilvl w:val="0"/>
                <w:numId w:val="16"/>
              </w:numPr>
              <w:tabs>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Onderzoek naar </w:t>
            </w:r>
            <w:proofErr w:type="spellStart"/>
            <w:r w:rsidRPr="00DC3563">
              <w:rPr>
                <w:rFonts w:ascii="Verdana" w:hAnsi="Verdana" w:cstheme="minorHAnsi"/>
                <w:color w:val="000000"/>
                <w:szCs w:val="20"/>
              </w:rPr>
              <w:t>governance</w:t>
            </w:r>
            <w:proofErr w:type="spellEnd"/>
            <w:r w:rsidRPr="00DC3563">
              <w:rPr>
                <w:rFonts w:ascii="Verdana" w:hAnsi="Verdana" w:cstheme="minorHAnsi"/>
                <w:color w:val="000000"/>
                <w:szCs w:val="20"/>
              </w:rPr>
              <w:t>-voorwaarden voor een kwalitatief programma-management van grote infrastructuurprojecten (systeem, instrumenten, processen, rollen en actoren). Vlaamse cases worden daarbij vergeleken met buitenlandse praktijken.</w:t>
            </w:r>
          </w:p>
        </w:tc>
        <w:tc>
          <w:tcPr>
            <w:tcW w:w="1679" w:type="pct"/>
            <w:tcBorders>
              <w:left w:val="nil"/>
              <w:bottom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Verdere aanpak</w:t>
            </w:r>
          </w:p>
          <w:p w:rsidR="003A01D5" w:rsidRPr="00DC3563" w:rsidRDefault="003A01D5" w:rsidP="0013168A">
            <w:pPr>
              <w:rPr>
                <w:rFonts w:ascii="Verdana" w:hAnsi="Verdana" w:cstheme="minorHAnsi"/>
                <w:szCs w:val="20"/>
              </w:rPr>
            </w:pPr>
            <w:r w:rsidRPr="00DC3563">
              <w:rPr>
                <w:rFonts w:ascii="Verdana" w:hAnsi="Verdana" w:cstheme="minorHAnsi"/>
                <w:color w:val="000000"/>
                <w:szCs w:val="20"/>
              </w:rPr>
              <w:t>In de periode 2018-2020 richt het onderzoek zich op het projectniveau, zowel inzake (1) contractmanagement en risicomanagement, (2) stakeholdermanagement, relatie- en procesmanagement, en (3) evaluatie.</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529"/>
        <w:gridCol w:w="6034"/>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14</w:t>
            </w:r>
          </w:p>
        </w:tc>
        <w:tc>
          <w:tcPr>
            <w:tcW w:w="2543" w:type="dxa"/>
            <w:tcBorders>
              <w:top w:val="single" w:sz="12" w:space="0" w:color="auto"/>
            </w:tcBorders>
            <w:shd w:val="clear" w:color="auto" w:fill="auto"/>
          </w:tcPr>
          <w:p w:rsidR="003A01D5" w:rsidRPr="00DC3563" w:rsidRDefault="003A01D5" w:rsidP="0013168A">
            <w:pPr>
              <w:rPr>
                <w:rFonts w:ascii="Verdana" w:hAnsi="Verdana" w:cstheme="minorHAnsi"/>
                <w:b/>
                <w:szCs w:val="20"/>
              </w:rPr>
            </w:pPr>
            <w:proofErr w:type="spellStart"/>
            <w:r w:rsidRPr="00DC3563">
              <w:rPr>
                <w:rFonts w:ascii="Verdana" w:hAnsi="Verdana" w:cstheme="minorHAnsi"/>
                <w:b/>
                <w:szCs w:val="20"/>
              </w:rPr>
              <w:t>TerInvest</w:t>
            </w:r>
            <w:proofErr w:type="spellEnd"/>
          </w:p>
        </w:tc>
        <w:tc>
          <w:tcPr>
            <w:tcW w:w="6072"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We gaan na of het mogelijk is een rollend </w:t>
            </w:r>
            <w:r w:rsidRPr="00DC3563">
              <w:rPr>
                <w:rFonts w:ascii="Verdana" w:hAnsi="Verdana" w:cstheme="minorHAnsi"/>
                <w:b/>
                <w:szCs w:val="20"/>
              </w:rPr>
              <w:t>investeringsfonds</w:t>
            </w:r>
            <w:r w:rsidRPr="00DC3563">
              <w:rPr>
                <w:rFonts w:ascii="Verdana" w:hAnsi="Verdana" w:cstheme="minorHAnsi"/>
                <w:szCs w:val="20"/>
              </w:rPr>
              <w:t xml:space="preserve"> op te richten om overheidsparticipaties in gebiedsontwikkeling en activeringsprojecten mogelijk te maken.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543"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en-US" w:eastAsia="nl-BE"/>
              </w:rPr>
            </w:pPr>
            <w:r w:rsidRPr="00DC3563">
              <w:rPr>
                <w:rFonts w:ascii="Verdana" w:hAnsi="Verdana" w:cstheme="minorHAnsi"/>
                <w:b/>
                <w:szCs w:val="20"/>
                <w:lang w:val="en-US" w:eastAsia="nl-BE"/>
              </w:rPr>
              <w:t>Trekker</w:t>
            </w:r>
          </w:p>
          <w:p w:rsidR="003A01D5" w:rsidRPr="00DC3563" w:rsidRDefault="003A01D5" w:rsidP="0013168A">
            <w:pPr>
              <w:rPr>
                <w:rFonts w:ascii="Verdana" w:hAnsi="Verdana" w:cstheme="minorHAnsi"/>
                <w:szCs w:val="20"/>
                <w:lang w:val="en-US" w:eastAsia="nl-BE"/>
              </w:rPr>
            </w:pPr>
            <w:r w:rsidRPr="00DC3563">
              <w:rPr>
                <w:rFonts w:ascii="Verdana" w:hAnsi="Verdana" w:cstheme="minorHAnsi"/>
                <w:szCs w:val="20"/>
                <w:lang w:val="en-US" w:eastAsia="nl-BE"/>
              </w:rPr>
              <w:t>PMV</w:t>
            </w:r>
          </w:p>
          <w:p w:rsidR="003A01D5" w:rsidRPr="00DC3563" w:rsidRDefault="003A01D5" w:rsidP="0013168A">
            <w:pPr>
              <w:rPr>
                <w:rFonts w:ascii="Verdana" w:hAnsi="Verdana" w:cstheme="minorHAnsi"/>
                <w:szCs w:val="20"/>
                <w:lang w:val="en-US" w:eastAsia="nl-BE"/>
              </w:rPr>
            </w:pPr>
          </w:p>
          <w:p w:rsidR="003A01D5" w:rsidRPr="00DC3563" w:rsidRDefault="003A01D5" w:rsidP="0013168A">
            <w:pPr>
              <w:rPr>
                <w:rFonts w:ascii="Verdana" w:hAnsi="Verdana" w:cstheme="minorHAnsi"/>
                <w:szCs w:val="20"/>
                <w:lang w:val="en-US" w:eastAsia="nl-BE"/>
              </w:rPr>
            </w:pPr>
          </w:p>
          <w:p w:rsidR="003A01D5" w:rsidRPr="00DC3563" w:rsidRDefault="003A01D5" w:rsidP="0013168A">
            <w:pPr>
              <w:rPr>
                <w:rFonts w:ascii="Verdana" w:hAnsi="Verdana" w:cstheme="minorHAnsi"/>
                <w:szCs w:val="20"/>
                <w:lang w:val="en-US" w:eastAsia="nl-BE"/>
              </w:rPr>
            </w:pPr>
          </w:p>
          <w:p w:rsidR="003A01D5" w:rsidRPr="00DC3563" w:rsidRDefault="003A01D5" w:rsidP="0013168A">
            <w:pPr>
              <w:rPr>
                <w:rFonts w:ascii="Verdana" w:hAnsi="Verdana" w:cstheme="minorHAnsi"/>
                <w:szCs w:val="20"/>
                <w:lang w:val="en-US" w:eastAsia="nl-BE"/>
              </w:rPr>
            </w:pPr>
          </w:p>
          <w:p w:rsidR="003A01D5" w:rsidRPr="00DC3563" w:rsidRDefault="003A01D5" w:rsidP="0013168A">
            <w:pPr>
              <w:rPr>
                <w:rFonts w:ascii="Verdana" w:hAnsi="Verdana" w:cstheme="minorHAnsi"/>
                <w:szCs w:val="20"/>
                <w:lang w:val="en-US" w:eastAsia="nl-BE"/>
              </w:rPr>
            </w:pPr>
            <w:r w:rsidRPr="00DC3563">
              <w:rPr>
                <w:rFonts w:ascii="Verdana" w:hAnsi="Verdana" w:cstheme="minorHAnsi"/>
                <w:b/>
                <w:szCs w:val="20"/>
              </w:rPr>
              <w:t>Status: afgewerkt</w:t>
            </w:r>
          </w:p>
        </w:tc>
        <w:tc>
          <w:tcPr>
            <w:tcW w:w="6072" w:type="dxa"/>
            <w:tcBorders>
              <w:bottom w:val="single" w:sz="12" w:space="0" w:color="auto"/>
              <w:right w:val="single" w:sz="12" w:space="0" w:color="auto"/>
            </w:tcBorders>
            <w:shd w:val="clear" w:color="auto" w:fill="auto"/>
          </w:tcPr>
          <w:p w:rsidR="003A01D5" w:rsidRPr="00DC3563" w:rsidRDefault="003A01D5" w:rsidP="0013168A">
            <w:pPr>
              <w:jc w:val="both"/>
              <w:rPr>
                <w:rFonts w:ascii="Verdana" w:hAnsi="Verdana" w:cstheme="minorHAnsi"/>
                <w:szCs w:val="20"/>
              </w:rPr>
            </w:pPr>
            <w:r w:rsidRPr="00DC3563">
              <w:rPr>
                <w:rFonts w:ascii="Verdana" w:hAnsi="Verdana" w:cstheme="minorHAnsi"/>
                <w:szCs w:val="20"/>
              </w:rPr>
              <w:t xml:space="preserve">Het oprichten van een investeringsfonds blijkt na onderzoek haalbaar op voorwaarde dat de overheid voldoende garant kan staan voor continue en voldoende grote investeringsbudgetten en actieve opvolging van de projecten. Het werken via een investeringsfonds genereert een groter investeringsrisico (dan vb. subsidies) en is niet evident om op korte termijn te realiseren. Deze actie werd afgerond na </w:t>
            </w:r>
            <w:proofErr w:type="spellStart"/>
            <w:r w:rsidRPr="00DC3563">
              <w:rPr>
                <w:rFonts w:ascii="Verdana" w:hAnsi="Verdana" w:cstheme="minorHAnsi"/>
                <w:szCs w:val="20"/>
              </w:rPr>
              <w:t>finalisering</w:t>
            </w:r>
            <w:proofErr w:type="spellEnd"/>
            <w:r w:rsidRPr="00DC3563">
              <w:rPr>
                <w:rFonts w:ascii="Verdana" w:hAnsi="Verdana" w:cstheme="minorHAnsi"/>
                <w:szCs w:val="20"/>
              </w:rPr>
              <w:t xml:space="preserve"> van het haalbaarheidsonderzoek.</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531"/>
        <w:gridCol w:w="6032"/>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15</w:t>
            </w:r>
          </w:p>
        </w:tc>
        <w:tc>
          <w:tcPr>
            <w:tcW w:w="2543"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Publieke regierol</w:t>
            </w:r>
          </w:p>
        </w:tc>
        <w:tc>
          <w:tcPr>
            <w:tcW w:w="6072" w:type="dxa"/>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rPr>
              <w:t xml:space="preserve">We brengen goede praktijken en (bestaande en/of benodigde) instrumenten in kaart die worden ingezet om als overheid een </w:t>
            </w:r>
            <w:r w:rsidRPr="00DC3563">
              <w:rPr>
                <w:rFonts w:ascii="Verdana" w:hAnsi="Verdana" w:cstheme="minorHAnsi"/>
                <w:b/>
                <w:szCs w:val="20"/>
              </w:rPr>
              <w:t>regierol</w:t>
            </w:r>
            <w:r w:rsidRPr="00DC3563">
              <w:rPr>
                <w:rFonts w:ascii="Verdana" w:hAnsi="Verdana" w:cstheme="minorHAnsi"/>
                <w:szCs w:val="20"/>
              </w:rPr>
              <w:t xml:space="preserve"> bij grondbeleid te kunnen innemen en </w:t>
            </w:r>
            <w:r w:rsidRPr="00DC3563">
              <w:rPr>
                <w:rFonts w:ascii="Verdana" w:hAnsi="Verdana" w:cstheme="minorHAnsi"/>
                <w:szCs w:val="20"/>
                <w:lang w:val="nl" w:eastAsia="nl-BE"/>
              </w:rPr>
              <w:t>detecteren hieruit relevante beleidsaanbevelingen voor de toekomst.</w:t>
            </w:r>
          </w:p>
        </w:tc>
      </w:tr>
      <w:tr w:rsidR="003A01D5" w:rsidRPr="00DC3563" w:rsidTr="0013168A">
        <w:trPr>
          <w:trHeight w:val="20"/>
          <w:tblHeader/>
        </w:trPr>
        <w:tc>
          <w:tcPr>
            <w:tcW w:w="0" w:type="auto"/>
            <w:tcBorders>
              <w:left w:val="single" w:sz="12" w:space="0" w:color="auto"/>
              <w:bottom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2543"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BE" w:eastAsia="nl-BE"/>
              </w:rPr>
            </w:pPr>
            <w:r w:rsidRPr="00DC3563">
              <w:rPr>
                <w:rFonts w:ascii="Verdana" w:hAnsi="Verdana" w:cstheme="minorHAnsi"/>
                <w:b/>
                <w:szCs w:val="20"/>
                <w:lang w:val="nl-BE" w:eastAsia="nl-BE"/>
              </w:rPr>
              <w:t>Trekker</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Departement Omgeving</w:t>
            </w: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p>
          <w:p w:rsidR="003A01D5" w:rsidRPr="00DC3563" w:rsidRDefault="003A01D5" w:rsidP="0013168A">
            <w:pPr>
              <w:rPr>
                <w:rFonts w:ascii="Verdana" w:hAnsi="Verdana" w:cstheme="minorHAnsi"/>
                <w:szCs w:val="20"/>
                <w:lang w:val="nl-BE" w:eastAsia="nl-BE"/>
              </w:rPr>
            </w:pPr>
            <w:r w:rsidRPr="00DC3563">
              <w:rPr>
                <w:rFonts w:ascii="Verdana" w:hAnsi="Verdana" w:cstheme="minorHAnsi"/>
                <w:b/>
                <w:szCs w:val="20"/>
              </w:rPr>
              <w:t>Status: afgewerkt</w:t>
            </w:r>
          </w:p>
        </w:tc>
        <w:tc>
          <w:tcPr>
            <w:tcW w:w="6072" w:type="dxa"/>
            <w:tcBorders>
              <w:bottom w:val="single" w:sz="12" w:space="0" w:color="auto"/>
              <w:right w:val="single" w:sz="12" w:space="0" w:color="auto"/>
            </w:tcBorders>
            <w:shd w:val="clear" w:color="auto" w:fill="FFFFFF" w:themeFill="background1"/>
          </w:tcPr>
          <w:p w:rsidR="003A01D5" w:rsidRPr="00DC3563" w:rsidRDefault="003A01D5" w:rsidP="0013168A">
            <w:pPr>
              <w:shd w:val="clear" w:color="auto" w:fill="FFFFFF"/>
              <w:rPr>
                <w:rFonts w:ascii="Verdana" w:hAnsi="Verdana" w:cstheme="minorHAnsi"/>
                <w:szCs w:val="20"/>
                <w:lang w:val="nl-BE" w:eastAsia="nl-BE"/>
              </w:rPr>
            </w:pPr>
            <w:r w:rsidRPr="00DC3563">
              <w:rPr>
                <w:rFonts w:ascii="Verdana" w:hAnsi="Verdana" w:cstheme="minorHAnsi"/>
                <w:szCs w:val="20"/>
                <w:lang w:val="nl-BE"/>
              </w:rPr>
              <w:t>Het o</w:t>
            </w:r>
            <w:proofErr w:type="spellStart"/>
            <w:r w:rsidRPr="00DC3563">
              <w:rPr>
                <w:rFonts w:ascii="Verdana" w:hAnsi="Verdana" w:cstheme="minorHAnsi"/>
                <w:szCs w:val="20"/>
              </w:rPr>
              <w:t>nderzoeksrapport</w:t>
            </w:r>
            <w:proofErr w:type="spellEnd"/>
            <w:r w:rsidRPr="00DC3563">
              <w:rPr>
                <w:rFonts w:ascii="Verdana" w:hAnsi="Verdana" w:cstheme="minorHAnsi"/>
                <w:szCs w:val="20"/>
              </w:rPr>
              <w:t xml:space="preserve"> ‘</w:t>
            </w:r>
            <w:hyperlink r:id="rId10" w:history="1">
              <w:r w:rsidRPr="00DC3563">
                <w:rPr>
                  <w:rStyle w:val="Hyperlink"/>
                  <w:rFonts w:ascii="Verdana" w:hAnsi="Verdana" w:cstheme="minorHAnsi"/>
                  <w:szCs w:val="20"/>
                  <w:lang w:val="nl-BE"/>
                </w:rPr>
                <w:t>Publieke grondregie bij ruimtelijke realisaties: instrumentele en bestuurlijk-organisatorische randvoorwaarden</w:t>
              </w:r>
            </w:hyperlink>
            <w:r w:rsidRPr="00DC3563">
              <w:rPr>
                <w:rFonts w:ascii="Verdana" w:hAnsi="Verdana" w:cstheme="minorHAnsi"/>
                <w:szCs w:val="20"/>
              </w:rPr>
              <w:t xml:space="preserve">’ werd opgeleverd eind 2016. </w:t>
            </w:r>
            <w:r w:rsidRPr="00DC3563">
              <w:rPr>
                <w:rFonts w:ascii="Verdana" w:hAnsi="Verdana" w:cstheme="minorHAnsi"/>
                <w:szCs w:val="20"/>
                <w:lang w:val="nl-BE" w:eastAsia="nl-BE"/>
              </w:rPr>
              <w:t>De studie is vooral praktijkgericht en omvat drie fasen.</w:t>
            </w:r>
          </w:p>
          <w:p w:rsidR="003A01D5" w:rsidRPr="00DC3563" w:rsidRDefault="003A01D5" w:rsidP="003A01D5">
            <w:pPr>
              <w:numPr>
                <w:ilvl w:val="0"/>
                <w:numId w:val="13"/>
              </w:numPr>
              <w:shd w:val="clear" w:color="auto" w:fill="FFFFFF"/>
              <w:spacing w:after="100" w:afterAutospacing="1"/>
              <w:rPr>
                <w:rFonts w:ascii="Verdana" w:hAnsi="Verdana" w:cstheme="minorHAnsi"/>
                <w:szCs w:val="20"/>
                <w:lang w:val="nl-BE" w:eastAsia="nl-BE"/>
              </w:rPr>
            </w:pPr>
            <w:r w:rsidRPr="00DC3563">
              <w:rPr>
                <w:rFonts w:ascii="Verdana" w:hAnsi="Verdana" w:cstheme="minorHAnsi"/>
                <w:szCs w:val="20"/>
                <w:lang w:val="nl-BE" w:eastAsia="nl-BE"/>
              </w:rPr>
              <w:t xml:space="preserve">Inventarisatieronde van praktijkcases om inzicht te krijgen in de bestaande grondregie-aspecten, gehanteerde instrumenten en </w:t>
            </w:r>
            <w:proofErr w:type="spellStart"/>
            <w:r w:rsidRPr="00DC3563">
              <w:rPr>
                <w:rFonts w:ascii="Verdana" w:hAnsi="Verdana" w:cstheme="minorHAnsi"/>
                <w:szCs w:val="20"/>
                <w:lang w:val="nl-BE" w:eastAsia="nl-BE"/>
              </w:rPr>
              <w:t>governance</w:t>
            </w:r>
            <w:proofErr w:type="spellEnd"/>
            <w:r w:rsidRPr="00DC3563">
              <w:rPr>
                <w:rFonts w:ascii="Verdana" w:hAnsi="Verdana" w:cstheme="minorHAnsi"/>
                <w:szCs w:val="20"/>
                <w:lang w:val="nl-BE" w:eastAsia="nl-BE"/>
              </w:rPr>
              <w:t>-modellen.</w:t>
            </w:r>
          </w:p>
          <w:p w:rsidR="003A01D5" w:rsidRPr="00DC3563" w:rsidRDefault="003A01D5" w:rsidP="003A01D5">
            <w:pPr>
              <w:numPr>
                <w:ilvl w:val="0"/>
                <w:numId w:val="13"/>
              </w:numPr>
              <w:shd w:val="clear" w:color="auto" w:fill="FFFFFF"/>
              <w:spacing w:after="100" w:afterAutospacing="1"/>
              <w:rPr>
                <w:rFonts w:ascii="Verdana" w:hAnsi="Verdana" w:cstheme="minorHAnsi"/>
                <w:szCs w:val="20"/>
                <w:lang w:val="nl-BE" w:eastAsia="nl-BE"/>
              </w:rPr>
            </w:pPr>
            <w:r w:rsidRPr="00DC3563">
              <w:rPr>
                <w:rFonts w:ascii="Verdana" w:hAnsi="Verdana" w:cstheme="minorHAnsi"/>
                <w:szCs w:val="20"/>
                <w:lang w:val="nl-BE" w:eastAsia="nl-BE"/>
              </w:rPr>
              <w:t>Er werd een theoretisch schema ontwikkeld vanuit de verschillen die werden vastgesteld tussen de huidige praktijk en de gewenste rolverschuiving over publieke grondregie.</w:t>
            </w:r>
          </w:p>
          <w:p w:rsidR="003A01D5" w:rsidRPr="00DC3563" w:rsidRDefault="003A01D5" w:rsidP="003A01D5">
            <w:pPr>
              <w:numPr>
                <w:ilvl w:val="0"/>
                <w:numId w:val="13"/>
              </w:numPr>
              <w:shd w:val="clear" w:color="auto" w:fill="FFFFFF"/>
              <w:rPr>
                <w:rFonts w:ascii="Verdana" w:hAnsi="Verdana" w:cstheme="minorHAnsi"/>
                <w:szCs w:val="20"/>
                <w:lang w:val="nl-BE" w:eastAsia="nl-BE"/>
              </w:rPr>
            </w:pPr>
            <w:r w:rsidRPr="00DC3563">
              <w:rPr>
                <w:rFonts w:ascii="Verdana" w:hAnsi="Verdana" w:cstheme="minorHAnsi"/>
                <w:szCs w:val="20"/>
                <w:lang w:val="nl-BE" w:eastAsia="nl-BE"/>
              </w:rPr>
              <w:t>Verder onderzoek naar bepaalde elementen en uitwerken en aftoetsen van beleidsaanbevelingen.</w:t>
            </w:r>
          </w:p>
          <w:p w:rsidR="003A01D5" w:rsidRPr="00DC3563" w:rsidRDefault="003A01D5" w:rsidP="0013168A">
            <w:pPr>
              <w:shd w:val="clear" w:color="auto" w:fill="FFFFFF"/>
              <w:rPr>
                <w:rFonts w:ascii="Verdana" w:hAnsi="Verdana" w:cs="Arial"/>
                <w:szCs w:val="20"/>
                <w:lang w:val="nl-BE" w:eastAsia="nl-BE"/>
              </w:rPr>
            </w:pPr>
            <w:r w:rsidRPr="00DC3563">
              <w:rPr>
                <w:rFonts w:ascii="Verdana" w:hAnsi="Verdana" w:cstheme="minorHAnsi"/>
                <w:szCs w:val="20"/>
                <w:lang w:val="nl-BE" w:eastAsia="nl-BE"/>
              </w:rPr>
              <w:t xml:space="preserve">De praktijkvoorbeelden lieten zien dat de overheid momenteel vooral een rol opneemt door zakelijke rechten te vestigen op gronden of eigen gronden te activeren. Het onderzoek focust daarom op een </w:t>
            </w:r>
            <w:r w:rsidRPr="00DC3563">
              <w:rPr>
                <w:rFonts w:ascii="Verdana" w:hAnsi="Verdana" w:cstheme="minorHAnsi"/>
                <w:bCs/>
                <w:szCs w:val="20"/>
                <w:lang w:val="nl-BE" w:eastAsia="nl-BE"/>
              </w:rPr>
              <w:t>andere rol van de overheid en de behoefte om een andere aanpak te gebruiken</w:t>
            </w:r>
            <w:r w:rsidRPr="00DC3563">
              <w:rPr>
                <w:rFonts w:ascii="Verdana" w:hAnsi="Verdana" w:cstheme="minorHAnsi"/>
                <w:szCs w:val="20"/>
                <w:lang w:val="nl-BE" w:eastAsia="nl-BE"/>
              </w:rPr>
              <w:t xml:space="preserve"> specifiek in transformatiegebieden waar de overheid geen dominante grondpositie heeft.</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471"/>
        <w:gridCol w:w="6100"/>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16</w:t>
            </w:r>
          </w:p>
        </w:tc>
        <w:tc>
          <w:tcPr>
            <w:tcW w:w="24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Transparantie kosten en baten grondbeleid</w:t>
            </w:r>
          </w:p>
        </w:tc>
        <w:tc>
          <w:tcPr>
            <w:tcW w:w="6124"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ontwikkelen of verbeteren methodieken om </w:t>
            </w:r>
            <w:r w:rsidRPr="00DC3563">
              <w:rPr>
                <w:rFonts w:ascii="Verdana" w:hAnsi="Verdana" w:cstheme="minorHAnsi"/>
                <w:b/>
                <w:szCs w:val="20"/>
              </w:rPr>
              <w:t>kosten en baten verbonden aan grondbeleid</w:t>
            </w:r>
            <w:r w:rsidRPr="00DC3563">
              <w:rPr>
                <w:rFonts w:ascii="Verdana" w:hAnsi="Verdana" w:cstheme="minorHAnsi"/>
                <w:szCs w:val="20"/>
              </w:rPr>
              <w:t xml:space="preserve"> in kaart te brengen en te komen tot een hogere bewustmaking over de financiële gevolgen van ruimtelijk beleid.</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476" w:type="dxa"/>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on-</w:t>
            </w:r>
            <w:proofErr w:type="spellStart"/>
            <w:r w:rsidRPr="00DC3563">
              <w:rPr>
                <w:rFonts w:ascii="Verdana" w:hAnsi="Verdana" w:cstheme="minorHAnsi"/>
                <w:b/>
                <w:szCs w:val="20"/>
              </w:rPr>
              <w:t>hold</w:t>
            </w:r>
            <w:proofErr w:type="spellEnd"/>
          </w:p>
        </w:tc>
        <w:tc>
          <w:tcPr>
            <w:tcW w:w="6124"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In het kader van andere acties worden berekeningswijzen voor kosten en baten verbonden aan ruimtelijke realisaties geëxpliciteerd:</w:t>
            </w:r>
          </w:p>
          <w:p w:rsidR="003A01D5" w:rsidRPr="00DC3563" w:rsidRDefault="003A01D5" w:rsidP="003A01D5">
            <w:pPr>
              <w:pStyle w:val="Lijstalinea"/>
              <w:numPr>
                <w:ilvl w:val="0"/>
                <w:numId w:val="8"/>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Het onderzoek naar financiële vereveningsmodellen tussen lokale overheden (actie 3) leverde een financieel rekenmodel op met inkomsten- en uitgavenposten op het niveau van een gemeente bij de ontwikkeling van woongebieden en bedrijventerreinen.</w:t>
            </w:r>
          </w:p>
          <w:p w:rsidR="003A01D5" w:rsidRPr="00DC3563" w:rsidRDefault="003A01D5" w:rsidP="003A01D5">
            <w:pPr>
              <w:pStyle w:val="Lijstalinea"/>
              <w:numPr>
                <w:ilvl w:val="0"/>
                <w:numId w:val="8"/>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De pilootprojecten rond planologische ruil (actie 4a) en het netwerk waardebepaling (actie 20) hebben als doel om overeenstemming te vinden in basisgegevens en methodieken voor waardebepaling van gronden en gebouwen.</w:t>
            </w:r>
          </w:p>
          <w:p w:rsidR="003A01D5" w:rsidRPr="00DC3563" w:rsidRDefault="003A01D5" w:rsidP="003A01D5">
            <w:pPr>
              <w:pStyle w:val="Lijstalinea"/>
              <w:numPr>
                <w:ilvl w:val="0"/>
                <w:numId w:val="8"/>
              </w:numPr>
              <w:tabs>
                <w:tab w:val="left" w:pos="284"/>
                <w:tab w:val="left" w:pos="567"/>
                <w:tab w:val="left" w:pos="851"/>
                <w:tab w:val="center" w:pos="4394"/>
                <w:tab w:val="right" w:pos="8789"/>
              </w:tabs>
              <w:rPr>
                <w:rFonts w:ascii="Verdana" w:hAnsi="Verdana" w:cstheme="minorHAnsi"/>
                <w:szCs w:val="20"/>
                <w:lang w:val="nl-BE" w:eastAsia="nl-BE"/>
              </w:rPr>
            </w:pPr>
            <w:r w:rsidRPr="00DC3563">
              <w:rPr>
                <w:rFonts w:ascii="Verdana" w:hAnsi="Verdana" w:cstheme="minorHAnsi"/>
                <w:szCs w:val="20"/>
                <w:lang w:val="nl-BE" w:eastAsia="nl-BE"/>
              </w:rPr>
              <w:t>Een grotere bewustmaking over kosten en baten verbonden aan ruimtelijke ontwikkelingen wordt impliciet ook beoogd bij een systeem van verhandelbare ontwikkelingsrechten (actie 4b).</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Zodra deze acties zijn gefinaliseerd, kan worden bekeken hoe de gebruikte tools en methodieken kunnen samengebracht worden.</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253"/>
        <w:gridCol w:w="6310"/>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17</w:t>
            </w:r>
          </w:p>
        </w:tc>
        <w:tc>
          <w:tcPr>
            <w:tcW w:w="2260"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Kennisdeling publieke regie</w:t>
            </w:r>
          </w:p>
        </w:tc>
        <w:tc>
          <w:tcPr>
            <w:tcW w:w="6355" w:type="dxa"/>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We voorzien in de </w:t>
            </w:r>
            <w:r w:rsidRPr="00DC3563">
              <w:rPr>
                <w:rFonts w:ascii="Verdana" w:hAnsi="Verdana" w:cstheme="minorHAnsi"/>
                <w:b/>
                <w:szCs w:val="20"/>
              </w:rPr>
              <w:t>pooling en uitwisseling van deskundigheid</w:t>
            </w:r>
            <w:r w:rsidRPr="00DC3563">
              <w:rPr>
                <w:rFonts w:ascii="Verdana" w:hAnsi="Verdana" w:cstheme="minorHAnsi"/>
                <w:szCs w:val="20"/>
              </w:rPr>
              <w:t xml:space="preserve"> inzake publieke regie.</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260"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Trekker</w:t>
            </w:r>
          </w:p>
          <w:p w:rsidR="003A01D5" w:rsidRPr="00DC3563" w:rsidRDefault="003A01D5" w:rsidP="0013168A">
            <w:pPr>
              <w:rPr>
                <w:rFonts w:ascii="Verdana" w:hAnsi="Verdana" w:cstheme="minorHAnsi"/>
                <w:szCs w:val="20"/>
              </w:rPr>
            </w:pPr>
            <w:r w:rsidRPr="00DC3563">
              <w:rPr>
                <w:rFonts w:ascii="Verdana" w:hAnsi="Verdana" w:cstheme="minorHAnsi"/>
                <w:szCs w:val="20"/>
              </w:rPr>
              <w:t>Departement Omgeving</w:t>
            </w: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r w:rsidRPr="00DC3563">
              <w:rPr>
                <w:rFonts w:ascii="Verdana" w:hAnsi="Verdana" w:cstheme="minorHAnsi"/>
                <w:b/>
                <w:szCs w:val="20"/>
              </w:rPr>
              <w:t>Status: afgewerkt</w:t>
            </w:r>
          </w:p>
        </w:tc>
        <w:tc>
          <w:tcPr>
            <w:tcW w:w="6355" w:type="dxa"/>
            <w:tcBorders>
              <w:bottom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Het onderzoek voor actie 14 is opgevat als een sterk co-productief traject dat samen met een ruime groep aan projectleiders en praktijkdeskundigen wordt doorlopen. De workshops met deze personen vormen in feite al een forum voor kennisdeling over publieke regie en geven in die zin al deels uitvoering aan deze actie.</w:t>
            </w:r>
          </w:p>
        </w:tc>
      </w:tr>
    </w:tbl>
    <w:p w:rsidR="003A01D5" w:rsidRPr="00DC3563" w:rsidRDefault="003A01D5" w:rsidP="003A01D5">
      <w:pPr>
        <w:rPr>
          <w:rFonts w:ascii="Verdana" w:hAnsi="Verdana"/>
          <w:sz w:val="20"/>
          <w:szCs w:val="20"/>
        </w:rPr>
      </w:pPr>
    </w:p>
    <w:tbl>
      <w:tblPr>
        <w:tblStyle w:val="Tabel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1"/>
        <w:gridCol w:w="2240"/>
        <w:gridCol w:w="6331"/>
      </w:tblGrid>
      <w:tr w:rsidR="003A01D5" w:rsidRPr="00DC3563" w:rsidTr="0013168A">
        <w:trPr>
          <w:trHeight w:val="20"/>
        </w:trPr>
        <w:tc>
          <w:tcPr>
            <w:tcW w:w="232" w:type="pct"/>
            <w:tcBorders>
              <w:top w:val="single" w:sz="12" w:space="0" w:color="auto"/>
              <w:left w:val="single" w:sz="12" w:space="0" w:color="auto"/>
            </w:tcBorders>
          </w:tcPr>
          <w:p w:rsidR="003A01D5" w:rsidRPr="00DC3563" w:rsidRDefault="003A01D5" w:rsidP="0013168A">
            <w:pPr>
              <w:rPr>
                <w:rFonts w:ascii="Verdana" w:hAnsi="Verdana" w:cstheme="minorHAnsi"/>
                <w:szCs w:val="20"/>
              </w:rPr>
            </w:pPr>
            <w:r w:rsidRPr="00DC3563">
              <w:rPr>
                <w:rFonts w:ascii="Verdana" w:hAnsi="Verdana" w:cstheme="minorHAnsi"/>
                <w:szCs w:val="20"/>
              </w:rPr>
              <w:t>18</w:t>
            </w:r>
          </w:p>
        </w:tc>
        <w:tc>
          <w:tcPr>
            <w:tcW w:w="1253" w:type="pct"/>
            <w:tcBorders>
              <w:top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Fiscaliteit</w:t>
            </w:r>
          </w:p>
        </w:tc>
        <w:tc>
          <w:tcPr>
            <w:tcW w:w="3515" w:type="pct"/>
            <w:tcBorders>
              <w:top w:val="single" w:sz="12" w:space="0" w:color="auto"/>
              <w:right w:val="single" w:sz="12" w:space="0" w:color="auto"/>
            </w:tcBorders>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inventariseren en screenen </w:t>
            </w:r>
            <w:r w:rsidRPr="00DC3563">
              <w:rPr>
                <w:rFonts w:ascii="Verdana" w:hAnsi="Verdana" w:cstheme="minorHAnsi"/>
                <w:b/>
                <w:szCs w:val="20"/>
              </w:rPr>
              <w:t>fiscale maatregelen</w:t>
            </w:r>
            <w:r w:rsidRPr="00DC3563">
              <w:rPr>
                <w:rFonts w:ascii="Verdana" w:hAnsi="Verdana" w:cstheme="minorHAnsi"/>
                <w:szCs w:val="20"/>
              </w:rPr>
              <w:t xml:space="preserve"> (zoals heffingen of vrijstellingen) naar hun impact op grondbeleid en leiden hieruit voorstellen af ter verbetering.</w:t>
            </w:r>
          </w:p>
        </w:tc>
      </w:tr>
      <w:tr w:rsidR="003A01D5" w:rsidRPr="00DC3563" w:rsidTr="0013168A">
        <w:trPr>
          <w:trHeight w:val="20"/>
        </w:trPr>
        <w:tc>
          <w:tcPr>
            <w:tcW w:w="232" w:type="pct"/>
            <w:tcBorders>
              <w:left w:val="single" w:sz="12" w:space="0" w:color="auto"/>
              <w:bottom w:val="single" w:sz="12" w:space="0" w:color="auto"/>
            </w:tcBorders>
          </w:tcPr>
          <w:p w:rsidR="003A01D5" w:rsidRPr="00DC3563" w:rsidRDefault="003A01D5" w:rsidP="0013168A">
            <w:pPr>
              <w:rPr>
                <w:rFonts w:ascii="Verdana" w:hAnsi="Verdana" w:cstheme="minorHAnsi"/>
                <w:szCs w:val="20"/>
              </w:rPr>
            </w:pPr>
          </w:p>
        </w:tc>
        <w:tc>
          <w:tcPr>
            <w:tcW w:w="1253" w:type="pct"/>
            <w:tcBorders>
              <w:bottom w:val="single" w:sz="12" w:space="0" w:color="auto"/>
            </w:tcBorders>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Departement Omgeving</w:t>
            </w: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in voorbereiding</w:t>
            </w:r>
          </w:p>
        </w:tc>
        <w:tc>
          <w:tcPr>
            <w:tcW w:w="3515" w:type="pct"/>
            <w:tcBorders>
              <w:bottom w:val="single" w:sz="12" w:space="0" w:color="auto"/>
              <w:right w:val="single" w:sz="12" w:space="0" w:color="auto"/>
            </w:tcBorders>
          </w:tcPr>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 xml:space="preserve">In 2019 zal het departement Omgeving een opdracht uitbesteden voor het onderzoek naar fiscale instrumenten binnen omgeving. Hiermee wordt een voorafname bereikt op een mogelijk ruimer onderzoek in een volgende stap. </w:t>
            </w:r>
          </w:p>
          <w:p w:rsidR="003A01D5" w:rsidRPr="00DC3563" w:rsidRDefault="003A01D5" w:rsidP="0013168A">
            <w:pPr>
              <w:pStyle w:val="paragraph"/>
              <w:jc w:val="both"/>
              <w:textAlignment w:val="baseline"/>
              <w:rPr>
                <w:rStyle w:val="normaltextrun1"/>
                <w:rFonts w:ascii="Verdana" w:hAnsi="Verdana" w:cs="Calibri"/>
                <w:sz w:val="20"/>
                <w:szCs w:val="20"/>
              </w:rPr>
            </w:pPr>
            <w:r w:rsidRPr="00DC3563">
              <w:rPr>
                <w:rStyle w:val="normaltextrun1"/>
                <w:rFonts w:ascii="Verdana" w:hAnsi="Verdana" w:cs="Calibri"/>
                <w:sz w:val="20"/>
                <w:szCs w:val="20"/>
              </w:rPr>
              <w:t>Aan de hand van het onderzoek wil het departement Omgeving pistes uitwerken hoe fiscale instrumenten op vlak van omgevingsbeleid in Vlaanderen ingezet kunnen worden in het kader van de realisatie van de strategische visie BRV.</w:t>
            </w:r>
          </w:p>
          <w:p w:rsidR="003A01D5" w:rsidRPr="00DC3563" w:rsidRDefault="003A01D5" w:rsidP="0013168A">
            <w:pPr>
              <w:pStyle w:val="paragraph"/>
              <w:jc w:val="both"/>
              <w:textAlignment w:val="baseline"/>
              <w:rPr>
                <w:rStyle w:val="normaltextrun1"/>
                <w:rFonts w:ascii="Verdana" w:hAnsi="Verdana" w:cs="Calibri"/>
                <w:sz w:val="20"/>
                <w:szCs w:val="20"/>
              </w:rPr>
            </w:pPr>
            <w:r w:rsidRPr="00DC3563">
              <w:rPr>
                <w:rStyle w:val="normaltextrun1"/>
                <w:rFonts w:ascii="Verdana" w:hAnsi="Verdana" w:cs="Calibri"/>
                <w:sz w:val="20"/>
                <w:szCs w:val="20"/>
              </w:rPr>
              <w:t>Het onderzoek bevat twee aspecten:</w:t>
            </w:r>
          </w:p>
          <w:p w:rsidR="003A01D5" w:rsidRPr="00DC3563" w:rsidRDefault="003A01D5" w:rsidP="003A01D5">
            <w:pPr>
              <w:pStyle w:val="paragraph"/>
              <w:numPr>
                <w:ilvl w:val="0"/>
                <w:numId w:val="14"/>
              </w:numPr>
              <w:spacing w:line="276" w:lineRule="auto"/>
              <w:ind w:left="348"/>
              <w:jc w:val="both"/>
              <w:rPr>
                <w:rStyle w:val="normaltextrun1"/>
                <w:rFonts w:ascii="Verdana" w:hAnsi="Verdana" w:cs="Calibri"/>
                <w:sz w:val="20"/>
                <w:szCs w:val="20"/>
              </w:rPr>
            </w:pPr>
            <w:r w:rsidRPr="00DC3563">
              <w:rPr>
                <w:rStyle w:val="normaltextrun1"/>
                <w:rFonts w:ascii="Verdana" w:hAnsi="Verdana" w:cs="Calibri"/>
                <w:sz w:val="20"/>
                <w:szCs w:val="20"/>
              </w:rPr>
              <w:t xml:space="preserve">Inventarisatie en evaluatie van bestaande fiscale instrumenten binnen omgeving met het oog op optimalisatie. Het is de bedoeling dat dit zowel voor ruimtelijke ordening als leefmilieu onderzocht wordt. Voor ruimtelijke ordening kan gedacht worden aan de heffing van leegstaande bedrijfsruimten. </w:t>
            </w:r>
          </w:p>
          <w:p w:rsidR="003A01D5" w:rsidRPr="00DC3563" w:rsidRDefault="003A01D5" w:rsidP="003A01D5">
            <w:pPr>
              <w:pStyle w:val="paragraph"/>
              <w:numPr>
                <w:ilvl w:val="0"/>
                <w:numId w:val="14"/>
              </w:numPr>
              <w:spacing w:line="276" w:lineRule="auto"/>
              <w:ind w:left="360"/>
              <w:jc w:val="both"/>
              <w:rPr>
                <w:rFonts w:ascii="Verdana" w:hAnsi="Verdana"/>
                <w:sz w:val="20"/>
                <w:szCs w:val="20"/>
              </w:rPr>
            </w:pPr>
            <w:r w:rsidRPr="00DC3563">
              <w:rPr>
                <w:rStyle w:val="normaltextrun1"/>
                <w:rFonts w:ascii="Verdana" w:hAnsi="Verdana" w:cs="Calibri"/>
                <w:sz w:val="20"/>
                <w:szCs w:val="20"/>
              </w:rPr>
              <w:t>Exploreren van principes van fiscaliteit binnen omgeving vanuit het wortel en stok principe (</w:t>
            </w:r>
            <w:proofErr w:type="spellStart"/>
            <w:r w:rsidRPr="00DC3563">
              <w:rPr>
                <w:rStyle w:val="normaltextrun1"/>
                <w:rFonts w:ascii="Verdana" w:hAnsi="Verdana" w:cs="Calibri"/>
                <w:sz w:val="20"/>
                <w:szCs w:val="20"/>
              </w:rPr>
              <w:t>belastingsvoordelen</w:t>
            </w:r>
            <w:proofErr w:type="spellEnd"/>
            <w:r w:rsidRPr="00DC3563">
              <w:rPr>
                <w:rStyle w:val="normaltextrun1"/>
                <w:rFonts w:ascii="Verdana" w:hAnsi="Verdana" w:cs="Calibri"/>
                <w:sz w:val="20"/>
                <w:szCs w:val="20"/>
              </w:rPr>
              <w:t xml:space="preserve"> en heffingen).</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3102"/>
        <w:gridCol w:w="5461"/>
      </w:tblGrid>
      <w:tr w:rsidR="003A01D5" w:rsidRPr="00DC3563" w:rsidTr="0013168A">
        <w:trPr>
          <w:trHeight w:val="326"/>
          <w:tblHeader/>
        </w:trPr>
        <w:tc>
          <w:tcPr>
            <w:tcW w:w="0" w:type="auto"/>
            <w:tcBorders>
              <w:top w:val="single" w:sz="12" w:space="0" w:color="auto"/>
              <w:left w:val="single" w:sz="12" w:space="0" w:color="auto"/>
            </w:tcBorders>
            <w:shd w:val="clear" w:color="auto" w:fill="auto"/>
            <w:hideMark/>
          </w:tcPr>
          <w:p w:rsidR="003A01D5" w:rsidRPr="00DC3563" w:rsidRDefault="003A01D5" w:rsidP="0013168A">
            <w:pPr>
              <w:rPr>
                <w:rFonts w:ascii="Verdana" w:hAnsi="Verdana" w:cstheme="minorHAnsi"/>
                <w:szCs w:val="20"/>
              </w:rPr>
            </w:pPr>
            <w:r w:rsidRPr="00DC3563">
              <w:rPr>
                <w:rFonts w:ascii="Verdana" w:hAnsi="Verdana" w:cstheme="minorHAnsi"/>
                <w:szCs w:val="20"/>
              </w:rPr>
              <w:t>19</w:t>
            </w:r>
          </w:p>
        </w:tc>
        <w:tc>
          <w:tcPr>
            <w:tcW w:w="3110"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Onteigeningsdecreet</w:t>
            </w:r>
          </w:p>
        </w:tc>
        <w:tc>
          <w:tcPr>
            <w:tcW w:w="5505" w:type="dxa"/>
            <w:tcBorders>
              <w:top w:val="single" w:sz="12" w:space="0" w:color="auto"/>
              <w:right w:val="single" w:sz="12" w:space="0" w:color="auto"/>
            </w:tcBorders>
            <w:shd w:val="clear" w:color="auto" w:fill="auto"/>
            <w:hideMark/>
          </w:tcPr>
          <w:p w:rsidR="003A01D5" w:rsidRPr="00DC3563" w:rsidRDefault="003A01D5" w:rsidP="0013168A">
            <w:pPr>
              <w:rPr>
                <w:rFonts w:ascii="Verdana" w:hAnsi="Verdana" w:cstheme="minorHAnsi"/>
                <w:i/>
                <w:szCs w:val="20"/>
              </w:rPr>
            </w:pPr>
            <w:r w:rsidRPr="00DC3563">
              <w:rPr>
                <w:rFonts w:ascii="Verdana" w:hAnsi="Verdana" w:cstheme="minorHAnsi"/>
                <w:szCs w:val="20"/>
              </w:rPr>
              <w:t xml:space="preserve">We vereenvoudigen de onteigeningswetgeving via de opmaak van één </w:t>
            </w:r>
            <w:r w:rsidRPr="00DC3563">
              <w:rPr>
                <w:rFonts w:ascii="Verdana" w:hAnsi="Verdana" w:cstheme="minorHAnsi"/>
                <w:b/>
                <w:szCs w:val="20"/>
              </w:rPr>
              <w:t>overkoepelend</w:t>
            </w:r>
            <w:r w:rsidRPr="00DC3563">
              <w:rPr>
                <w:rFonts w:ascii="Verdana" w:hAnsi="Verdana" w:cstheme="minorHAnsi"/>
                <w:szCs w:val="20"/>
              </w:rPr>
              <w:t xml:space="preserve"> </w:t>
            </w:r>
            <w:r w:rsidRPr="00DC3563">
              <w:rPr>
                <w:rFonts w:ascii="Verdana" w:hAnsi="Verdana" w:cstheme="minorHAnsi"/>
                <w:b/>
                <w:szCs w:val="20"/>
              </w:rPr>
              <w:t>onteigeningsdecreet</w:t>
            </w:r>
          </w:p>
        </w:tc>
      </w:tr>
      <w:tr w:rsidR="003A01D5" w:rsidRPr="00DC3563" w:rsidTr="0013168A">
        <w:trPr>
          <w:trHeight w:val="423"/>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3110"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Departement Kanselarij &amp; Bestuur</w:t>
            </w: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afgewerkt</w:t>
            </w:r>
          </w:p>
        </w:tc>
        <w:tc>
          <w:tcPr>
            <w:tcW w:w="5505"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rPr>
            </w:pPr>
            <w:r w:rsidRPr="00DC3563">
              <w:rPr>
                <w:rFonts w:ascii="Verdana" w:hAnsi="Verdana" w:cstheme="minorHAnsi"/>
                <w:szCs w:val="20"/>
                <w:lang w:val="nl-BE"/>
              </w:rPr>
              <w:t xml:space="preserve">Het onteigeningsdecreet is in werking getreden.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170"/>
        <w:gridCol w:w="6393"/>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20</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Netwerk waardebepaling</w:t>
            </w:r>
          </w:p>
        </w:tc>
        <w:tc>
          <w:tcPr>
            <w:tcW w:w="0" w:type="auto"/>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ontwikkelen een laagdrempelige </w:t>
            </w:r>
            <w:r w:rsidRPr="00DC3563">
              <w:rPr>
                <w:rFonts w:ascii="Verdana" w:hAnsi="Verdana" w:cstheme="minorHAnsi"/>
                <w:b/>
                <w:szCs w:val="20"/>
              </w:rPr>
              <w:t>leidraad voor schattingen en waardering</w:t>
            </w:r>
            <w:r w:rsidRPr="00DC3563">
              <w:rPr>
                <w:rFonts w:ascii="Verdana" w:hAnsi="Verdana" w:cstheme="minorHAnsi"/>
                <w:szCs w:val="20"/>
              </w:rPr>
              <w:t xml:space="preserve"> van onroerende goederen binnen de Vlaamse overheid</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lang w:val="nl" w:eastAsia="nl-BE"/>
              </w:rPr>
              <w:t>VLM</w:t>
            </w:r>
          </w:p>
        </w:tc>
        <w:tc>
          <w:tcPr>
            <w:tcW w:w="0" w:type="auto"/>
            <w:tcBorders>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eastAsia="nl-BE"/>
              </w:rPr>
            </w:pPr>
            <w:r w:rsidRPr="00DC3563">
              <w:rPr>
                <w:rFonts w:ascii="Verdana" w:hAnsi="Verdana" w:cstheme="minorHAnsi"/>
                <w:szCs w:val="20"/>
              </w:rPr>
              <w:t xml:space="preserve">Departement Omgeving, </w:t>
            </w:r>
            <w:proofErr w:type="spellStart"/>
            <w:r w:rsidRPr="00DC3563">
              <w:rPr>
                <w:rFonts w:ascii="Verdana" w:hAnsi="Verdana" w:cstheme="minorHAnsi"/>
                <w:szCs w:val="20"/>
              </w:rPr>
              <w:t>Vlabel</w:t>
            </w:r>
            <w:proofErr w:type="spellEnd"/>
            <w:r w:rsidRPr="00DC3563">
              <w:rPr>
                <w:rFonts w:ascii="Verdana" w:hAnsi="Verdana" w:cstheme="minorHAnsi"/>
                <w:color w:val="000000" w:themeColor="text1"/>
                <w:szCs w:val="20"/>
              </w:rPr>
              <w:t>, Het Facilitair Bedrijf, Landcommissies</w:t>
            </w:r>
          </w:p>
        </w:tc>
      </w:tr>
      <w:tr w:rsidR="003A01D5" w:rsidRPr="00DC3563" w:rsidTr="0013168A">
        <w:trPr>
          <w:trHeight w:val="20"/>
          <w:tblHeader/>
        </w:trPr>
        <w:tc>
          <w:tcPr>
            <w:tcW w:w="0" w:type="auto"/>
            <w:tcBorders>
              <w:left w:val="single" w:sz="12" w:space="0" w:color="auto"/>
              <w:bottom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lopend</w:t>
            </w:r>
          </w:p>
        </w:tc>
        <w:tc>
          <w:tcPr>
            <w:tcW w:w="0" w:type="auto"/>
            <w:tcBorders>
              <w:bottom w:val="single" w:sz="12" w:space="0" w:color="auto"/>
              <w:right w:val="single" w:sz="12" w:space="0" w:color="auto"/>
            </w:tcBorders>
            <w:shd w:val="clear" w:color="auto" w:fill="FFFFFF" w:themeFill="background1"/>
          </w:tcPr>
          <w:p w:rsidR="003A01D5" w:rsidRPr="00DC3563" w:rsidRDefault="003A01D5" w:rsidP="0013168A">
            <w:pPr>
              <w:pStyle w:val="Lijstalinea"/>
              <w:spacing w:line="276" w:lineRule="auto"/>
              <w:ind w:left="0"/>
              <w:rPr>
                <w:rFonts w:ascii="Verdana" w:hAnsi="Verdana" w:cstheme="minorHAnsi"/>
                <w:i/>
                <w:szCs w:val="20"/>
              </w:rPr>
            </w:pPr>
            <w:r w:rsidRPr="00DC3563">
              <w:rPr>
                <w:rFonts w:ascii="Verdana" w:hAnsi="Verdana" w:cstheme="minorHAnsi"/>
                <w:szCs w:val="20"/>
              </w:rPr>
              <w:t xml:space="preserve">Het netwerk waardebepaling komt samen indien er voldoende cases rond waardebepaling zijn die besproken kunnen worden. Momenteel worden de cases rond waardebepaling ter voorbereiding van de landcommissies besproken. Hieruit worden afspraken afgeleid die algemeen gelden, uiteraard blijft de toepassing van de afspraken afhankelijk van case tot case. </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rPr>
              <w:t>Dit is een actie die steeds verder blijft lopen en waaruit afspraken gemaakt worden afhankelijk van de cases die besproken worden.</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579"/>
        <w:gridCol w:w="5984"/>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21</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Operationalisering recht van voorkeur</w:t>
            </w:r>
            <w:r w:rsidRPr="00DC3563">
              <w:rPr>
                <w:rFonts w:ascii="Verdana" w:hAnsi="Verdana" w:cstheme="minorHAnsi"/>
                <w:szCs w:val="20"/>
                <w:lang w:val="nl" w:eastAsia="nl-BE"/>
              </w:rPr>
              <w:t xml:space="preserve"> </w:t>
            </w:r>
          </w:p>
          <w:p w:rsidR="003A01D5" w:rsidRPr="00DC3563" w:rsidRDefault="003A01D5" w:rsidP="0013168A">
            <w:pPr>
              <w:rPr>
                <w:rFonts w:ascii="Verdana" w:hAnsi="Verdana" w:cstheme="minorHAnsi"/>
                <w:b/>
                <w:szCs w:val="20"/>
              </w:rPr>
            </w:pPr>
          </w:p>
        </w:tc>
        <w:tc>
          <w:tcPr>
            <w:tcW w:w="0" w:type="auto"/>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Met de operationalisering van het instrument ‘recht van voorkeur’ verbeteren we de procedures voor de </w:t>
            </w:r>
            <w:r w:rsidRPr="00DC3563">
              <w:rPr>
                <w:rFonts w:ascii="Verdana" w:hAnsi="Verdana" w:cstheme="minorHAnsi"/>
                <w:b/>
                <w:szCs w:val="20"/>
              </w:rPr>
              <w:t>overdracht van eigendommen tussen (semi-)publieke actoren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VLM</w:t>
            </w: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p>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afgewerkt</w:t>
            </w:r>
          </w:p>
        </w:tc>
        <w:tc>
          <w:tcPr>
            <w:tcW w:w="0" w:type="auto"/>
            <w:tcBorders>
              <w:bottom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lang w:val="nl"/>
              </w:rPr>
              <w:t>Op basis van een j</w:t>
            </w:r>
            <w:proofErr w:type="spellStart"/>
            <w:r w:rsidRPr="00DC3563">
              <w:rPr>
                <w:rFonts w:ascii="Verdana" w:hAnsi="Verdana" w:cstheme="minorHAnsi"/>
                <w:szCs w:val="20"/>
              </w:rPr>
              <w:t>uridisch</w:t>
            </w:r>
            <w:proofErr w:type="spellEnd"/>
            <w:r w:rsidRPr="00DC3563">
              <w:rPr>
                <w:rFonts w:ascii="Verdana" w:hAnsi="Verdana" w:cstheme="minorHAnsi"/>
                <w:szCs w:val="20"/>
              </w:rPr>
              <w:t xml:space="preserve"> onderzoek naar de implementatie van recht van voorkeur opgeleverd (november 2015) heeft de juridische uitwerking van deze actie zich vooral vertaald naar een optimalisatie van het instrument ‘recht van voorkeur’ door middel van het instrumentendecreet en de inbedding van de procedure in de omzendbrief domeinbeheer.</w:t>
            </w:r>
          </w:p>
          <w:p w:rsidR="003A01D5" w:rsidRPr="00DC3563" w:rsidRDefault="003A01D5" w:rsidP="0013168A">
            <w:pPr>
              <w:rPr>
                <w:rFonts w:ascii="Verdana" w:hAnsi="Verdana" w:cstheme="minorHAnsi"/>
                <w:i/>
                <w:szCs w:val="20"/>
              </w:rPr>
            </w:pPr>
            <w:r w:rsidRPr="00DC3563">
              <w:rPr>
                <w:rFonts w:ascii="Verdana" w:hAnsi="Verdana" w:cstheme="minorHAnsi"/>
                <w:szCs w:val="20"/>
              </w:rPr>
              <w:t xml:space="preserve">De externe communicatie werd geoptimaliseerd via de VLM-website. </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475"/>
        <w:gridCol w:w="6096"/>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22</w:t>
            </w:r>
          </w:p>
        </w:tc>
        <w:tc>
          <w:tcPr>
            <w:tcW w:w="24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Zelfrealisatierecht bij onteigening</w:t>
            </w:r>
          </w:p>
        </w:tc>
        <w:tc>
          <w:tcPr>
            <w:tcW w:w="6124"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ontwikkelen een kader en aanpak voor het omgaan met </w:t>
            </w:r>
            <w:r w:rsidRPr="00DC3563">
              <w:rPr>
                <w:rFonts w:ascii="Verdana" w:hAnsi="Verdana" w:cstheme="minorHAnsi"/>
                <w:b/>
                <w:szCs w:val="20"/>
              </w:rPr>
              <w:t>zelfrealisatierecht</w:t>
            </w:r>
            <w:r w:rsidRPr="00DC3563">
              <w:rPr>
                <w:rFonts w:ascii="Verdana" w:hAnsi="Verdana" w:cstheme="minorHAnsi"/>
                <w:szCs w:val="20"/>
              </w:rPr>
              <w:t xml:space="preserve"> </w:t>
            </w:r>
            <w:r w:rsidRPr="00DC3563">
              <w:rPr>
                <w:rFonts w:ascii="Verdana" w:hAnsi="Verdana" w:cstheme="minorHAnsi"/>
                <w:b/>
                <w:szCs w:val="20"/>
              </w:rPr>
              <w:t>bij onteigeninge</w:t>
            </w:r>
            <w:r w:rsidRPr="00DC3563">
              <w:rPr>
                <w:rFonts w:ascii="Verdana" w:hAnsi="Verdana" w:cstheme="minorHAnsi"/>
                <w:szCs w:val="20"/>
              </w:rPr>
              <w:t>n.</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2476" w:type="dxa"/>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lang w:val="nl" w:eastAsia="nl-BE"/>
              </w:rPr>
              <w:t>Departement Kanselarij &amp; Bestuur</w:t>
            </w:r>
          </w:p>
        </w:tc>
        <w:tc>
          <w:tcPr>
            <w:tcW w:w="6124" w:type="dxa"/>
            <w:tcBorders>
              <w:right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i/>
                <w:szCs w:val="20"/>
              </w:rPr>
            </w:pPr>
            <w:r w:rsidRPr="00DC3563">
              <w:rPr>
                <w:rFonts w:ascii="Verdana" w:hAnsi="Verdana" w:cstheme="minorHAnsi"/>
                <w:szCs w:val="20"/>
              </w:rPr>
              <w:t>Leden werkgroep onteigeningsdecreet</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476" w:type="dxa"/>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afgewerkt</w:t>
            </w:r>
          </w:p>
        </w:tc>
        <w:tc>
          <w:tcPr>
            <w:tcW w:w="6124"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Het Onteigeningsdecreet voorziet een regeling voor zelfrealisatie. Deze regeling bepaalt wanneer en hoe een verzoek tot zelfrealisatie kan worden ingediend en hoe de inwilliging van dergelijk verzoek kan worden verankerd in een zelfrealisatie-convenant, waarbij </w:t>
            </w:r>
            <w:proofErr w:type="spellStart"/>
            <w:r w:rsidRPr="00DC3563">
              <w:rPr>
                <w:rFonts w:ascii="Verdana" w:hAnsi="Verdana" w:cstheme="minorHAnsi"/>
                <w:szCs w:val="20"/>
                <w:lang w:val="nl-BE" w:eastAsia="nl-BE"/>
              </w:rPr>
              <w:t>oa</w:t>
            </w:r>
            <w:proofErr w:type="spellEnd"/>
            <w:r w:rsidRPr="00DC3563">
              <w:rPr>
                <w:rFonts w:ascii="Verdana" w:hAnsi="Verdana" w:cstheme="minorHAnsi"/>
                <w:szCs w:val="20"/>
                <w:lang w:val="nl-BE" w:eastAsia="nl-BE"/>
              </w:rPr>
              <w:t xml:space="preserve"> ook de effectieve uitvoering van het project wordt gewaarborgd met een financiële zekerheidsstelling.</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Het BVR tot uitvoering van het Vlaams Onteigeningsdecreet van 24 februari 2017 werd goedgekeurd op 27/10/2017. In dit BVR staat een deel over Zelfrealisatie (hoofdstuk 5). Deze bepalingen zijn in werking getreden op 1/01/2018.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533"/>
        <w:gridCol w:w="6030"/>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23</w:t>
            </w:r>
          </w:p>
        </w:tc>
        <w:tc>
          <w:tcPr>
            <w:tcW w:w="2543"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Harmonisering compensaties</w:t>
            </w:r>
          </w:p>
        </w:tc>
        <w:tc>
          <w:tcPr>
            <w:tcW w:w="6072"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harmoniseren bestaande </w:t>
            </w:r>
            <w:r w:rsidRPr="00DC3563">
              <w:rPr>
                <w:rFonts w:ascii="Verdana" w:hAnsi="Verdana" w:cstheme="minorHAnsi"/>
                <w:b/>
                <w:szCs w:val="20"/>
              </w:rPr>
              <w:t>financiële vergoedingsmechanismen</w:t>
            </w:r>
            <w:r w:rsidRPr="00DC3563">
              <w:rPr>
                <w:rFonts w:ascii="Verdana" w:hAnsi="Verdana" w:cstheme="minorHAnsi"/>
                <w:szCs w:val="20"/>
              </w:rPr>
              <w:t xml:space="preserve"> op vlak van aanvraagprocedures en op vlak van financiële berekening</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lang w:val="nl-BE"/>
              </w:rPr>
            </w:pPr>
          </w:p>
        </w:tc>
        <w:tc>
          <w:tcPr>
            <w:tcW w:w="2543"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b/>
                <w:szCs w:val="20"/>
                <w:lang w:val="en-US" w:eastAsia="nl-BE"/>
              </w:rPr>
            </w:pPr>
            <w:r w:rsidRPr="00DC3563">
              <w:rPr>
                <w:rFonts w:ascii="Verdana" w:hAnsi="Verdana" w:cstheme="minorHAnsi"/>
                <w:b/>
                <w:szCs w:val="20"/>
                <w:lang w:val="en-US" w:eastAsia="nl-BE"/>
              </w:rPr>
              <w:t>Trekker</w:t>
            </w:r>
          </w:p>
          <w:p w:rsidR="003A01D5" w:rsidRPr="00DC3563" w:rsidRDefault="003A01D5" w:rsidP="0013168A">
            <w:pPr>
              <w:rPr>
                <w:rFonts w:ascii="Verdana" w:hAnsi="Verdana" w:cstheme="minorHAnsi"/>
                <w:szCs w:val="20"/>
                <w:lang w:val="en-US" w:eastAsia="nl-BE"/>
              </w:rPr>
            </w:pPr>
            <w:r w:rsidRPr="00DC3563">
              <w:rPr>
                <w:rFonts w:ascii="Verdana" w:hAnsi="Verdana" w:cstheme="minorHAnsi"/>
                <w:szCs w:val="20"/>
                <w:lang w:val="en-US" w:eastAsia="nl-BE"/>
              </w:rPr>
              <w:t>VLM</w:t>
            </w:r>
          </w:p>
          <w:p w:rsidR="003A01D5" w:rsidRPr="00DC3563" w:rsidRDefault="003A01D5" w:rsidP="0013168A">
            <w:pPr>
              <w:rPr>
                <w:rFonts w:ascii="Verdana" w:hAnsi="Verdana" w:cstheme="minorHAnsi"/>
                <w:szCs w:val="20"/>
                <w:lang w:val="en-US" w:eastAsia="nl-BE"/>
              </w:rPr>
            </w:pPr>
          </w:p>
          <w:p w:rsidR="003A01D5" w:rsidRPr="00DC3563" w:rsidRDefault="003A01D5" w:rsidP="0013168A">
            <w:pPr>
              <w:rPr>
                <w:rFonts w:ascii="Verdana" w:hAnsi="Verdana" w:cstheme="minorHAnsi"/>
                <w:szCs w:val="20"/>
                <w:lang w:val="en-US" w:eastAsia="nl-BE"/>
              </w:rPr>
            </w:pPr>
            <w:r w:rsidRPr="00DC3563">
              <w:rPr>
                <w:rFonts w:ascii="Verdana" w:hAnsi="Verdana" w:cstheme="minorHAnsi"/>
                <w:b/>
                <w:szCs w:val="20"/>
              </w:rPr>
              <w:t>Status: afgewerkt</w:t>
            </w:r>
          </w:p>
        </w:tc>
        <w:tc>
          <w:tcPr>
            <w:tcW w:w="6072"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De harmonisering van procedures en berekeningswijzen van compenserende vergoedingen is verwerkt in het instrumentendecreet.</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114"/>
        <w:gridCol w:w="4018"/>
        <w:gridCol w:w="2439"/>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24</w:t>
            </w:r>
          </w:p>
        </w:tc>
        <w:tc>
          <w:tcPr>
            <w:tcW w:w="2118"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Gedwongen aankoop</w:t>
            </w:r>
          </w:p>
        </w:tc>
        <w:tc>
          <w:tcPr>
            <w:tcW w:w="6482" w:type="dxa"/>
            <w:gridSpan w:val="2"/>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voorzien minstens in een </w:t>
            </w:r>
            <w:r w:rsidRPr="00DC3563">
              <w:rPr>
                <w:rFonts w:ascii="Verdana" w:hAnsi="Verdana" w:cstheme="minorHAnsi"/>
                <w:b/>
                <w:szCs w:val="20"/>
              </w:rPr>
              <w:t>afgestemde operationalisering van de gedwongen aankoop</w:t>
            </w:r>
            <w:r w:rsidRPr="00DC3563">
              <w:rPr>
                <w:rFonts w:ascii="Verdana" w:hAnsi="Verdana" w:cstheme="minorHAnsi"/>
                <w:szCs w:val="20"/>
              </w:rPr>
              <w:t xml:space="preserve"> in het kader van de onteigening, in relatie tot de harmonisering van vergoedingsmechanismen en koopplichten.</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2118" w:type="dxa"/>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lang w:val="nl" w:eastAsia="nl-BE"/>
              </w:rPr>
              <w:t>Departement Kanselarij &amp; Bestuur</w:t>
            </w:r>
          </w:p>
        </w:tc>
        <w:tc>
          <w:tcPr>
            <w:tcW w:w="4029" w:type="dxa"/>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rPr>
            </w:pPr>
            <w:r w:rsidRPr="00DC3563">
              <w:rPr>
                <w:rFonts w:ascii="Verdana" w:hAnsi="Verdana" w:cstheme="minorHAnsi"/>
                <w:szCs w:val="20"/>
              </w:rPr>
              <w:t xml:space="preserve">Departement Omgeving, </w:t>
            </w:r>
            <w:proofErr w:type="spellStart"/>
            <w:r w:rsidRPr="00DC3563">
              <w:rPr>
                <w:rFonts w:ascii="Verdana" w:hAnsi="Verdana" w:cstheme="minorHAnsi"/>
                <w:szCs w:val="20"/>
              </w:rPr>
              <w:t>Vlabel</w:t>
            </w:r>
            <w:proofErr w:type="spellEnd"/>
            <w:r w:rsidRPr="00DC3563">
              <w:rPr>
                <w:rFonts w:ascii="Verdana" w:hAnsi="Verdana" w:cstheme="minorHAnsi"/>
                <w:szCs w:val="20"/>
              </w:rPr>
              <w:t>, Dept MOW</w:t>
            </w:r>
          </w:p>
        </w:tc>
        <w:tc>
          <w:tcPr>
            <w:tcW w:w="2453" w:type="dxa"/>
            <w:tcBorders>
              <w:right w:val="single" w:sz="12" w:space="0" w:color="auto"/>
            </w:tcBorders>
            <w:shd w:val="clear" w:color="auto" w:fill="auto"/>
          </w:tcPr>
          <w:p w:rsidR="003A01D5" w:rsidRPr="00DC3563" w:rsidRDefault="003A01D5" w:rsidP="0013168A">
            <w:pPr>
              <w:rPr>
                <w:rFonts w:ascii="Verdana" w:hAnsi="Verdana" w:cstheme="minorHAnsi"/>
                <w:szCs w:val="20"/>
                <w:lang w:val="nl" w:eastAsia="nl-BE"/>
              </w:rPr>
            </w:pP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118" w:type="dxa"/>
            <w:tcBorders>
              <w:bottom w:val="single" w:sz="12" w:space="0" w:color="auto"/>
            </w:tcBorders>
            <w:shd w:val="clear" w:color="auto" w:fill="auto"/>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lopend</w:t>
            </w:r>
          </w:p>
        </w:tc>
        <w:tc>
          <w:tcPr>
            <w:tcW w:w="6482" w:type="dxa"/>
            <w:gridSpan w:val="2"/>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Het onteigeningsdecreet voorziet een regeling waarbij eigenaars van een grond waarvan maar een gedeelte wordt onteigend, onder specifieke voorwaarden van de onteigenende instantie de aankoop van de grond in zijn geheel kunnen opeisen.</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Het instrumentendecreet voorziet in een harmonisering van de procedure en interpretatie van de toepassingsvoorwaarden voor koopplichten. De Vlaamse regering heeft ervoor geopteerd om de gedwongen aankoop in het kader van het onteigeningsdecreet niet te laten vallen onder deze geharmoniseerde procedure. Dit wordt verder afgestemd onder de betrokken beleidsdomeinen.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317"/>
        <w:gridCol w:w="5975"/>
        <w:gridCol w:w="271"/>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25</w:t>
            </w:r>
          </w:p>
        </w:tc>
        <w:tc>
          <w:tcPr>
            <w:tcW w:w="2117"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Digitaal platform vastgoedmobiliteit</w:t>
            </w:r>
          </w:p>
        </w:tc>
        <w:tc>
          <w:tcPr>
            <w:tcW w:w="6497" w:type="dxa"/>
            <w:gridSpan w:val="2"/>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voorzien in een </w:t>
            </w:r>
            <w:r w:rsidRPr="00DC3563">
              <w:rPr>
                <w:rFonts w:ascii="Verdana" w:hAnsi="Verdana" w:cstheme="minorHAnsi"/>
                <w:b/>
                <w:szCs w:val="20"/>
              </w:rPr>
              <w:t>unieke organisatie</w:t>
            </w:r>
            <w:r w:rsidRPr="00DC3563">
              <w:rPr>
                <w:rFonts w:ascii="Verdana" w:hAnsi="Verdana" w:cstheme="minorHAnsi"/>
                <w:szCs w:val="20"/>
              </w:rPr>
              <w:t xml:space="preserve"> zodat </w:t>
            </w:r>
            <w:r w:rsidRPr="00DC3563">
              <w:rPr>
                <w:rFonts w:ascii="Verdana" w:hAnsi="Verdana" w:cstheme="minorHAnsi"/>
                <w:b/>
                <w:szCs w:val="20"/>
              </w:rPr>
              <w:t>eigendomsoverdrachten</w:t>
            </w:r>
            <w:r w:rsidRPr="00DC3563">
              <w:rPr>
                <w:rFonts w:ascii="Verdana" w:hAnsi="Verdana" w:cstheme="minorHAnsi"/>
                <w:szCs w:val="20"/>
              </w:rPr>
              <w:t xml:space="preserve"> en grond- &amp; pandenbeleid binnen de Vlaamse overheid op meer afgestemde wijze verlopen.</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2117" w:type="dxa"/>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b/>
                <w:szCs w:val="20"/>
              </w:rPr>
            </w:pPr>
            <w:r w:rsidRPr="00DC3563">
              <w:rPr>
                <w:rFonts w:ascii="Verdana" w:hAnsi="Verdana" w:cstheme="minorHAnsi"/>
                <w:b/>
                <w:szCs w:val="20"/>
                <w:lang w:val="nl" w:eastAsia="nl-BE"/>
              </w:rPr>
              <w:t>VLM</w:t>
            </w:r>
          </w:p>
        </w:tc>
        <w:tc>
          <w:tcPr>
            <w:tcW w:w="6223" w:type="dxa"/>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val="nl-BE"/>
              </w:rPr>
            </w:pPr>
            <w:r w:rsidRPr="00DC3563">
              <w:rPr>
                <w:rFonts w:ascii="Verdana" w:hAnsi="Verdana" w:cstheme="minorHAnsi"/>
                <w:szCs w:val="20"/>
              </w:rPr>
              <w:t xml:space="preserve">Departement Omgeving, Het Facilitair Bedrijf, </w:t>
            </w:r>
            <w:proofErr w:type="spellStart"/>
            <w:r w:rsidRPr="00DC3563">
              <w:rPr>
                <w:rFonts w:ascii="Verdana" w:hAnsi="Verdana" w:cstheme="minorHAnsi"/>
                <w:szCs w:val="20"/>
                <w:lang w:val="nl-BE"/>
              </w:rPr>
              <w:t>Vlabel</w:t>
            </w:r>
            <w:proofErr w:type="spellEnd"/>
            <w:r w:rsidRPr="00DC3563">
              <w:rPr>
                <w:rFonts w:ascii="Verdana" w:hAnsi="Verdana" w:cstheme="minorHAnsi"/>
                <w:szCs w:val="20"/>
                <w:lang w:val="nl-BE"/>
              </w:rPr>
              <w:t xml:space="preserve"> – afdeling Vastgoedtransacties, DE VLAAMSE WATERWEG, VLAIO</w:t>
            </w:r>
          </w:p>
        </w:tc>
        <w:tc>
          <w:tcPr>
            <w:tcW w:w="0" w:type="auto"/>
            <w:tcBorders>
              <w:right w:val="single" w:sz="12" w:space="0" w:color="auto"/>
            </w:tcBorders>
          </w:tcPr>
          <w:p w:rsidR="003A01D5" w:rsidRPr="00DC3563" w:rsidRDefault="003A01D5" w:rsidP="0013168A">
            <w:pPr>
              <w:rPr>
                <w:rFonts w:ascii="Verdana" w:hAnsi="Verdana" w:cstheme="minorHAnsi"/>
                <w:szCs w:val="20"/>
                <w:lang w:val="nl-BE" w:eastAsia="nl-BE"/>
              </w:rPr>
            </w:pP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lang w:val="nl-BE"/>
              </w:rPr>
            </w:pPr>
          </w:p>
        </w:tc>
        <w:tc>
          <w:tcPr>
            <w:tcW w:w="2117" w:type="dxa"/>
            <w:tcBorders>
              <w:bottom w:val="single" w:sz="12" w:space="0" w:color="auto"/>
            </w:tcBorders>
            <w:shd w:val="clear" w:color="auto" w:fill="FFFFFF" w:themeFill="background1"/>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lopend</w:t>
            </w:r>
          </w:p>
        </w:tc>
        <w:tc>
          <w:tcPr>
            <w:tcW w:w="6497" w:type="dxa"/>
            <w:gridSpan w:val="2"/>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eastAsia="en-US"/>
              </w:rPr>
            </w:pPr>
            <w:r w:rsidRPr="00DC3563">
              <w:rPr>
                <w:rFonts w:ascii="Verdana" w:hAnsi="Verdana" w:cstheme="minorHAnsi"/>
                <w:szCs w:val="20"/>
                <w:lang w:eastAsia="en-US"/>
              </w:rPr>
              <w:t>De haalbaarheidsstudie werd definitief opgeleverd. Het project werd voorgedragen voor de subsidies van Vlaanderen Radicaal Digitaal.</w:t>
            </w:r>
            <w:r w:rsidRPr="00DC3563">
              <w:rPr>
                <w:rFonts w:ascii="Verdana" w:hAnsi="Verdana"/>
                <w:szCs w:val="20"/>
              </w:rPr>
              <w:t xml:space="preserve"> </w:t>
            </w:r>
            <w:r w:rsidRPr="00DC3563">
              <w:rPr>
                <w:rFonts w:ascii="Verdana" w:hAnsi="Verdana" w:cstheme="minorHAnsi"/>
                <w:szCs w:val="20"/>
                <w:lang w:eastAsia="en-US"/>
              </w:rPr>
              <w:t>Er werden geen subsidies vanuit Vlaanderen Radicaal Digitaal toegekend aan het project. Momenteel wordt gezocht naar andere financieringsmiddelen voor het platform.</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618"/>
        <w:gridCol w:w="5945"/>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hideMark/>
          </w:tcPr>
          <w:p w:rsidR="003A01D5" w:rsidRPr="00DC3563" w:rsidRDefault="003A01D5" w:rsidP="0013168A">
            <w:pPr>
              <w:rPr>
                <w:rFonts w:ascii="Verdana" w:hAnsi="Verdana" w:cstheme="minorHAnsi"/>
                <w:szCs w:val="20"/>
              </w:rPr>
            </w:pPr>
            <w:r w:rsidRPr="00DC3563">
              <w:rPr>
                <w:rFonts w:ascii="Verdana" w:hAnsi="Verdana" w:cstheme="minorHAnsi"/>
                <w:szCs w:val="20"/>
              </w:rPr>
              <w:t>26</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Uitbreiding vastgoeddatabank Vlaamse overheid</w:t>
            </w:r>
          </w:p>
        </w:tc>
        <w:tc>
          <w:tcPr>
            <w:tcW w:w="0" w:type="auto"/>
            <w:tcBorders>
              <w:top w:val="single" w:sz="12" w:space="0" w:color="auto"/>
              <w:right w:val="single" w:sz="12" w:space="0" w:color="auto"/>
            </w:tcBorders>
            <w:shd w:val="clear" w:color="auto" w:fill="FFFFFF" w:themeFill="background1"/>
            <w:hideMark/>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zorgen voor een actieve kennisverspreiding over de </w:t>
            </w:r>
            <w:r w:rsidRPr="00DC3563">
              <w:rPr>
                <w:rFonts w:ascii="Verdana" w:hAnsi="Verdana" w:cstheme="minorHAnsi"/>
                <w:b/>
                <w:szCs w:val="20"/>
              </w:rPr>
              <w:t>Vlaamse vastgoeddatabank</w:t>
            </w:r>
            <w:r w:rsidRPr="00DC3563">
              <w:rPr>
                <w:rFonts w:ascii="Verdana" w:hAnsi="Verdana" w:cstheme="minorHAnsi"/>
                <w:szCs w:val="20"/>
              </w:rPr>
              <w:t xml:space="preserve"> binnen en buiten de Vlaamse overheid, voeren zinvolle koppelingen met andere gegevensbanken door en verkennen nieuwe toepassingsmogelijkheden.</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Trekkers</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Het Facilitair Bedrijf</w:t>
            </w: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afgewerkt</w:t>
            </w:r>
          </w:p>
        </w:tc>
        <w:tc>
          <w:tcPr>
            <w:tcW w:w="0" w:type="auto"/>
            <w:tcBorders>
              <w:right w:val="single" w:sz="12" w:space="0" w:color="auto"/>
            </w:tcBorders>
            <w:shd w:val="clear" w:color="auto" w:fill="FFFFFF" w:themeFill="background1"/>
          </w:tcPr>
          <w:p w:rsidR="003A01D5" w:rsidRPr="00DC3563" w:rsidRDefault="003A01D5" w:rsidP="0013168A">
            <w:pPr>
              <w:spacing w:line="276" w:lineRule="auto"/>
              <w:rPr>
                <w:rFonts w:ascii="Verdana" w:hAnsi="Verdana" w:cstheme="minorHAnsi"/>
                <w:szCs w:val="20"/>
              </w:rPr>
            </w:pPr>
            <w:r w:rsidRPr="00DC3563">
              <w:rPr>
                <w:rFonts w:ascii="Verdana" w:hAnsi="Verdana" w:cstheme="minorHAnsi"/>
                <w:szCs w:val="20"/>
              </w:rPr>
              <w:t xml:space="preserve">De vastgoeddatabank is een vaste waarde geworden als basis voor de ontwikkeling van </w:t>
            </w:r>
            <w:proofErr w:type="spellStart"/>
            <w:r w:rsidRPr="00DC3563">
              <w:rPr>
                <w:rFonts w:ascii="Verdana" w:hAnsi="Verdana" w:cstheme="minorHAnsi"/>
                <w:szCs w:val="20"/>
              </w:rPr>
              <w:t>webkaarten</w:t>
            </w:r>
            <w:proofErr w:type="spellEnd"/>
            <w:r w:rsidRPr="00DC3563">
              <w:rPr>
                <w:rFonts w:ascii="Verdana" w:hAnsi="Verdana" w:cstheme="minorHAnsi"/>
                <w:szCs w:val="20"/>
              </w:rPr>
              <w:t xml:space="preserve">, rapporteringen op maat, managementrapporten, de Vlaamse Vastgoedwijzer, </w:t>
            </w:r>
            <w:proofErr w:type="spellStart"/>
            <w:r w:rsidRPr="00DC3563">
              <w:rPr>
                <w:rFonts w:ascii="Verdana" w:hAnsi="Verdana" w:cstheme="minorHAnsi"/>
                <w:szCs w:val="20"/>
              </w:rPr>
              <w:t>enzomeer</w:t>
            </w:r>
            <w:proofErr w:type="spellEnd"/>
            <w:r w:rsidRPr="00DC3563">
              <w:rPr>
                <w:rFonts w:ascii="Verdana" w:hAnsi="Verdana" w:cstheme="minorHAnsi"/>
                <w:szCs w:val="20"/>
              </w:rPr>
              <w:t>.</w:t>
            </w:r>
          </w:p>
          <w:p w:rsidR="003A01D5" w:rsidRPr="00DC3563" w:rsidRDefault="003A01D5" w:rsidP="0013168A">
            <w:pPr>
              <w:spacing w:line="276" w:lineRule="auto"/>
              <w:rPr>
                <w:rFonts w:ascii="Verdana" w:hAnsi="Verdana" w:cstheme="minorHAnsi"/>
                <w:color w:val="43474A"/>
                <w:szCs w:val="20"/>
              </w:rPr>
            </w:pPr>
            <w:hyperlink r:id="rId11" w:history="1">
              <w:r w:rsidRPr="00DC3563">
                <w:rPr>
                  <w:rStyle w:val="Hyperlink"/>
                  <w:rFonts w:ascii="Verdana" w:hAnsi="Verdana" w:cstheme="minorHAnsi"/>
                  <w:szCs w:val="20"/>
                </w:rPr>
                <w:t>Web-kaarten vastgoed Vlaamse overheid</w:t>
              </w:r>
            </w:hyperlink>
            <w:r w:rsidRPr="00DC3563">
              <w:rPr>
                <w:rFonts w:ascii="Verdana" w:hAnsi="Verdana" w:cstheme="minorHAnsi"/>
                <w:szCs w:val="20"/>
              </w:rPr>
              <w:t xml:space="preserve"> biedt het overzicht van informatie over gebouwen en gronden van de Vlaamse overheid, maar ook een percelenzoeker, een monumentenzoeker en een totaaloverzicht van gronden in eigendom van lokale overheden (</w:t>
            </w:r>
            <w:r w:rsidRPr="00DC3563">
              <w:rPr>
                <w:rFonts w:ascii="Verdana" w:hAnsi="Verdana" w:cstheme="minorHAnsi"/>
                <w:color w:val="43474A"/>
                <w:szCs w:val="20"/>
              </w:rPr>
              <w:t xml:space="preserve">provincies, provinciale ontwikkelingsmaatschappijen (POM), steden en gemeenten). Er zijn managementrapporten ontwikkeld VO-breed en per entiteit. </w:t>
            </w:r>
          </w:p>
          <w:p w:rsidR="003A01D5" w:rsidRPr="00DC3563" w:rsidRDefault="003A01D5" w:rsidP="0013168A">
            <w:pPr>
              <w:rPr>
                <w:rFonts w:ascii="Verdana" w:hAnsi="Verdana" w:cstheme="minorHAnsi"/>
                <w:i/>
                <w:szCs w:val="20"/>
              </w:rPr>
            </w:pPr>
            <w:r w:rsidRPr="00DC3563">
              <w:rPr>
                <w:rFonts w:ascii="Verdana" w:hAnsi="Verdana" w:cstheme="minorHAnsi"/>
                <w:color w:val="43474A"/>
                <w:szCs w:val="20"/>
              </w:rPr>
              <w:t>Ook is de invoermodule verbeterd en afgestemd met de Patrimonium- en Energiedatabank.</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591"/>
        <w:gridCol w:w="1966"/>
        <w:gridCol w:w="6255"/>
        <w:gridCol w:w="222"/>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27a</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Register onbebouwde percelen</w:t>
            </w:r>
          </w:p>
        </w:tc>
        <w:tc>
          <w:tcPr>
            <w:tcW w:w="0" w:type="auto"/>
            <w:gridSpan w:val="2"/>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zorgen voor de opmaak van het </w:t>
            </w:r>
            <w:r w:rsidRPr="00DC3563">
              <w:rPr>
                <w:rFonts w:ascii="Verdana" w:hAnsi="Verdana" w:cstheme="minorHAnsi"/>
                <w:b/>
                <w:szCs w:val="20"/>
              </w:rPr>
              <w:t>register onbebouwde percelen</w:t>
            </w:r>
            <w:r w:rsidRPr="00DC3563">
              <w:rPr>
                <w:rFonts w:ascii="Verdana" w:hAnsi="Verdana" w:cstheme="minorHAnsi"/>
                <w:szCs w:val="20"/>
              </w:rPr>
              <w:t xml:space="preserve"> (ROP)</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lang w:val="nl" w:eastAsia="nl-BE"/>
              </w:rPr>
              <w:t>DIV</w:t>
            </w:r>
          </w:p>
        </w:tc>
        <w:tc>
          <w:tcPr>
            <w:tcW w:w="0" w:type="auto"/>
            <w:gridSpan w:val="2"/>
            <w:tcBorders>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rPr>
              <w:t>Departement Omgeving, Agentschap Wonen, VEB</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lopend</w:t>
            </w:r>
          </w:p>
        </w:tc>
        <w:tc>
          <w:tcPr>
            <w:tcW w:w="0" w:type="auto"/>
            <w:shd w:val="clear" w:color="auto" w:fill="FFFFFF" w:themeFill="background1"/>
          </w:tcPr>
          <w:p w:rsidR="003A01D5" w:rsidRPr="00DC3563" w:rsidDel="00D57ABE" w:rsidRDefault="003A01D5" w:rsidP="0013168A">
            <w:pPr>
              <w:rPr>
                <w:rFonts w:ascii="Verdana" w:hAnsi="Verdana" w:cstheme="minorHAnsi"/>
                <w:i/>
                <w:szCs w:val="20"/>
              </w:rPr>
            </w:pPr>
            <w:r w:rsidRPr="00DC3563">
              <w:rPr>
                <w:rFonts w:ascii="Verdana" w:hAnsi="Verdana" w:cstheme="minorHAnsi"/>
                <w:szCs w:val="20"/>
              </w:rPr>
              <w:t xml:space="preserve">Onderdeel van het Terra-project, goedgekeurd in het kader van ‘Vlaanderen Radicaal Digitaal’ – Binnen het TERRA-project werd nagegaan of het mogelijk was om met bestaande en beschikbare (al dan niet) open data een zo goed als mogelijk Register Onbebouwde Percelen (ROP) op te maken. Het onderzoek liet zien dat er inderdaad een “vermoedens-ROP” opgemaakt kon worden via een vertaling van de technische richtlijnen. Dit ROP kan als basis aangeboden worden aan de lokale besturen om hiermee een gevalideerd ROP op te maken. Er wordt verder nagekeken of dit op termijn via </w:t>
            </w:r>
            <w:proofErr w:type="spellStart"/>
            <w:r w:rsidRPr="00DC3563">
              <w:rPr>
                <w:rFonts w:ascii="Verdana" w:hAnsi="Verdana" w:cstheme="minorHAnsi"/>
                <w:szCs w:val="20"/>
              </w:rPr>
              <w:t>Geopunt</w:t>
            </w:r>
            <w:proofErr w:type="spellEnd"/>
            <w:r w:rsidRPr="00DC3563">
              <w:rPr>
                <w:rFonts w:ascii="Verdana" w:hAnsi="Verdana" w:cstheme="minorHAnsi"/>
                <w:szCs w:val="20"/>
              </w:rPr>
              <w:t xml:space="preserve"> of een andere toepassing kan worden aangeboden.</w:t>
            </w:r>
          </w:p>
        </w:tc>
        <w:tc>
          <w:tcPr>
            <w:tcW w:w="0" w:type="auto"/>
            <w:tcBorders>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95"/>
        <w:gridCol w:w="1537"/>
        <w:gridCol w:w="4025"/>
        <w:gridCol w:w="2885"/>
      </w:tblGrid>
      <w:tr w:rsidR="003A01D5" w:rsidRPr="00DC3563" w:rsidTr="0013168A">
        <w:trPr>
          <w:trHeight w:val="20"/>
          <w:tblHeader/>
        </w:trPr>
        <w:tc>
          <w:tcPr>
            <w:tcW w:w="0" w:type="auto"/>
            <w:tcBorders>
              <w:top w:val="single" w:sz="12" w:space="0" w:color="auto"/>
              <w:left w:val="single" w:sz="12" w:space="0" w:color="auto"/>
              <w:bottom w:val="single" w:sz="4"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27b</w:t>
            </w:r>
          </w:p>
        </w:tc>
        <w:tc>
          <w:tcPr>
            <w:tcW w:w="0" w:type="auto"/>
            <w:tcBorders>
              <w:top w:val="single" w:sz="12" w:space="0" w:color="auto"/>
              <w:bottom w:val="single" w:sz="4"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 xml:space="preserve">Inventaris gronden en gebouwen MOW </w:t>
            </w:r>
          </w:p>
        </w:tc>
        <w:tc>
          <w:tcPr>
            <w:tcW w:w="0" w:type="auto"/>
            <w:gridSpan w:val="2"/>
            <w:tcBorders>
              <w:top w:val="single" w:sz="12" w:space="0" w:color="auto"/>
              <w:bottom w:val="single" w:sz="4"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 xml:space="preserve">We inventariseren het </w:t>
            </w:r>
            <w:r w:rsidRPr="00DC3563">
              <w:rPr>
                <w:rFonts w:ascii="Verdana" w:hAnsi="Verdana" w:cstheme="minorHAnsi"/>
                <w:b/>
                <w:szCs w:val="20"/>
                <w:lang w:val="nl" w:eastAsia="nl-BE"/>
              </w:rPr>
              <w:t>niet-gekadastreerd onroerend goed i</w:t>
            </w:r>
            <w:r w:rsidRPr="00DC3563">
              <w:rPr>
                <w:rFonts w:ascii="Verdana" w:hAnsi="Verdana" w:cstheme="minorHAnsi"/>
                <w:szCs w:val="20"/>
                <w:lang w:val="nl" w:eastAsia="nl-BE"/>
              </w:rPr>
              <w:t>n eigendom van de Vlaamse overheid</w:t>
            </w:r>
          </w:p>
        </w:tc>
      </w:tr>
      <w:tr w:rsidR="003A01D5" w:rsidRPr="00DC3563" w:rsidTr="0013168A">
        <w:trPr>
          <w:trHeight w:val="20"/>
          <w:tblHeader/>
        </w:trPr>
        <w:tc>
          <w:tcPr>
            <w:tcW w:w="0" w:type="auto"/>
            <w:tcBorders>
              <w:top w:val="single" w:sz="4" w:space="0" w:color="auto"/>
              <w:left w:val="single" w:sz="12" w:space="0" w:color="auto"/>
              <w:bottom w:val="single" w:sz="4" w:space="0" w:color="auto"/>
              <w:right w:val="nil"/>
            </w:tcBorders>
            <w:shd w:val="clear" w:color="auto" w:fill="FFFFFF" w:themeFill="background1"/>
          </w:tcPr>
          <w:p w:rsidR="003A01D5" w:rsidRPr="00DC3563" w:rsidRDefault="003A01D5" w:rsidP="0013168A">
            <w:pPr>
              <w:rPr>
                <w:rFonts w:ascii="Verdana" w:hAnsi="Verdana" w:cstheme="minorHAnsi"/>
                <w:szCs w:val="20"/>
              </w:rPr>
            </w:pPr>
          </w:p>
        </w:tc>
        <w:tc>
          <w:tcPr>
            <w:tcW w:w="0" w:type="auto"/>
            <w:tcBorders>
              <w:top w:val="single" w:sz="4" w:space="0" w:color="auto"/>
              <w:left w:val="nil"/>
              <w:bottom w:val="single" w:sz="4" w:space="0" w:color="auto"/>
              <w:right w:val="nil"/>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Departement MOW</w:t>
            </w:r>
          </w:p>
        </w:tc>
        <w:tc>
          <w:tcPr>
            <w:tcW w:w="0" w:type="auto"/>
            <w:gridSpan w:val="2"/>
            <w:tcBorders>
              <w:top w:val="single" w:sz="4" w:space="0" w:color="auto"/>
              <w:left w:val="nil"/>
              <w:bottom w:val="single" w:sz="4" w:space="0" w:color="auto"/>
              <w:right w:val="single" w:sz="12" w:space="0" w:color="auto"/>
            </w:tcBorders>
            <w:shd w:val="clear" w:color="auto" w:fill="FFFFFF" w:themeFill="background1"/>
          </w:tcPr>
          <w:p w:rsidR="003A01D5" w:rsidRPr="00DC3563" w:rsidRDefault="003A01D5" w:rsidP="0013168A">
            <w:pPr>
              <w:rPr>
                <w:rFonts w:ascii="Verdana" w:hAnsi="Verdana" w:cstheme="minorHAnsi"/>
                <w:b/>
                <w:color w:val="000000"/>
                <w:szCs w:val="20"/>
                <w:lang w:val="nl-BE"/>
              </w:rPr>
            </w:pPr>
            <w:r w:rsidRPr="00DC3563">
              <w:rPr>
                <w:rFonts w:ascii="Verdana" w:hAnsi="Verdana" w:cstheme="minorHAnsi"/>
                <w:b/>
                <w:color w:val="000000"/>
                <w:szCs w:val="20"/>
                <w:lang w:val="nl-BE"/>
              </w:rPr>
              <w:t>Sleutelpartners</w:t>
            </w:r>
          </w:p>
          <w:p w:rsidR="003A01D5" w:rsidRPr="00DC3563" w:rsidRDefault="003A01D5" w:rsidP="0013168A">
            <w:pPr>
              <w:rPr>
                <w:rFonts w:ascii="Verdana" w:hAnsi="Verdana" w:cstheme="minorHAnsi"/>
                <w:i/>
                <w:szCs w:val="20"/>
                <w:highlight w:val="yellow"/>
                <w:lang w:val="nl" w:eastAsia="nl-BE"/>
              </w:rPr>
            </w:pPr>
            <w:r w:rsidRPr="00DC3563">
              <w:rPr>
                <w:rFonts w:ascii="Verdana" w:hAnsi="Verdana" w:cstheme="minorHAnsi"/>
                <w:color w:val="000000"/>
                <w:szCs w:val="20"/>
                <w:lang w:val="nl-BE"/>
              </w:rPr>
              <w:t xml:space="preserve">DE VLAAMSE WATERWEG, DIV, </w:t>
            </w:r>
            <w:r w:rsidRPr="00DC3563">
              <w:rPr>
                <w:rFonts w:ascii="Verdana" w:hAnsi="Verdana" w:cstheme="minorHAnsi"/>
                <w:color w:val="000000"/>
                <w:szCs w:val="20"/>
              </w:rPr>
              <w:t xml:space="preserve">De Scheepvaart NV, </w:t>
            </w:r>
            <w:r w:rsidRPr="00DC3563">
              <w:rPr>
                <w:rFonts w:ascii="Verdana" w:hAnsi="Verdana" w:cstheme="minorHAnsi"/>
                <w:color w:val="000000"/>
                <w:szCs w:val="20"/>
                <w:lang w:val="nl-BE"/>
              </w:rPr>
              <w:t xml:space="preserve">AWV, </w:t>
            </w:r>
            <w:r w:rsidRPr="00DC3563">
              <w:rPr>
                <w:rFonts w:ascii="Verdana" w:hAnsi="Verdana" w:cstheme="minorHAnsi"/>
                <w:color w:val="000000"/>
                <w:szCs w:val="20"/>
              </w:rPr>
              <w:t>De Lijn</w:t>
            </w:r>
          </w:p>
        </w:tc>
      </w:tr>
      <w:tr w:rsidR="003A01D5" w:rsidRPr="00DC3563" w:rsidTr="0013168A">
        <w:trPr>
          <w:trHeight w:val="20"/>
          <w:tblHeader/>
        </w:trPr>
        <w:tc>
          <w:tcPr>
            <w:tcW w:w="0" w:type="auto"/>
            <w:tcBorders>
              <w:top w:val="single" w:sz="4" w:space="0" w:color="auto"/>
              <w:left w:val="single" w:sz="12" w:space="0" w:color="auto"/>
              <w:bottom w:val="single" w:sz="12" w:space="0" w:color="auto"/>
              <w:right w:val="nil"/>
            </w:tcBorders>
            <w:shd w:val="clear" w:color="auto" w:fill="FFFFFF" w:themeFill="background1"/>
          </w:tcPr>
          <w:p w:rsidR="003A01D5" w:rsidRPr="00DC3563" w:rsidRDefault="003A01D5" w:rsidP="0013168A">
            <w:pPr>
              <w:rPr>
                <w:rFonts w:ascii="Verdana" w:hAnsi="Verdana" w:cstheme="minorHAnsi"/>
                <w:szCs w:val="20"/>
              </w:rPr>
            </w:pPr>
          </w:p>
        </w:tc>
        <w:tc>
          <w:tcPr>
            <w:tcW w:w="0" w:type="auto"/>
            <w:tcBorders>
              <w:top w:val="single" w:sz="4" w:space="0" w:color="auto"/>
              <w:left w:val="nil"/>
              <w:bottom w:val="single" w:sz="12" w:space="0" w:color="auto"/>
              <w:right w:val="nil"/>
            </w:tcBorders>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lopend</w:t>
            </w:r>
          </w:p>
        </w:tc>
        <w:tc>
          <w:tcPr>
            <w:tcW w:w="3905" w:type="dxa"/>
            <w:tcBorders>
              <w:top w:val="single" w:sz="4" w:space="0" w:color="auto"/>
              <w:left w:val="nil"/>
              <w:bottom w:val="single" w:sz="12" w:space="0" w:color="auto"/>
              <w:right w:val="nil"/>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Tussentijdse resultaten</w:t>
            </w:r>
          </w:p>
          <w:p w:rsidR="003A01D5" w:rsidRPr="00DC3563" w:rsidRDefault="003A01D5" w:rsidP="003A01D5">
            <w:pPr>
              <w:numPr>
                <w:ilvl w:val="0"/>
                <w:numId w:val="3"/>
              </w:numPr>
              <w:tabs>
                <w:tab w:val="left" w:pos="284"/>
                <w:tab w:val="left" w:pos="567"/>
                <w:tab w:val="left" w:pos="851"/>
                <w:tab w:val="center" w:pos="4394"/>
                <w:tab w:val="right" w:pos="8789"/>
              </w:tabs>
              <w:rPr>
                <w:rFonts w:ascii="Verdana" w:hAnsi="Verdana" w:cs="Calibri"/>
                <w:szCs w:val="20"/>
              </w:rPr>
            </w:pPr>
            <w:r w:rsidRPr="00DC3563">
              <w:rPr>
                <w:rFonts w:ascii="Verdana" w:hAnsi="Verdana" w:cstheme="minorHAnsi"/>
                <w:szCs w:val="20"/>
              </w:rPr>
              <w:t>Een werkgroep binnen het Beleidsdomein MOW werd opgericht om aan kennisuitwisseling te doen en de inventarisatie op te volgen.</w:t>
            </w:r>
          </w:p>
          <w:p w:rsidR="003A01D5" w:rsidRPr="00DC3563" w:rsidRDefault="003A01D5" w:rsidP="003A01D5">
            <w:pPr>
              <w:numPr>
                <w:ilvl w:val="0"/>
                <w:numId w:val="3"/>
              </w:numPr>
              <w:tabs>
                <w:tab w:val="left" w:pos="284"/>
                <w:tab w:val="left" w:pos="567"/>
                <w:tab w:val="left" w:pos="851"/>
                <w:tab w:val="center" w:pos="4394"/>
                <w:tab w:val="right" w:pos="8789"/>
              </w:tabs>
              <w:rPr>
                <w:rFonts w:ascii="Verdana" w:hAnsi="Verdana" w:cs="Calibri"/>
                <w:szCs w:val="20"/>
              </w:rPr>
            </w:pPr>
            <w:r w:rsidRPr="00DC3563">
              <w:rPr>
                <w:rFonts w:ascii="Verdana" w:hAnsi="Verdana" w:cstheme="minorHAnsi"/>
                <w:szCs w:val="20"/>
              </w:rPr>
              <w:t>Met info uit de vastgoeddatabank voor de gronden van de VO, lokale besturen en gekadastreerde percelen werd door DIV een laag ‘openbaar domein’ gemaakt.</w:t>
            </w:r>
          </w:p>
          <w:p w:rsidR="003A01D5" w:rsidRPr="00DC3563" w:rsidRDefault="003A01D5" w:rsidP="0013168A">
            <w:pPr>
              <w:rPr>
                <w:rFonts w:ascii="Verdana" w:hAnsi="Verdana" w:cs="Calibri"/>
                <w:szCs w:val="20"/>
              </w:rPr>
            </w:pPr>
          </w:p>
        </w:tc>
        <w:tc>
          <w:tcPr>
            <w:tcW w:w="2820" w:type="dxa"/>
            <w:tcBorders>
              <w:top w:val="nil"/>
              <w:left w:val="nil"/>
              <w:bottom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Verdere aanpak</w:t>
            </w:r>
          </w:p>
          <w:p w:rsidR="003A01D5" w:rsidRPr="00DC3563" w:rsidRDefault="003A01D5" w:rsidP="003A01D5">
            <w:pPr>
              <w:numPr>
                <w:ilvl w:val="0"/>
                <w:numId w:val="3"/>
              </w:numPr>
              <w:tabs>
                <w:tab w:val="left" w:pos="284"/>
                <w:tab w:val="left" w:pos="567"/>
                <w:tab w:val="left" w:pos="851"/>
                <w:tab w:val="center" w:pos="4394"/>
                <w:tab w:val="right" w:pos="8789"/>
              </w:tabs>
              <w:rPr>
                <w:rFonts w:ascii="Verdana" w:hAnsi="Verdana" w:cstheme="minorHAnsi"/>
                <w:szCs w:val="20"/>
              </w:rPr>
            </w:pPr>
            <w:r w:rsidRPr="00DC3563">
              <w:rPr>
                <w:rFonts w:ascii="Verdana" w:hAnsi="Verdana" w:cstheme="minorHAnsi"/>
                <w:szCs w:val="20"/>
              </w:rPr>
              <w:t xml:space="preserve">De laag ‘openbaar domein’ kan verder verfijnd worden in de werkgroep. </w:t>
            </w:r>
          </w:p>
          <w:p w:rsidR="003A01D5" w:rsidRPr="00DC3563" w:rsidRDefault="003A01D5" w:rsidP="0013168A">
            <w:pPr>
              <w:rPr>
                <w:rFonts w:ascii="Verdana" w:hAnsi="Verdana" w:cstheme="minorHAnsi"/>
                <w:i/>
                <w:szCs w:val="20"/>
                <w:highlight w:val="yellow"/>
                <w:lang w:val="nl" w:eastAsia="nl-BE"/>
              </w:rPr>
            </w:pP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049"/>
        <w:gridCol w:w="3469"/>
        <w:gridCol w:w="3053"/>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28</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Leegstand &amp; onderbenutting</w:t>
            </w:r>
          </w:p>
        </w:tc>
        <w:tc>
          <w:tcPr>
            <w:tcW w:w="0" w:type="auto"/>
            <w:gridSpan w:val="2"/>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i/>
                <w:szCs w:val="20"/>
                <w:lang w:val="nl" w:eastAsia="nl-BE"/>
              </w:rPr>
            </w:pPr>
            <w:r w:rsidRPr="00DC3563">
              <w:rPr>
                <w:rFonts w:ascii="Verdana" w:hAnsi="Verdana" w:cstheme="minorHAnsi"/>
                <w:szCs w:val="20"/>
              </w:rPr>
              <w:t xml:space="preserve">We brengen goede praktijken, noden en (bestaande en/of benodigde) instrumenten in kaart om </w:t>
            </w:r>
            <w:r w:rsidRPr="00DC3563">
              <w:rPr>
                <w:rFonts w:ascii="Verdana" w:hAnsi="Verdana" w:cstheme="minorHAnsi"/>
                <w:b/>
                <w:szCs w:val="20"/>
              </w:rPr>
              <w:t>leegstand en onderbenutting van gronden en panden</w:t>
            </w:r>
            <w:r w:rsidRPr="00DC3563">
              <w:rPr>
                <w:rFonts w:ascii="Verdana" w:hAnsi="Verdana" w:cstheme="minorHAnsi"/>
                <w:szCs w:val="20"/>
              </w:rPr>
              <w:t xml:space="preserve"> beter te monitoren en aan te pakken.</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lang w:val="nl" w:eastAsia="nl-BE"/>
              </w:rPr>
              <w:t>Departement Omgeving</w:t>
            </w:r>
          </w:p>
        </w:tc>
        <w:tc>
          <w:tcPr>
            <w:tcW w:w="0" w:type="auto"/>
            <w:gridSpan w:val="2"/>
            <w:tcBorders>
              <w:right w:val="single" w:sz="12" w:space="0" w:color="auto"/>
            </w:tcBorders>
            <w:shd w:val="clear" w:color="auto" w:fill="FFFFFF" w:themeFill="background1"/>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val="nl-BE" w:eastAsia="nl-BE"/>
              </w:rPr>
            </w:pPr>
            <w:r w:rsidRPr="00DC3563">
              <w:rPr>
                <w:rFonts w:ascii="Verdana" w:hAnsi="Verdana" w:cstheme="minorHAnsi"/>
                <w:color w:val="000000" w:themeColor="text1"/>
                <w:szCs w:val="20"/>
              </w:rPr>
              <w:t xml:space="preserve">Het Facilitair Bedrijf, VLAIO, Ag Wonen, Ag OE, </w:t>
            </w:r>
            <w:r w:rsidRPr="00DC3563">
              <w:rPr>
                <w:rFonts w:ascii="Verdana" w:hAnsi="Verdana" w:cstheme="minorHAnsi"/>
                <w:color w:val="000000" w:themeColor="text1"/>
                <w:szCs w:val="20"/>
                <w:lang w:val="nl-BE"/>
              </w:rPr>
              <w:t xml:space="preserve">Kenniscentrum Vlaamse Steden, </w:t>
            </w:r>
            <w:proofErr w:type="spellStart"/>
            <w:r w:rsidRPr="00DC3563">
              <w:rPr>
                <w:rFonts w:ascii="Verdana" w:hAnsi="Verdana" w:cstheme="minorHAnsi"/>
                <w:color w:val="000000" w:themeColor="text1"/>
                <w:szCs w:val="20"/>
                <w:lang w:val="nl-BE"/>
              </w:rPr>
              <w:t>AgION</w:t>
            </w:r>
            <w:proofErr w:type="spellEnd"/>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0" w:type="auto"/>
            <w:tcBorders>
              <w:bottom w:val="single" w:sz="12" w:space="0" w:color="auto"/>
            </w:tcBorders>
            <w:shd w:val="clear" w:color="auto" w:fill="FFFFFF" w:themeFill="background1"/>
          </w:tcPr>
          <w:p w:rsidR="003A01D5" w:rsidRPr="00DC3563" w:rsidRDefault="003A01D5" w:rsidP="0013168A">
            <w:pPr>
              <w:rPr>
                <w:rFonts w:ascii="Verdana" w:hAnsi="Verdana" w:cstheme="minorHAnsi"/>
                <w:szCs w:val="20"/>
                <w:lang w:val="nl" w:eastAsia="nl-BE"/>
              </w:rPr>
            </w:pPr>
            <w:r w:rsidRPr="00DC3563">
              <w:rPr>
                <w:rFonts w:ascii="Verdana" w:hAnsi="Verdana" w:cstheme="minorHAnsi"/>
                <w:b/>
                <w:szCs w:val="20"/>
              </w:rPr>
              <w:t>Status: lopend – actuele focus: inventarisatie</w:t>
            </w:r>
          </w:p>
        </w:tc>
        <w:tc>
          <w:tcPr>
            <w:tcW w:w="0" w:type="auto"/>
            <w:tcBorders>
              <w:bottom w:val="single" w:sz="12" w:space="0" w:color="auto"/>
            </w:tcBorders>
            <w:shd w:val="clear" w:color="auto" w:fill="FFFFFF" w:themeFill="background1"/>
          </w:tcPr>
          <w:p w:rsidR="003A01D5" w:rsidRPr="00DC3563" w:rsidRDefault="003A01D5" w:rsidP="0013168A">
            <w:pPr>
              <w:spacing w:line="276" w:lineRule="auto"/>
              <w:rPr>
                <w:rFonts w:ascii="Verdana" w:hAnsi="Verdana" w:cstheme="minorHAnsi"/>
                <w:b/>
                <w:szCs w:val="20"/>
                <w:lang w:val="nl-BE"/>
              </w:rPr>
            </w:pPr>
            <w:r w:rsidRPr="00DC3563">
              <w:rPr>
                <w:rFonts w:ascii="Verdana" w:hAnsi="Verdana" w:cstheme="minorHAnsi"/>
                <w:b/>
                <w:szCs w:val="20"/>
                <w:lang w:val="nl-BE"/>
              </w:rPr>
              <w:t>Tussentijdse resultaten</w:t>
            </w:r>
          </w:p>
          <w:p w:rsidR="003A01D5" w:rsidRPr="00DC3563" w:rsidRDefault="003A01D5" w:rsidP="003A01D5">
            <w:pPr>
              <w:numPr>
                <w:ilvl w:val="0"/>
                <w:numId w:val="4"/>
              </w:numPr>
              <w:tabs>
                <w:tab w:val="clear" w:pos="360"/>
                <w:tab w:val="left" w:pos="284"/>
                <w:tab w:val="left" w:pos="567"/>
                <w:tab w:val="num" w:pos="720"/>
                <w:tab w:val="left" w:pos="851"/>
                <w:tab w:val="center" w:pos="4394"/>
                <w:tab w:val="right" w:pos="8789"/>
              </w:tabs>
              <w:rPr>
                <w:rFonts w:ascii="Verdana" w:hAnsi="Verdana" w:cstheme="minorHAnsi"/>
                <w:szCs w:val="20"/>
              </w:rPr>
            </w:pPr>
            <w:r w:rsidRPr="00DC3563">
              <w:rPr>
                <w:rFonts w:ascii="Verdana" w:hAnsi="Verdana" w:cstheme="minorHAnsi"/>
                <w:szCs w:val="20"/>
              </w:rPr>
              <w:t>Terra Project (trekker: VEB)- koppeling tussen data energieverbruik en patrimoniuminformatie;</w:t>
            </w:r>
          </w:p>
          <w:p w:rsidR="003A01D5" w:rsidRPr="00DC3563" w:rsidRDefault="003A01D5" w:rsidP="003A01D5">
            <w:pPr>
              <w:numPr>
                <w:ilvl w:val="0"/>
                <w:numId w:val="4"/>
              </w:numPr>
              <w:tabs>
                <w:tab w:val="clear" w:pos="360"/>
                <w:tab w:val="left" w:pos="284"/>
                <w:tab w:val="left" w:pos="567"/>
                <w:tab w:val="num" w:pos="720"/>
                <w:tab w:val="left" w:pos="851"/>
                <w:tab w:val="center" w:pos="4394"/>
                <w:tab w:val="right" w:pos="8789"/>
              </w:tabs>
              <w:rPr>
                <w:rFonts w:ascii="Verdana" w:hAnsi="Verdana" w:cstheme="minorHAnsi"/>
                <w:szCs w:val="20"/>
                <w:lang w:val="nl-BE"/>
              </w:rPr>
            </w:pPr>
            <w:r w:rsidRPr="00DC3563">
              <w:rPr>
                <w:rFonts w:ascii="Verdana" w:hAnsi="Verdana" w:cstheme="minorHAnsi"/>
                <w:szCs w:val="20"/>
              </w:rPr>
              <w:t>Haalbaarheidsonderzoek PIRK (trekker: Kenniscentrum Vlaamse Steden) – ontwikkeling aanpak voor gemeenten om informatie over leegstand en onbenutte gronden accurater en efficiënter te verzamelen;</w:t>
            </w:r>
          </w:p>
          <w:p w:rsidR="003A01D5" w:rsidRPr="00DC3563" w:rsidRDefault="003A01D5" w:rsidP="003A01D5">
            <w:pPr>
              <w:numPr>
                <w:ilvl w:val="0"/>
                <w:numId w:val="4"/>
              </w:numPr>
              <w:tabs>
                <w:tab w:val="clear" w:pos="360"/>
                <w:tab w:val="left" w:pos="284"/>
                <w:tab w:val="left" w:pos="567"/>
                <w:tab w:val="num" w:pos="720"/>
                <w:tab w:val="left" w:pos="851"/>
                <w:tab w:val="center" w:pos="4394"/>
                <w:tab w:val="right" w:pos="8789"/>
              </w:tabs>
              <w:rPr>
                <w:rFonts w:ascii="Verdana" w:hAnsi="Verdana" w:cstheme="minorHAnsi"/>
                <w:szCs w:val="20"/>
                <w:lang w:val="nl-BE"/>
              </w:rPr>
            </w:pPr>
            <w:r w:rsidRPr="00DC3563">
              <w:rPr>
                <w:rFonts w:ascii="Verdana" w:hAnsi="Verdana" w:cstheme="minorHAnsi"/>
                <w:szCs w:val="20"/>
              </w:rPr>
              <w:t>Gebouwenregister (trekker: dept Informatie Vlaanderen – authentieke gegevensbron voor gebouwen en gebouweenheden in Vlaams Gewest (</w:t>
            </w:r>
            <w:proofErr w:type="spellStart"/>
            <w:r w:rsidRPr="00DC3563">
              <w:rPr>
                <w:rFonts w:ascii="Verdana" w:hAnsi="Verdana" w:cstheme="minorHAnsi"/>
                <w:szCs w:val="20"/>
              </w:rPr>
              <w:t>beta</w:t>
            </w:r>
            <w:proofErr w:type="spellEnd"/>
            <w:r w:rsidRPr="00DC3563">
              <w:rPr>
                <w:rFonts w:ascii="Verdana" w:hAnsi="Verdana" w:cstheme="minorHAnsi"/>
                <w:szCs w:val="20"/>
              </w:rPr>
              <w:t>-versie beschikbaar).</w:t>
            </w:r>
          </w:p>
        </w:tc>
        <w:tc>
          <w:tcPr>
            <w:tcW w:w="0" w:type="auto"/>
            <w:tcBorders>
              <w:bottom w:val="single" w:sz="12" w:space="0" w:color="auto"/>
              <w:right w:val="single" w:sz="12" w:space="0" w:color="auto"/>
            </w:tcBorders>
            <w:shd w:val="clear" w:color="auto" w:fill="FFFFFF" w:themeFill="background1"/>
          </w:tcPr>
          <w:p w:rsidR="003A01D5" w:rsidRPr="00DC3563" w:rsidRDefault="003A01D5" w:rsidP="0013168A">
            <w:pPr>
              <w:spacing w:line="276" w:lineRule="auto"/>
              <w:rPr>
                <w:rFonts w:ascii="Verdana" w:hAnsi="Verdana" w:cstheme="minorHAnsi"/>
                <w:b/>
                <w:szCs w:val="20"/>
                <w:lang w:val="nl-BE"/>
              </w:rPr>
            </w:pPr>
            <w:r w:rsidRPr="00DC3563">
              <w:rPr>
                <w:rFonts w:ascii="Verdana" w:hAnsi="Verdana" w:cstheme="minorHAnsi"/>
                <w:b/>
                <w:szCs w:val="20"/>
                <w:lang w:val="nl-BE"/>
              </w:rPr>
              <w:t>Verdere aanpak</w:t>
            </w:r>
          </w:p>
          <w:p w:rsidR="003A01D5" w:rsidRPr="00DC3563" w:rsidRDefault="003A01D5" w:rsidP="0013168A">
            <w:pPr>
              <w:rPr>
                <w:rFonts w:ascii="Verdana" w:hAnsi="Verdana" w:cstheme="minorHAnsi"/>
                <w:szCs w:val="20"/>
                <w:lang w:val="nl-BE"/>
              </w:rPr>
            </w:pPr>
            <w:r w:rsidRPr="00DC3563">
              <w:rPr>
                <w:rFonts w:ascii="Verdana" w:hAnsi="Verdana" w:cstheme="minorHAnsi"/>
                <w:szCs w:val="20"/>
              </w:rPr>
              <w:t>Ontwikkeling van een gemeenschappelijke ‘vermoedenslijst’ (referentie-inventaris) van leegstaande en onderbenutte gronden en panden, gebruik makend van bestaande gegevensbronnen. Deze inventaris wordt ontwikkeld zodat ze als ruime gegevensbron beleidsdomein-specifiek beleid en instrumentarium maximaal faciliteert.</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471"/>
        <w:gridCol w:w="6100"/>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29</w:t>
            </w:r>
          </w:p>
        </w:tc>
        <w:tc>
          <w:tcPr>
            <w:tcW w:w="24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Grond- en pandenmarkt monitoren</w:t>
            </w:r>
          </w:p>
        </w:tc>
        <w:tc>
          <w:tcPr>
            <w:tcW w:w="6124"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ontsluiten </w:t>
            </w:r>
            <w:r w:rsidRPr="00DC3563">
              <w:rPr>
                <w:rFonts w:ascii="Verdana" w:hAnsi="Verdana" w:cstheme="minorHAnsi"/>
                <w:b/>
                <w:szCs w:val="20"/>
              </w:rPr>
              <w:t>bestaande</w:t>
            </w:r>
            <w:r w:rsidRPr="00DC3563">
              <w:rPr>
                <w:rFonts w:ascii="Verdana" w:hAnsi="Verdana" w:cstheme="minorHAnsi"/>
                <w:szCs w:val="20"/>
              </w:rPr>
              <w:t xml:space="preserve"> </w:t>
            </w:r>
            <w:r w:rsidRPr="00DC3563">
              <w:rPr>
                <w:rFonts w:ascii="Verdana" w:hAnsi="Verdana" w:cstheme="minorHAnsi"/>
                <w:b/>
                <w:szCs w:val="20"/>
              </w:rPr>
              <w:t>monitoringsinitiatieven</w:t>
            </w:r>
            <w:r w:rsidRPr="00DC3563">
              <w:rPr>
                <w:rFonts w:ascii="Verdana" w:hAnsi="Verdana" w:cstheme="minorHAnsi"/>
                <w:szCs w:val="20"/>
              </w:rPr>
              <w:t xml:space="preserve"> via het web die helpen om de grond- en pandenmarkt zo volledig mogelijk in kaart te brengen</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8600" w:type="dxa"/>
            <w:gridSpan w:val="2"/>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Nog niet opgestart.</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470"/>
        <w:gridCol w:w="6101"/>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30</w:t>
            </w:r>
          </w:p>
        </w:tc>
        <w:tc>
          <w:tcPr>
            <w:tcW w:w="24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Grond- en pandenbeleid monitoren</w:t>
            </w:r>
          </w:p>
        </w:tc>
        <w:tc>
          <w:tcPr>
            <w:tcW w:w="6124"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szCs w:val="20"/>
              </w:rPr>
              <w:t xml:space="preserve">We verkennen en ontwikkelen </w:t>
            </w:r>
            <w:r w:rsidRPr="00DC3563">
              <w:rPr>
                <w:rFonts w:ascii="Verdana" w:hAnsi="Verdana" w:cstheme="minorHAnsi"/>
                <w:b/>
                <w:szCs w:val="20"/>
              </w:rPr>
              <w:t>nieuwe monitoringstoepassingen</w:t>
            </w:r>
            <w:r w:rsidRPr="00DC3563">
              <w:rPr>
                <w:rFonts w:ascii="Verdana" w:hAnsi="Verdana" w:cstheme="minorHAnsi"/>
                <w:szCs w:val="20"/>
              </w:rPr>
              <w:t xml:space="preserve"> ter ondersteuning van het grond- en pandenbeleid.</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8600" w:type="dxa"/>
            <w:gridSpan w:val="2"/>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Nog niet opgestart. </w:t>
            </w:r>
          </w:p>
        </w:tc>
      </w:tr>
    </w:tbl>
    <w:p w:rsidR="003A01D5" w:rsidRPr="00DC3563" w:rsidRDefault="003A01D5" w:rsidP="003A01D5">
      <w:pPr>
        <w:rPr>
          <w:rFonts w:ascii="Verdana" w:hAnsi="Verdana"/>
          <w:sz w:val="20"/>
          <w:szCs w:val="20"/>
        </w:rPr>
      </w:pPr>
    </w:p>
    <w:tbl>
      <w:tblPr>
        <w:tblStyle w:val="Tabelraster"/>
        <w:tblW w:w="9034" w:type="dxa"/>
        <w:tblBorders>
          <w:left w:val="none" w:sz="0" w:space="0" w:color="auto"/>
          <w:right w:val="none" w:sz="0" w:space="0" w:color="auto"/>
          <w:insideV w:val="none" w:sz="0" w:space="0" w:color="auto"/>
        </w:tblBorders>
        <w:tblLook w:val="04A0" w:firstRow="1" w:lastRow="0" w:firstColumn="1" w:lastColumn="0" w:noHBand="0" w:noVBand="1"/>
      </w:tblPr>
      <w:tblGrid>
        <w:gridCol w:w="471"/>
        <w:gridCol w:w="2431"/>
        <w:gridCol w:w="6132"/>
      </w:tblGrid>
      <w:tr w:rsidR="003A01D5" w:rsidRPr="00DC3563" w:rsidTr="0013168A">
        <w:trPr>
          <w:trHeight w:val="20"/>
          <w:tblHeader/>
        </w:trPr>
        <w:tc>
          <w:tcPr>
            <w:tcW w:w="0" w:type="auto"/>
            <w:tcBorders>
              <w:top w:val="single" w:sz="12" w:space="0" w:color="auto"/>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31</w:t>
            </w:r>
          </w:p>
        </w:tc>
        <w:tc>
          <w:tcPr>
            <w:tcW w:w="0" w:type="auto"/>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Optimalisatie Vastgoedmarkt Vlaamse overheid</w:t>
            </w:r>
          </w:p>
        </w:tc>
        <w:tc>
          <w:tcPr>
            <w:tcW w:w="0" w:type="auto"/>
            <w:tcBorders>
              <w:top w:val="single" w:sz="12" w:space="0" w:color="auto"/>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 xml:space="preserve">We optimaliseren de </w:t>
            </w:r>
            <w:r w:rsidRPr="00DC3563">
              <w:rPr>
                <w:rFonts w:ascii="Verdana" w:hAnsi="Verdana" w:cstheme="minorHAnsi"/>
                <w:b/>
                <w:szCs w:val="20"/>
              </w:rPr>
              <w:t xml:space="preserve">Vastgoedmarkt Vlaamse overheid </w:t>
            </w:r>
            <w:r w:rsidRPr="00DC3563">
              <w:rPr>
                <w:rFonts w:ascii="Verdana" w:hAnsi="Verdana" w:cstheme="minorHAnsi"/>
                <w:szCs w:val="20"/>
              </w:rPr>
              <w:t>zodat het aanbod transparanter en de procedure wordt en mogelijkheden makkelijker gegrepen kunnen worden.</w:t>
            </w:r>
          </w:p>
        </w:tc>
      </w:tr>
      <w:tr w:rsidR="003A01D5" w:rsidRPr="00DC3563" w:rsidTr="0013168A">
        <w:trPr>
          <w:trHeight w:val="20"/>
          <w:tblHeader/>
        </w:trPr>
        <w:tc>
          <w:tcPr>
            <w:tcW w:w="0" w:type="auto"/>
            <w:tcBorders>
              <w:left w:val="single" w:sz="12" w:space="0" w:color="auto"/>
            </w:tcBorders>
            <w:shd w:val="clear" w:color="auto" w:fill="FFFFFF" w:themeFill="background1"/>
          </w:tcPr>
          <w:p w:rsidR="003A01D5" w:rsidRPr="00DC3563" w:rsidRDefault="003A01D5" w:rsidP="0013168A">
            <w:pPr>
              <w:rPr>
                <w:rFonts w:ascii="Verdana" w:hAnsi="Verdana" w:cstheme="minorHAnsi"/>
                <w:szCs w:val="20"/>
              </w:rPr>
            </w:pPr>
          </w:p>
        </w:tc>
        <w:tc>
          <w:tcPr>
            <w:tcW w:w="0" w:type="auto"/>
            <w:shd w:val="clear" w:color="auto" w:fill="FFFFFF" w:themeFill="background1"/>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Trekker</w:t>
            </w:r>
          </w:p>
          <w:p w:rsidR="003A01D5" w:rsidRPr="00DC3563" w:rsidRDefault="003A01D5" w:rsidP="0013168A">
            <w:pPr>
              <w:rPr>
                <w:rFonts w:ascii="Verdana" w:hAnsi="Verdana" w:cstheme="minorHAnsi"/>
                <w:szCs w:val="20"/>
              </w:rPr>
            </w:pPr>
            <w:r w:rsidRPr="00DC3563">
              <w:rPr>
                <w:rFonts w:ascii="Verdana" w:hAnsi="Verdana" w:cstheme="minorHAnsi"/>
                <w:szCs w:val="20"/>
              </w:rPr>
              <w:t>Het Facilitair Bedrijf</w:t>
            </w: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rPr>
            </w:pPr>
          </w:p>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rPr>
              <w:t>Status: afgewerkt</w:t>
            </w:r>
          </w:p>
        </w:tc>
        <w:tc>
          <w:tcPr>
            <w:tcW w:w="0" w:type="auto"/>
            <w:tcBorders>
              <w:right w:val="single" w:sz="12" w:space="0" w:color="auto"/>
            </w:tcBorders>
            <w:shd w:val="clear" w:color="auto" w:fill="FFFFFF" w:themeFill="background1"/>
          </w:tcPr>
          <w:p w:rsidR="003A01D5" w:rsidRPr="00DC3563" w:rsidRDefault="003A01D5" w:rsidP="0013168A">
            <w:pPr>
              <w:rPr>
                <w:rFonts w:ascii="Verdana" w:hAnsi="Verdana" w:cstheme="minorHAnsi"/>
                <w:szCs w:val="20"/>
              </w:rPr>
            </w:pPr>
            <w:r w:rsidRPr="00DC3563">
              <w:rPr>
                <w:rFonts w:ascii="Verdana" w:hAnsi="Verdana" w:cstheme="minorHAnsi"/>
                <w:szCs w:val="20"/>
              </w:rPr>
              <w:t>Via de webpagina ‘Vastgoedpagina Vlaamse Overheid’ kan de externe en interne vastgoedmarkt van de Vlaamse overheid geraadpleegd worden. In het eerste luik worden onroerende goederen, die niet meer nuttig kunnen worden aangewend door de eigen entiteiten, aangeboden op de publieke markt. De interne vastgoedmarkt dient om onroerende goederen eerst intern te kunnen aanbieden, vooraleer ze kunnen vervreemd worden.</w:t>
            </w:r>
          </w:p>
          <w:p w:rsidR="003A01D5" w:rsidRPr="00DC3563" w:rsidRDefault="003A01D5" w:rsidP="0013168A">
            <w:pPr>
              <w:rPr>
                <w:rFonts w:ascii="Verdana" w:hAnsi="Verdana" w:cstheme="minorHAnsi"/>
                <w:szCs w:val="20"/>
              </w:rPr>
            </w:pPr>
            <w:r w:rsidRPr="00DC3563">
              <w:rPr>
                <w:rFonts w:ascii="Verdana" w:hAnsi="Verdana" w:cstheme="minorHAnsi"/>
                <w:szCs w:val="20"/>
              </w:rPr>
              <w:t>Alle onroerende goederen in eigendom van de Vlaamse Gemeenschap of het Vlaamse Gewest, die niet meer op een nuttige wijze kunnen worden aangewend voor het functioneel doel waarvoor ze werden bestemd en waaraan er geen nieuwe bestemming kan worden gegeven, worden op die manier dus gecentraliseerd met het oog op de optimale valorisatie ervan. Het Team Vastgoedbeleid (HFB) adviseert, staat in voor de afhandeling van deze valorisatiedossiers en waakt erover dat de toepasselijke procedures worden nageleefd en een marktconforme prijs wordt betaald.</w:t>
            </w:r>
          </w:p>
          <w:p w:rsidR="003A01D5" w:rsidRPr="00DC3563" w:rsidDel="00CC15CA" w:rsidRDefault="003A01D5" w:rsidP="0013168A">
            <w:pPr>
              <w:rPr>
                <w:rFonts w:ascii="Verdana" w:hAnsi="Verdana" w:cstheme="minorHAnsi"/>
                <w:szCs w:val="20"/>
              </w:rPr>
            </w:pPr>
            <w:r w:rsidRPr="00DC3563">
              <w:rPr>
                <w:rFonts w:ascii="Verdana" w:hAnsi="Verdana" w:cstheme="minorHAnsi"/>
                <w:szCs w:val="20"/>
              </w:rPr>
              <w:t>De procedure voor het beheer en de vervreemding van de niet-bestemde onroerende goederen die behoren tot het domein van de Vlaamse Gemeenschap of het Vlaamse Gewest wordt geregeld door de </w:t>
            </w:r>
            <w:hyperlink r:id="rId12" w:history="1">
              <w:r w:rsidRPr="00DC3563">
                <w:rPr>
                  <w:rStyle w:val="Hyperlink"/>
                  <w:rFonts w:ascii="Verdana" w:hAnsi="Verdana" w:cstheme="minorHAnsi"/>
                  <w:szCs w:val="20"/>
                </w:rPr>
                <w:t>omzendbrief VR 2017/42 van 12 mei 2017 (“omzendbrief domeinbeheer”)</w:t>
              </w:r>
            </w:hyperlink>
            <w:r w:rsidRPr="00DC3563">
              <w:rPr>
                <w:rFonts w:ascii="Verdana" w:hAnsi="Verdana" w:cstheme="minorHAnsi"/>
                <w:szCs w:val="20"/>
              </w:rPr>
              <w:t xml:space="preserve"> en wordt gevisualiseerd in een </w:t>
            </w:r>
            <w:hyperlink r:id="rId13" w:tgtFrame="_blank" w:history="1">
              <w:r w:rsidRPr="00DC3563">
                <w:rPr>
                  <w:rStyle w:val="Hyperlink"/>
                  <w:rFonts w:ascii="Verdana" w:hAnsi="Verdana" w:cstheme="minorHAnsi"/>
                  <w:szCs w:val="20"/>
                </w:rPr>
                <w:t>handige procesflow</w:t>
              </w:r>
            </w:hyperlink>
            <w:r w:rsidRPr="00DC3563">
              <w:rPr>
                <w:rStyle w:val="media"/>
                <w:rFonts w:ascii="Verdana" w:hAnsi="Verdana" w:cstheme="minorHAnsi"/>
                <w:color w:val="333333"/>
                <w:szCs w:val="20"/>
              </w:rPr>
              <w:t xml:space="preserve"> </w:t>
            </w:r>
            <w:r w:rsidRPr="00DC3563">
              <w:rPr>
                <w:rFonts w:ascii="Verdana" w:hAnsi="Verdana" w:cstheme="minorHAnsi"/>
                <w:szCs w:val="20"/>
              </w:rPr>
              <w:t xml:space="preserve">. </w:t>
            </w:r>
          </w:p>
        </w:tc>
      </w:tr>
    </w:tbl>
    <w:p w:rsidR="003A01D5" w:rsidRPr="00DC3563" w:rsidRDefault="003A01D5" w:rsidP="003A01D5">
      <w:pPr>
        <w:rPr>
          <w:rFonts w:ascii="Verdana" w:hAnsi="Verdana"/>
          <w:sz w:val="20"/>
          <w:szCs w:val="20"/>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
        <w:gridCol w:w="2469"/>
        <w:gridCol w:w="6102"/>
      </w:tblGrid>
      <w:tr w:rsidR="003A01D5" w:rsidRPr="00DC3563" w:rsidTr="0013168A">
        <w:trPr>
          <w:trHeight w:val="20"/>
          <w:tblHeader/>
        </w:trPr>
        <w:tc>
          <w:tcPr>
            <w:tcW w:w="0" w:type="auto"/>
            <w:tcBorders>
              <w:top w:val="single" w:sz="12" w:space="0" w:color="auto"/>
              <w:left w:val="single" w:sz="12" w:space="0" w:color="auto"/>
            </w:tcBorders>
            <w:shd w:val="clear" w:color="auto" w:fill="auto"/>
          </w:tcPr>
          <w:p w:rsidR="003A01D5" w:rsidRPr="00DC3563" w:rsidRDefault="003A01D5" w:rsidP="0013168A">
            <w:pPr>
              <w:rPr>
                <w:rFonts w:ascii="Verdana" w:hAnsi="Verdana" w:cstheme="minorHAnsi"/>
                <w:szCs w:val="20"/>
              </w:rPr>
            </w:pPr>
            <w:r w:rsidRPr="00DC3563">
              <w:rPr>
                <w:rFonts w:ascii="Verdana" w:hAnsi="Verdana" w:cstheme="minorHAnsi"/>
                <w:szCs w:val="20"/>
              </w:rPr>
              <w:t>32</w:t>
            </w:r>
          </w:p>
        </w:tc>
        <w:tc>
          <w:tcPr>
            <w:tcW w:w="2476" w:type="dxa"/>
            <w:tcBorders>
              <w:top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Referentie-databank</w:t>
            </w:r>
          </w:p>
        </w:tc>
        <w:tc>
          <w:tcPr>
            <w:tcW w:w="6124" w:type="dxa"/>
            <w:tcBorders>
              <w:top w:val="single" w:sz="12" w:space="0" w:color="auto"/>
              <w:right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szCs w:val="20"/>
              </w:rPr>
              <w:t xml:space="preserve">Ontwikkeling </w:t>
            </w:r>
            <w:r w:rsidRPr="00DC3563">
              <w:rPr>
                <w:rFonts w:ascii="Verdana" w:hAnsi="Verdana" w:cstheme="minorHAnsi"/>
                <w:b/>
                <w:szCs w:val="20"/>
              </w:rPr>
              <w:t>referentiedatabank</w:t>
            </w:r>
            <w:r w:rsidRPr="00DC3563">
              <w:rPr>
                <w:rFonts w:ascii="Verdana" w:hAnsi="Verdana" w:cstheme="minorHAnsi"/>
                <w:szCs w:val="20"/>
              </w:rPr>
              <w:t xml:space="preserve"> uit schattingen van gronden/transacties van/binnen de Vlaamse overheid.</w:t>
            </w:r>
          </w:p>
        </w:tc>
      </w:tr>
      <w:tr w:rsidR="003A01D5" w:rsidRPr="00DC3563" w:rsidTr="0013168A">
        <w:trPr>
          <w:trHeight w:val="20"/>
          <w:tblHeader/>
        </w:trPr>
        <w:tc>
          <w:tcPr>
            <w:tcW w:w="0" w:type="auto"/>
            <w:tcBorders>
              <w:left w:val="single" w:sz="12" w:space="0" w:color="auto"/>
            </w:tcBorders>
            <w:shd w:val="clear" w:color="auto" w:fill="auto"/>
          </w:tcPr>
          <w:p w:rsidR="003A01D5" w:rsidRPr="00DC3563" w:rsidRDefault="003A01D5" w:rsidP="0013168A">
            <w:pPr>
              <w:rPr>
                <w:rFonts w:ascii="Verdana" w:hAnsi="Verdana" w:cstheme="minorHAnsi"/>
                <w:szCs w:val="20"/>
              </w:rPr>
            </w:pPr>
          </w:p>
        </w:tc>
        <w:tc>
          <w:tcPr>
            <w:tcW w:w="2476" w:type="dxa"/>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Trekkers</w:t>
            </w:r>
          </w:p>
          <w:p w:rsidR="003A01D5" w:rsidRPr="00DC3563" w:rsidRDefault="003A01D5" w:rsidP="0013168A">
            <w:pPr>
              <w:rPr>
                <w:rFonts w:ascii="Verdana" w:hAnsi="Verdana" w:cstheme="minorHAnsi"/>
                <w:szCs w:val="20"/>
              </w:rPr>
            </w:pPr>
            <w:proofErr w:type="spellStart"/>
            <w:r w:rsidRPr="00DC3563">
              <w:rPr>
                <w:rFonts w:ascii="Verdana" w:hAnsi="Verdana" w:cstheme="minorHAnsi"/>
                <w:szCs w:val="20"/>
              </w:rPr>
              <w:t>Vlabel</w:t>
            </w:r>
            <w:proofErr w:type="spellEnd"/>
            <w:r w:rsidRPr="00DC3563">
              <w:rPr>
                <w:rFonts w:ascii="Verdana" w:hAnsi="Verdana" w:cstheme="minorHAnsi"/>
                <w:szCs w:val="20"/>
              </w:rPr>
              <w:t xml:space="preserve"> &amp; VLM</w:t>
            </w:r>
          </w:p>
        </w:tc>
        <w:tc>
          <w:tcPr>
            <w:tcW w:w="6124" w:type="dxa"/>
            <w:tcBorders>
              <w:right w:val="single" w:sz="12" w:space="0" w:color="auto"/>
            </w:tcBorders>
            <w:shd w:val="clear" w:color="auto" w:fill="auto"/>
          </w:tcPr>
          <w:p w:rsidR="003A01D5" w:rsidRPr="00DC3563" w:rsidRDefault="003A01D5" w:rsidP="0013168A">
            <w:pPr>
              <w:rPr>
                <w:rFonts w:ascii="Verdana" w:hAnsi="Verdana" w:cstheme="minorHAnsi"/>
                <w:b/>
                <w:szCs w:val="20"/>
              </w:rPr>
            </w:pPr>
            <w:r w:rsidRPr="00DC3563">
              <w:rPr>
                <w:rFonts w:ascii="Verdana" w:hAnsi="Verdana" w:cstheme="minorHAnsi"/>
                <w:b/>
                <w:szCs w:val="20"/>
              </w:rPr>
              <w:t>Sleutelpartners</w:t>
            </w:r>
          </w:p>
          <w:p w:rsidR="003A01D5" w:rsidRPr="00DC3563" w:rsidRDefault="003A01D5" w:rsidP="0013168A">
            <w:pPr>
              <w:rPr>
                <w:rFonts w:ascii="Verdana" w:hAnsi="Verdana" w:cstheme="minorHAnsi"/>
                <w:szCs w:val="20"/>
                <w:lang w:val="nl" w:eastAsia="nl-BE"/>
              </w:rPr>
            </w:pPr>
            <w:r w:rsidRPr="00DC3563">
              <w:rPr>
                <w:rFonts w:ascii="Verdana" w:hAnsi="Verdana" w:cstheme="minorHAnsi"/>
                <w:szCs w:val="20"/>
              </w:rPr>
              <w:t>Departement Omgeving, Landcommissies</w:t>
            </w:r>
          </w:p>
        </w:tc>
      </w:tr>
      <w:tr w:rsidR="003A01D5" w:rsidRPr="00DC3563" w:rsidTr="0013168A">
        <w:trPr>
          <w:trHeight w:val="20"/>
          <w:tblHeader/>
        </w:trPr>
        <w:tc>
          <w:tcPr>
            <w:tcW w:w="0" w:type="auto"/>
            <w:tcBorders>
              <w:left w:val="single" w:sz="12" w:space="0" w:color="auto"/>
              <w:bottom w:val="single" w:sz="12" w:space="0" w:color="auto"/>
            </w:tcBorders>
            <w:shd w:val="clear" w:color="auto" w:fill="auto"/>
          </w:tcPr>
          <w:p w:rsidR="003A01D5" w:rsidRPr="00DC3563" w:rsidRDefault="003A01D5" w:rsidP="0013168A">
            <w:pPr>
              <w:rPr>
                <w:rFonts w:ascii="Verdana" w:hAnsi="Verdana" w:cstheme="minorHAnsi"/>
                <w:szCs w:val="20"/>
              </w:rPr>
            </w:pPr>
          </w:p>
        </w:tc>
        <w:tc>
          <w:tcPr>
            <w:tcW w:w="2476" w:type="dxa"/>
            <w:tcBorders>
              <w:bottom w:val="single" w:sz="12" w:space="0" w:color="auto"/>
            </w:tcBorders>
            <w:shd w:val="clear" w:color="auto" w:fill="auto"/>
          </w:tcPr>
          <w:p w:rsidR="003A01D5" w:rsidRPr="00DC3563" w:rsidRDefault="003A01D5" w:rsidP="0013168A">
            <w:pPr>
              <w:rPr>
                <w:rFonts w:ascii="Verdana" w:hAnsi="Verdana" w:cstheme="minorHAnsi"/>
                <w:b/>
                <w:szCs w:val="20"/>
                <w:lang w:val="nl" w:eastAsia="nl-BE"/>
              </w:rPr>
            </w:pPr>
            <w:r w:rsidRPr="00DC3563">
              <w:rPr>
                <w:rFonts w:ascii="Verdana" w:hAnsi="Verdana" w:cstheme="minorHAnsi"/>
                <w:b/>
                <w:szCs w:val="20"/>
                <w:lang w:val="nl" w:eastAsia="nl-BE"/>
              </w:rPr>
              <w:t>Status: lopend</w:t>
            </w:r>
          </w:p>
        </w:tc>
        <w:tc>
          <w:tcPr>
            <w:tcW w:w="6124" w:type="dxa"/>
            <w:tcBorders>
              <w:bottom w:val="single" w:sz="12" w:space="0" w:color="auto"/>
              <w:right w:val="single" w:sz="12" w:space="0" w:color="auto"/>
            </w:tcBorders>
            <w:shd w:val="clear" w:color="auto" w:fill="auto"/>
          </w:tcPr>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Het instrumentendecreet voorziet in een aantal procedures waarbij waarderingen en schattingen van percelen voor de Landcommissies moeten voorbereid worden (bv opmaak schade(</w:t>
            </w:r>
            <w:proofErr w:type="spellStart"/>
            <w:r w:rsidRPr="00DC3563">
              <w:rPr>
                <w:rFonts w:ascii="Verdana" w:hAnsi="Verdana" w:cstheme="minorHAnsi"/>
                <w:szCs w:val="20"/>
                <w:lang w:val="nl-BE" w:eastAsia="nl-BE"/>
              </w:rPr>
              <w:t>ramings</w:t>
            </w:r>
            <w:proofErr w:type="spellEnd"/>
            <w:r w:rsidRPr="00DC3563">
              <w:rPr>
                <w:rFonts w:ascii="Verdana" w:hAnsi="Verdana" w:cstheme="minorHAnsi"/>
                <w:szCs w:val="20"/>
                <w:lang w:val="nl-BE" w:eastAsia="nl-BE"/>
              </w:rPr>
              <w:t xml:space="preserve">)rapport voor compenserende vergoedingen, meerwaarderamingsrapport voor planbaten, berekening billijke schadevergoeding). Voor de operationalisering van dit decreet is niet alleen een afgestemde aanpak noodzakelijk, maar ook een vlotte toegang tot vergelijkingspunten. </w:t>
            </w:r>
          </w:p>
          <w:p w:rsidR="003A01D5" w:rsidRPr="00DC3563" w:rsidRDefault="003A01D5" w:rsidP="0013168A">
            <w:pPr>
              <w:rPr>
                <w:rFonts w:ascii="Verdana" w:hAnsi="Verdana" w:cstheme="minorHAnsi"/>
                <w:szCs w:val="20"/>
                <w:lang w:val="nl-BE" w:eastAsia="nl-BE"/>
              </w:rPr>
            </w:pPr>
            <w:r w:rsidRPr="00DC3563">
              <w:rPr>
                <w:rFonts w:ascii="Verdana" w:hAnsi="Verdana" w:cstheme="minorHAnsi"/>
                <w:szCs w:val="20"/>
                <w:lang w:val="nl-BE" w:eastAsia="nl-BE"/>
              </w:rPr>
              <w:t xml:space="preserve">Expertises, gegevens en schattingstools zijn in hoofdzaak aanwezig of in opbouw bij VLM en </w:t>
            </w:r>
            <w:proofErr w:type="spellStart"/>
            <w:r w:rsidRPr="00DC3563">
              <w:rPr>
                <w:rFonts w:ascii="Verdana" w:hAnsi="Verdana" w:cstheme="minorHAnsi"/>
                <w:szCs w:val="20"/>
                <w:lang w:val="nl-BE" w:eastAsia="nl-BE"/>
              </w:rPr>
              <w:t>Vlabel</w:t>
            </w:r>
            <w:proofErr w:type="spellEnd"/>
            <w:r w:rsidRPr="00DC3563">
              <w:rPr>
                <w:rFonts w:ascii="Verdana" w:hAnsi="Verdana" w:cstheme="minorHAnsi"/>
                <w:szCs w:val="20"/>
                <w:lang w:val="nl-BE" w:eastAsia="nl-BE"/>
              </w:rPr>
              <w:t>.  Flankerend aan het instrumentendecreet wordt dus een maximale kennis- en gegevensuitwisseling nagestreefd.</w:t>
            </w:r>
          </w:p>
        </w:tc>
      </w:tr>
    </w:tbl>
    <w:p w:rsidR="003A01D5" w:rsidRPr="00DC3563" w:rsidRDefault="003A01D5" w:rsidP="003A01D5">
      <w:pPr>
        <w:rPr>
          <w:rFonts w:ascii="Verdana" w:hAnsi="Verdana"/>
          <w:sz w:val="20"/>
          <w:szCs w:val="20"/>
        </w:rPr>
      </w:pPr>
    </w:p>
    <w:p w:rsidR="003A01D5" w:rsidRPr="00DC3563" w:rsidRDefault="003A01D5" w:rsidP="003A01D5">
      <w:pPr>
        <w:tabs>
          <w:tab w:val="left" w:pos="533"/>
          <w:tab w:val="left" w:pos="3652"/>
        </w:tabs>
        <w:jc w:val="both"/>
        <w:rPr>
          <w:rFonts w:ascii="Verdana" w:hAnsi="Verdana" w:cstheme="minorHAnsi"/>
          <w:sz w:val="20"/>
          <w:szCs w:val="20"/>
          <w:lang w:val="nl-BE"/>
        </w:rPr>
      </w:pPr>
    </w:p>
    <w:p w:rsidR="00F77141" w:rsidRPr="003A01D5" w:rsidRDefault="003A01D5">
      <w:pPr>
        <w:rPr>
          <w:lang w:val="nl-BE"/>
        </w:rPr>
      </w:pPr>
    </w:p>
    <w:sectPr w:rsidR="00F77141" w:rsidRPr="003A0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0D"/>
    <w:multiLevelType w:val="hybridMultilevel"/>
    <w:tmpl w:val="E9E2231C"/>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63342A"/>
    <w:multiLevelType w:val="hybridMultilevel"/>
    <w:tmpl w:val="F8BE48B6"/>
    <w:lvl w:ilvl="0" w:tplc="D19CEDD2">
      <w:start w:val="1"/>
      <w:numFmt w:val="bullet"/>
      <w:lvlText w:val=""/>
      <w:lvlJc w:val="left"/>
      <w:pPr>
        <w:tabs>
          <w:tab w:val="num" w:pos="360"/>
        </w:tabs>
        <w:ind w:left="360" w:hanging="360"/>
      </w:pPr>
      <w:rPr>
        <w:rFonts w:ascii="Wingdings" w:hAnsi="Wingdings" w:hint="default"/>
      </w:rPr>
    </w:lvl>
    <w:lvl w:ilvl="1" w:tplc="2306FADE" w:tentative="1">
      <w:start w:val="1"/>
      <w:numFmt w:val="bullet"/>
      <w:lvlText w:val=""/>
      <w:lvlJc w:val="left"/>
      <w:pPr>
        <w:tabs>
          <w:tab w:val="num" w:pos="1080"/>
        </w:tabs>
        <w:ind w:left="1080" w:hanging="360"/>
      </w:pPr>
      <w:rPr>
        <w:rFonts w:ascii="Wingdings" w:hAnsi="Wingdings" w:hint="default"/>
      </w:rPr>
    </w:lvl>
    <w:lvl w:ilvl="2" w:tplc="AE72D1D2" w:tentative="1">
      <w:start w:val="1"/>
      <w:numFmt w:val="bullet"/>
      <w:lvlText w:val=""/>
      <w:lvlJc w:val="left"/>
      <w:pPr>
        <w:tabs>
          <w:tab w:val="num" w:pos="1800"/>
        </w:tabs>
        <w:ind w:left="1800" w:hanging="360"/>
      </w:pPr>
      <w:rPr>
        <w:rFonts w:ascii="Wingdings" w:hAnsi="Wingdings" w:hint="default"/>
      </w:rPr>
    </w:lvl>
    <w:lvl w:ilvl="3" w:tplc="F08822EE" w:tentative="1">
      <w:start w:val="1"/>
      <w:numFmt w:val="bullet"/>
      <w:lvlText w:val=""/>
      <w:lvlJc w:val="left"/>
      <w:pPr>
        <w:tabs>
          <w:tab w:val="num" w:pos="2520"/>
        </w:tabs>
        <w:ind w:left="2520" w:hanging="360"/>
      </w:pPr>
      <w:rPr>
        <w:rFonts w:ascii="Wingdings" w:hAnsi="Wingdings" w:hint="default"/>
      </w:rPr>
    </w:lvl>
    <w:lvl w:ilvl="4" w:tplc="505EBE16" w:tentative="1">
      <w:start w:val="1"/>
      <w:numFmt w:val="bullet"/>
      <w:lvlText w:val=""/>
      <w:lvlJc w:val="left"/>
      <w:pPr>
        <w:tabs>
          <w:tab w:val="num" w:pos="3240"/>
        </w:tabs>
        <w:ind w:left="3240" w:hanging="360"/>
      </w:pPr>
      <w:rPr>
        <w:rFonts w:ascii="Wingdings" w:hAnsi="Wingdings" w:hint="default"/>
      </w:rPr>
    </w:lvl>
    <w:lvl w:ilvl="5" w:tplc="F42E2B84" w:tentative="1">
      <w:start w:val="1"/>
      <w:numFmt w:val="bullet"/>
      <w:lvlText w:val=""/>
      <w:lvlJc w:val="left"/>
      <w:pPr>
        <w:tabs>
          <w:tab w:val="num" w:pos="3960"/>
        </w:tabs>
        <w:ind w:left="3960" w:hanging="360"/>
      </w:pPr>
      <w:rPr>
        <w:rFonts w:ascii="Wingdings" w:hAnsi="Wingdings" w:hint="default"/>
      </w:rPr>
    </w:lvl>
    <w:lvl w:ilvl="6" w:tplc="EB7A2840" w:tentative="1">
      <w:start w:val="1"/>
      <w:numFmt w:val="bullet"/>
      <w:lvlText w:val=""/>
      <w:lvlJc w:val="left"/>
      <w:pPr>
        <w:tabs>
          <w:tab w:val="num" w:pos="4680"/>
        </w:tabs>
        <w:ind w:left="4680" w:hanging="360"/>
      </w:pPr>
      <w:rPr>
        <w:rFonts w:ascii="Wingdings" w:hAnsi="Wingdings" w:hint="default"/>
      </w:rPr>
    </w:lvl>
    <w:lvl w:ilvl="7" w:tplc="9984C2C2" w:tentative="1">
      <w:start w:val="1"/>
      <w:numFmt w:val="bullet"/>
      <w:lvlText w:val=""/>
      <w:lvlJc w:val="left"/>
      <w:pPr>
        <w:tabs>
          <w:tab w:val="num" w:pos="5400"/>
        </w:tabs>
        <w:ind w:left="5400" w:hanging="360"/>
      </w:pPr>
      <w:rPr>
        <w:rFonts w:ascii="Wingdings" w:hAnsi="Wingdings" w:hint="default"/>
      </w:rPr>
    </w:lvl>
    <w:lvl w:ilvl="8" w:tplc="20FCA7F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85CAC"/>
    <w:multiLevelType w:val="hybridMultilevel"/>
    <w:tmpl w:val="E3CA6556"/>
    <w:lvl w:ilvl="0" w:tplc="145C541C">
      <w:start w:val="1"/>
      <w:numFmt w:val="bullet"/>
      <w:lvlText w:val=""/>
      <w:lvlJc w:val="left"/>
      <w:pPr>
        <w:tabs>
          <w:tab w:val="num" w:pos="360"/>
        </w:tabs>
        <w:ind w:left="360" w:hanging="360"/>
      </w:pPr>
      <w:rPr>
        <w:rFonts w:ascii="Wingdings" w:hAnsi="Wingdings" w:hint="default"/>
      </w:rPr>
    </w:lvl>
    <w:lvl w:ilvl="1" w:tplc="4544C084" w:tentative="1">
      <w:start w:val="1"/>
      <w:numFmt w:val="bullet"/>
      <w:lvlText w:val=""/>
      <w:lvlJc w:val="left"/>
      <w:pPr>
        <w:tabs>
          <w:tab w:val="num" w:pos="1080"/>
        </w:tabs>
        <w:ind w:left="1080" w:hanging="360"/>
      </w:pPr>
      <w:rPr>
        <w:rFonts w:ascii="Wingdings" w:hAnsi="Wingdings" w:hint="default"/>
      </w:rPr>
    </w:lvl>
    <w:lvl w:ilvl="2" w:tplc="0436ED88" w:tentative="1">
      <w:start w:val="1"/>
      <w:numFmt w:val="bullet"/>
      <w:lvlText w:val=""/>
      <w:lvlJc w:val="left"/>
      <w:pPr>
        <w:tabs>
          <w:tab w:val="num" w:pos="1800"/>
        </w:tabs>
        <w:ind w:left="1800" w:hanging="360"/>
      </w:pPr>
      <w:rPr>
        <w:rFonts w:ascii="Wingdings" w:hAnsi="Wingdings" w:hint="default"/>
      </w:rPr>
    </w:lvl>
    <w:lvl w:ilvl="3" w:tplc="321A675C" w:tentative="1">
      <w:start w:val="1"/>
      <w:numFmt w:val="bullet"/>
      <w:lvlText w:val=""/>
      <w:lvlJc w:val="left"/>
      <w:pPr>
        <w:tabs>
          <w:tab w:val="num" w:pos="2520"/>
        </w:tabs>
        <w:ind w:left="2520" w:hanging="360"/>
      </w:pPr>
      <w:rPr>
        <w:rFonts w:ascii="Wingdings" w:hAnsi="Wingdings" w:hint="default"/>
      </w:rPr>
    </w:lvl>
    <w:lvl w:ilvl="4" w:tplc="D4847E62" w:tentative="1">
      <w:start w:val="1"/>
      <w:numFmt w:val="bullet"/>
      <w:lvlText w:val=""/>
      <w:lvlJc w:val="left"/>
      <w:pPr>
        <w:tabs>
          <w:tab w:val="num" w:pos="3240"/>
        </w:tabs>
        <w:ind w:left="3240" w:hanging="360"/>
      </w:pPr>
      <w:rPr>
        <w:rFonts w:ascii="Wingdings" w:hAnsi="Wingdings" w:hint="default"/>
      </w:rPr>
    </w:lvl>
    <w:lvl w:ilvl="5" w:tplc="143A7994" w:tentative="1">
      <w:start w:val="1"/>
      <w:numFmt w:val="bullet"/>
      <w:lvlText w:val=""/>
      <w:lvlJc w:val="left"/>
      <w:pPr>
        <w:tabs>
          <w:tab w:val="num" w:pos="3960"/>
        </w:tabs>
        <w:ind w:left="3960" w:hanging="360"/>
      </w:pPr>
      <w:rPr>
        <w:rFonts w:ascii="Wingdings" w:hAnsi="Wingdings" w:hint="default"/>
      </w:rPr>
    </w:lvl>
    <w:lvl w:ilvl="6" w:tplc="8966B204" w:tentative="1">
      <w:start w:val="1"/>
      <w:numFmt w:val="bullet"/>
      <w:lvlText w:val=""/>
      <w:lvlJc w:val="left"/>
      <w:pPr>
        <w:tabs>
          <w:tab w:val="num" w:pos="4680"/>
        </w:tabs>
        <w:ind w:left="4680" w:hanging="360"/>
      </w:pPr>
      <w:rPr>
        <w:rFonts w:ascii="Wingdings" w:hAnsi="Wingdings" w:hint="default"/>
      </w:rPr>
    </w:lvl>
    <w:lvl w:ilvl="7" w:tplc="BD5606C4" w:tentative="1">
      <w:start w:val="1"/>
      <w:numFmt w:val="bullet"/>
      <w:lvlText w:val=""/>
      <w:lvlJc w:val="left"/>
      <w:pPr>
        <w:tabs>
          <w:tab w:val="num" w:pos="5400"/>
        </w:tabs>
        <w:ind w:left="5400" w:hanging="360"/>
      </w:pPr>
      <w:rPr>
        <w:rFonts w:ascii="Wingdings" w:hAnsi="Wingdings" w:hint="default"/>
      </w:rPr>
    </w:lvl>
    <w:lvl w:ilvl="8" w:tplc="FA041D7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F4E76"/>
    <w:multiLevelType w:val="hybridMultilevel"/>
    <w:tmpl w:val="CDBE9AC8"/>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C752B5"/>
    <w:multiLevelType w:val="hybridMultilevel"/>
    <w:tmpl w:val="7680B170"/>
    <w:lvl w:ilvl="0" w:tplc="C45CB650">
      <w:start w:val="1"/>
      <w:numFmt w:val="decimal"/>
      <w:lvlText w:val="%1."/>
      <w:lvlJc w:val="left"/>
      <w:pPr>
        <w:ind w:left="720" w:hanging="360"/>
      </w:pPr>
    </w:lvl>
    <w:lvl w:ilvl="1" w:tplc="C4FEE370">
      <w:start w:val="1"/>
      <w:numFmt w:val="lowerLetter"/>
      <w:lvlText w:val="%2."/>
      <w:lvlJc w:val="left"/>
      <w:pPr>
        <w:ind w:left="1440" w:hanging="360"/>
      </w:pPr>
    </w:lvl>
    <w:lvl w:ilvl="2" w:tplc="EA382732">
      <w:start w:val="1"/>
      <w:numFmt w:val="lowerRoman"/>
      <w:lvlText w:val="%3."/>
      <w:lvlJc w:val="right"/>
      <w:pPr>
        <w:ind w:left="2160" w:hanging="180"/>
      </w:pPr>
    </w:lvl>
    <w:lvl w:ilvl="3" w:tplc="0DFCD034">
      <w:start w:val="1"/>
      <w:numFmt w:val="decimal"/>
      <w:lvlText w:val="%4."/>
      <w:lvlJc w:val="left"/>
      <w:pPr>
        <w:ind w:left="2880" w:hanging="360"/>
      </w:pPr>
    </w:lvl>
    <w:lvl w:ilvl="4" w:tplc="03C27022">
      <w:start w:val="1"/>
      <w:numFmt w:val="lowerLetter"/>
      <w:lvlText w:val="%5."/>
      <w:lvlJc w:val="left"/>
      <w:pPr>
        <w:ind w:left="3600" w:hanging="360"/>
      </w:pPr>
    </w:lvl>
    <w:lvl w:ilvl="5" w:tplc="5450EABC">
      <w:start w:val="1"/>
      <w:numFmt w:val="lowerRoman"/>
      <w:lvlText w:val="%6."/>
      <w:lvlJc w:val="right"/>
      <w:pPr>
        <w:ind w:left="4320" w:hanging="180"/>
      </w:pPr>
    </w:lvl>
    <w:lvl w:ilvl="6" w:tplc="CC44079C">
      <w:start w:val="1"/>
      <w:numFmt w:val="decimal"/>
      <w:lvlText w:val="%7."/>
      <w:lvlJc w:val="left"/>
      <w:pPr>
        <w:ind w:left="5040" w:hanging="360"/>
      </w:pPr>
    </w:lvl>
    <w:lvl w:ilvl="7" w:tplc="663EF858">
      <w:start w:val="1"/>
      <w:numFmt w:val="lowerLetter"/>
      <w:lvlText w:val="%8."/>
      <w:lvlJc w:val="left"/>
      <w:pPr>
        <w:ind w:left="5760" w:hanging="360"/>
      </w:pPr>
    </w:lvl>
    <w:lvl w:ilvl="8" w:tplc="034CE630">
      <w:start w:val="1"/>
      <w:numFmt w:val="lowerRoman"/>
      <w:lvlText w:val="%9."/>
      <w:lvlJc w:val="right"/>
      <w:pPr>
        <w:ind w:left="6480" w:hanging="180"/>
      </w:pPr>
    </w:lvl>
  </w:abstractNum>
  <w:abstractNum w:abstractNumId="5" w15:restartNumberingAfterBreak="0">
    <w:nsid w:val="17111055"/>
    <w:multiLevelType w:val="hybridMultilevel"/>
    <w:tmpl w:val="AF002FA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1EE5C65"/>
    <w:multiLevelType w:val="hybridMultilevel"/>
    <w:tmpl w:val="C2968DD4"/>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23B06144"/>
    <w:multiLevelType w:val="hybridMultilevel"/>
    <w:tmpl w:val="7010736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D321DF"/>
    <w:multiLevelType w:val="hybridMultilevel"/>
    <w:tmpl w:val="49D040D4"/>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3FE55E0"/>
    <w:multiLevelType w:val="hybridMultilevel"/>
    <w:tmpl w:val="96C2201C"/>
    <w:lvl w:ilvl="0" w:tplc="59D2630E">
      <w:start w:val="1"/>
      <w:numFmt w:val="bullet"/>
      <w:lvlText w:val=""/>
      <w:lvlJc w:val="left"/>
      <w:pPr>
        <w:tabs>
          <w:tab w:val="num" w:pos="360"/>
        </w:tabs>
        <w:ind w:left="360" w:hanging="360"/>
      </w:pPr>
      <w:rPr>
        <w:rFonts w:ascii="Wingdings" w:hAnsi="Wingdings" w:hint="default"/>
      </w:rPr>
    </w:lvl>
    <w:lvl w:ilvl="1" w:tplc="9490E78E" w:tentative="1">
      <w:start w:val="1"/>
      <w:numFmt w:val="bullet"/>
      <w:lvlText w:val=""/>
      <w:lvlJc w:val="left"/>
      <w:pPr>
        <w:tabs>
          <w:tab w:val="num" w:pos="1080"/>
        </w:tabs>
        <w:ind w:left="1080" w:hanging="360"/>
      </w:pPr>
      <w:rPr>
        <w:rFonts w:ascii="Wingdings" w:hAnsi="Wingdings" w:hint="default"/>
      </w:rPr>
    </w:lvl>
    <w:lvl w:ilvl="2" w:tplc="E8FEDAB4" w:tentative="1">
      <w:start w:val="1"/>
      <w:numFmt w:val="bullet"/>
      <w:lvlText w:val=""/>
      <w:lvlJc w:val="left"/>
      <w:pPr>
        <w:tabs>
          <w:tab w:val="num" w:pos="1800"/>
        </w:tabs>
        <w:ind w:left="1800" w:hanging="360"/>
      </w:pPr>
      <w:rPr>
        <w:rFonts w:ascii="Wingdings" w:hAnsi="Wingdings" w:hint="default"/>
      </w:rPr>
    </w:lvl>
    <w:lvl w:ilvl="3" w:tplc="A49CA7BE" w:tentative="1">
      <w:start w:val="1"/>
      <w:numFmt w:val="bullet"/>
      <w:lvlText w:val=""/>
      <w:lvlJc w:val="left"/>
      <w:pPr>
        <w:tabs>
          <w:tab w:val="num" w:pos="2520"/>
        </w:tabs>
        <w:ind w:left="2520" w:hanging="360"/>
      </w:pPr>
      <w:rPr>
        <w:rFonts w:ascii="Wingdings" w:hAnsi="Wingdings" w:hint="default"/>
      </w:rPr>
    </w:lvl>
    <w:lvl w:ilvl="4" w:tplc="95AA0A94" w:tentative="1">
      <w:start w:val="1"/>
      <w:numFmt w:val="bullet"/>
      <w:lvlText w:val=""/>
      <w:lvlJc w:val="left"/>
      <w:pPr>
        <w:tabs>
          <w:tab w:val="num" w:pos="3240"/>
        </w:tabs>
        <w:ind w:left="3240" w:hanging="360"/>
      </w:pPr>
      <w:rPr>
        <w:rFonts w:ascii="Wingdings" w:hAnsi="Wingdings" w:hint="default"/>
      </w:rPr>
    </w:lvl>
    <w:lvl w:ilvl="5" w:tplc="3620F5F0" w:tentative="1">
      <w:start w:val="1"/>
      <w:numFmt w:val="bullet"/>
      <w:lvlText w:val=""/>
      <w:lvlJc w:val="left"/>
      <w:pPr>
        <w:tabs>
          <w:tab w:val="num" w:pos="3960"/>
        </w:tabs>
        <w:ind w:left="3960" w:hanging="360"/>
      </w:pPr>
      <w:rPr>
        <w:rFonts w:ascii="Wingdings" w:hAnsi="Wingdings" w:hint="default"/>
      </w:rPr>
    </w:lvl>
    <w:lvl w:ilvl="6" w:tplc="80C81A10" w:tentative="1">
      <w:start w:val="1"/>
      <w:numFmt w:val="bullet"/>
      <w:lvlText w:val=""/>
      <w:lvlJc w:val="left"/>
      <w:pPr>
        <w:tabs>
          <w:tab w:val="num" w:pos="4680"/>
        </w:tabs>
        <w:ind w:left="4680" w:hanging="360"/>
      </w:pPr>
      <w:rPr>
        <w:rFonts w:ascii="Wingdings" w:hAnsi="Wingdings" w:hint="default"/>
      </w:rPr>
    </w:lvl>
    <w:lvl w:ilvl="7" w:tplc="5DB2E704" w:tentative="1">
      <w:start w:val="1"/>
      <w:numFmt w:val="bullet"/>
      <w:lvlText w:val=""/>
      <w:lvlJc w:val="left"/>
      <w:pPr>
        <w:tabs>
          <w:tab w:val="num" w:pos="5400"/>
        </w:tabs>
        <w:ind w:left="5400" w:hanging="360"/>
      </w:pPr>
      <w:rPr>
        <w:rFonts w:ascii="Wingdings" w:hAnsi="Wingdings" w:hint="default"/>
      </w:rPr>
    </w:lvl>
    <w:lvl w:ilvl="8" w:tplc="30C2CC2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A352A6"/>
    <w:multiLevelType w:val="multilevel"/>
    <w:tmpl w:val="DDE42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E6F36F5"/>
    <w:multiLevelType w:val="hybridMultilevel"/>
    <w:tmpl w:val="3914253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2B93AD6"/>
    <w:multiLevelType w:val="hybridMultilevel"/>
    <w:tmpl w:val="14B0EF96"/>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436575C"/>
    <w:multiLevelType w:val="hybridMultilevel"/>
    <w:tmpl w:val="67DE1772"/>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4932757"/>
    <w:multiLevelType w:val="hybridMultilevel"/>
    <w:tmpl w:val="FBDE1EA6"/>
    <w:lvl w:ilvl="0" w:tplc="59D2630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B48539C"/>
    <w:multiLevelType w:val="hybridMultilevel"/>
    <w:tmpl w:val="A8649AE2"/>
    <w:lvl w:ilvl="0" w:tplc="3CDAF00E">
      <w:start w:val="1"/>
      <w:numFmt w:val="bullet"/>
      <w:lvlText w:val=""/>
      <w:lvlJc w:val="left"/>
      <w:pPr>
        <w:tabs>
          <w:tab w:val="num" w:pos="360"/>
        </w:tabs>
        <w:ind w:left="360" w:hanging="360"/>
      </w:pPr>
      <w:rPr>
        <w:rFonts w:ascii="Wingdings" w:hAnsi="Wingdings" w:hint="default"/>
      </w:rPr>
    </w:lvl>
    <w:lvl w:ilvl="1" w:tplc="F4145DF4" w:tentative="1">
      <w:start w:val="1"/>
      <w:numFmt w:val="bullet"/>
      <w:lvlText w:val=""/>
      <w:lvlJc w:val="left"/>
      <w:pPr>
        <w:tabs>
          <w:tab w:val="num" w:pos="1080"/>
        </w:tabs>
        <w:ind w:left="1080" w:hanging="360"/>
      </w:pPr>
      <w:rPr>
        <w:rFonts w:ascii="Wingdings" w:hAnsi="Wingdings" w:hint="default"/>
      </w:rPr>
    </w:lvl>
    <w:lvl w:ilvl="2" w:tplc="CC3CBA34" w:tentative="1">
      <w:start w:val="1"/>
      <w:numFmt w:val="bullet"/>
      <w:lvlText w:val=""/>
      <w:lvlJc w:val="left"/>
      <w:pPr>
        <w:tabs>
          <w:tab w:val="num" w:pos="1800"/>
        </w:tabs>
        <w:ind w:left="1800" w:hanging="360"/>
      </w:pPr>
      <w:rPr>
        <w:rFonts w:ascii="Wingdings" w:hAnsi="Wingdings" w:hint="default"/>
      </w:rPr>
    </w:lvl>
    <w:lvl w:ilvl="3" w:tplc="F9C24842" w:tentative="1">
      <w:start w:val="1"/>
      <w:numFmt w:val="bullet"/>
      <w:lvlText w:val=""/>
      <w:lvlJc w:val="left"/>
      <w:pPr>
        <w:tabs>
          <w:tab w:val="num" w:pos="2520"/>
        </w:tabs>
        <w:ind w:left="2520" w:hanging="360"/>
      </w:pPr>
      <w:rPr>
        <w:rFonts w:ascii="Wingdings" w:hAnsi="Wingdings" w:hint="default"/>
      </w:rPr>
    </w:lvl>
    <w:lvl w:ilvl="4" w:tplc="8EDAA6B2" w:tentative="1">
      <w:start w:val="1"/>
      <w:numFmt w:val="bullet"/>
      <w:lvlText w:val=""/>
      <w:lvlJc w:val="left"/>
      <w:pPr>
        <w:tabs>
          <w:tab w:val="num" w:pos="3240"/>
        </w:tabs>
        <w:ind w:left="3240" w:hanging="360"/>
      </w:pPr>
      <w:rPr>
        <w:rFonts w:ascii="Wingdings" w:hAnsi="Wingdings" w:hint="default"/>
      </w:rPr>
    </w:lvl>
    <w:lvl w:ilvl="5" w:tplc="8C1A233E" w:tentative="1">
      <w:start w:val="1"/>
      <w:numFmt w:val="bullet"/>
      <w:lvlText w:val=""/>
      <w:lvlJc w:val="left"/>
      <w:pPr>
        <w:tabs>
          <w:tab w:val="num" w:pos="3960"/>
        </w:tabs>
        <w:ind w:left="3960" w:hanging="360"/>
      </w:pPr>
      <w:rPr>
        <w:rFonts w:ascii="Wingdings" w:hAnsi="Wingdings" w:hint="default"/>
      </w:rPr>
    </w:lvl>
    <w:lvl w:ilvl="6" w:tplc="72967452" w:tentative="1">
      <w:start w:val="1"/>
      <w:numFmt w:val="bullet"/>
      <w:lvlText w:val=""/>
      <w:lvlJc w:val="left"/>
      <w:pPr>
        <w:tabs>
          <w:tab w:val="num" w:pos="4680"/>
        </w:tabs>
        <w:ind w:left="4680" w:hanging="360"/>
      </w:pPr>
      <w:rPr>
        <w:rFonts w:ascii="Wingdings" w:hAnsi="Wingdings" w:hint="default"/>
      </w:rPr>
    </w:lvl>
    <w:lvl w:ilvl="7" w:tplc="F1328992" w:tentative="1">
      <w:start w:val="1"/>
      <w:numFmt w:val="bullet"/>
      <w:lvlText w:val=""/>
      <w:lvlJc w:val="left"/>
      <w:pPr>
        <w:tabs>
          <w:tab w:val="num" w:pos="5400"/>
        </w:tabs>
        <w:ind w:left="5400" w:hanging="360"/>
      </w:pPr>
      <w:rPr>
        <w:rFonts w:ascii="Wingdings" w:hAnsi="Wingdings" w:hint="default"/>
      </w:rPr>
    </w:lvl>
    <w:lvl w:ilvl="8" w:tplc="502E677A"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15"/>
  </w:num>
  <w:num w:numId="4">
    <w:abstractNumId w:val="1"/>
  </w:num>
  <w:num w:numId="5">
    <w:abstractNumId w:val="6"/>
  </w:num>
  <w:num w:numId="6">
    <w:abstractNumId w:val="7"/>
  </w:num>
  <w:num w:numId="7">
    <w:abstractNumId w:val="5"/>
  </w:num>
  <w:num w:numId="8">
    <w:abstractNumId w:val="8"/>
  </w:num>
  <w:num w:numId="9">
    <w:abstractNumId w:val="12"/>
  </w:num>
  <w:num w:numId="10">
    <w:abstractNumId w:val="14"/>
  </w:num>
  <w:num w:numId="11">
    <w:abstractNumId w:val="13"/>
  </w:num>
  <w:num w:numId="12">
    <w:abstractNumId w:val="0"/>
  </w:num>
  <w:num w:numId="13">
    <w:abstractNumId w:val="10"/>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D5"/>
    <w:rsid w:val="000B2F0F"/>
    <w:rsid w:val="001F7025"/>
    <w:rsid w:val="003A01D5"/>
    <w:rsid w:val="007C0E7F"/>
    <w:rsid w:val="00902D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BE71"/>
  <w15:chartTrackingRefBased/>
  <w15:docId w15:val="{8625E018-7EAD-474E-A1B5-A61574C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01D5"/>
    <w:pPr>
      <w:spacing w:after="0" w:line="240" w:lineRule="auto"/>
    </w:pPr>
    <w:rPr>
      <w:rFonts w:ascii="Times New Roman" w:eastAsia="Times New Roman" w:hAnsi="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3A01D5"/>
    <w:pPr>
      <w:jc w:val="both"/>
    </w:pPr>
    <w:rPr>
      <w:i/>
      <w:szCs w:val="20"/>
    </w:rPr>
  </w:style>
  <w:style w:type="character" w:styleId="Hyperlink">
    <w:name w:val="Hyperlink"/>
    <w:rsid w:val="003A01D5"/>
    <w:rPr>
      <w:color w:val="0000FF"/>
      <w:u w:val="single"/>
    </w:rPr>
  </w:style>
  <w:style w:type="table" w:styleId="Tabelraster">
    <w:name w:val="Table Grid"/>
    <w:basedOn w:val="Standaardtabel"/>
    <w:uiPriority w:val="59"/>
    <w:rsid w:val="003A01D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A01D5"/>
    <w:pPr>
      <w:ind w:left="720"/>
      <w:contextualSpacing/>
    </w:pPr>
  </w:style>
  <w:style w:type="character" w:customStyle="1" w:styleId="normaltextrun1">
    <w:name w:val="normaltextrun1"/>
    <w:basedOn w:val="Standaardalinea-lettertype"/>
    <w:rsid w:val="003A01D5"/>
  </w:style>
  <w:style w:type="paragraph" w:customStyle="1" w:styleId="paragraph">
    <w:name w:val="paragraph"/>
    <w:basedOn w:val="Standaard"/>
    <w:rsid w:val="003A01D5"/>
    <w:rPr>
      <w:sz w:val="24"/>
      <w:lang w:val="nl-BE" w:eastAsia="nl-BE"/>
    </w:rPr>
  </w:style>
  <w:style w:type="character" w:customStyle="1" w:styleId="media">
    <w:name w:val="media"/>
    <w:basedOn w:val="Standaardalinea-lettertype"/>
    <w:rsid w:val="003A01D5"/>
  </w:style>
  <w:style w:type="character" w:customStyle="1" w:styleId="LijstalineaChar">
    <w:name w:val="Lijstalinea Char"/>
    <w:basedOn w:val="Standaardalinea-lettertype"/>
    <w:link w:val="Lijstalinea"/>
    <w:uiPriority w:val="34"/>
    <w:rsid w:val="003A01D5"/>
    <w:rPr>
      <w:rFonts w:ascii="Times New Roman" w:eastAsia="Times New Roman" w:hAnsi="Times New Roman" w:cs="Times New Roman"/>
      <w:szCs w:val="24"/>
      <w:lang w:val="nl-NL" w:eastAsia="nl-NL"/>
    </w:rPr>
  </w:style>
  <w:style w:type="paragraph" w:styleId="Ballontekst">
    <w:name w:val="Balloon Text"/>
    <w:basedOn w:val="Standaard"/>
    <w:link w:val="BallontekstChar"/>
    <w:uiPriority w:val="99"/>
    <w:semiHidden/>
    <w:unhideWhenUsed/>
    <w:rsid w:val="003A01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01D5"/>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sites/default/files/documenten/vastgoed-en-facilitair-management/vastgoed/7e%20vastgoedforum_studie_portefeuillebeheer_overheidsbreed.pdf" TargetMode="External"/><Relationship Id="rId13" Type="http://schemas.openxmlformats.org/officeDocument/2006/relationships/hyperlink" Target="https://overheid.vlaanderen.be/sites/default/files/media/Overheidsopdrachten%20en%20raamcontracten/omzendbrief_procesflow.pdf?timestamp=153181130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verheid.vlaanderen.be/sites/default/files/documenten/vastgoed-en-facilitair-management/vastgoed/7e%20vastgoedforum_studie_portefeuillebeheer_overheidsbreed.pdf" TargetMode="External"/><Relationship Id="rId12" Type="http://schemas.openxmlformats.org/officeDocument/2006/relationships/hyperlink" Target="https://overheid.vlaanderen.be/sites/default/files/vastgoed-fm/20170512_omzendbriefVR_domeinbeheer.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overheid.vlaanderen.be/sites/default/files/documenten/vastgoed-en-facilitair-management/vastgoed/7e%20vastgoedforum_studie_portefeuillebeheer_overheidsbreed.pdf" TargetMode="External"/><Relationship Id="rId11" Type="http://schemas.openxmlformats.org/officeDocument/2006/relationships/hyperlink" Target="https://overheid.vlaanderen.be/vastgoed-webkaarten" TargetMode="External"/><Relationship Id="rId5" Type="http://schemas.openxmlformats.org/officeDocument/2006/relationships/hyperlink" Target="https://www.ruimtevlaanderen.be/NL/Diensten/Onderzoek/Studies/articleType/ArticleView/articleId/8914/Concepten-en-instrumentarium-voor-financiele-verevening-tussen-lokale-overheden-in-relatie-tot-ruimtelijk-beleid" TargetMode="External"/><Relationship Id="rId15" Type="http://schemas.openxmlformats.org/officeDocument/2006/relationships/theme" Target="theme/theme1.xml"/><Relationship Id="rId10" Type="http://schemas.openxmlformats.org/officeDocument/2006/relationships/hyperlink" Target="https://www.ruimtevlaanderen.be/NL/Diensten/Onderzoek/Studies/articleType/ArticleView/articleId/9160" TargetMode="External"/><Relationship Id="rId4" Type="http://schemas.openxmlformats.org/officeDocument/2006/relationships/webSettings" Target="webSettings.xml"/><Relationship Id="rId9" Type="http://schemas.openxmlformats.org/officeDocument/2006/relationships/hyperlink" Target="https://steunpuntbestuurlijkevernieuwing.be/onderzoek/vlaams-investeringsbeleid-voor-grote-infrastructuurprojec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5B5E17829964A97885AF94D4413A9" ma:contentTypeVersion="7" ma:contentTypeDescription="Een nieuw document maken." ma:contentTypeScope="" ma:versionID="beed12878726c6b47aea19af27354915">
  <xsd:schema xmlns:xsd="http://www.w3.org/2001/XMLSchema" xmlns:xs="http://www.w3.org/2001/XMLSchema" xmlns:p="http://schemas.microsoft.com/office/2006/metadata/properties" xmlns:ns2="76336cf1-a4a4-412e-bdc6-63686f1de766" xmlns:ns3="82369dbe-7f6a-454f-9cd5-78c35ed26717" targetNamespace="http://schemas.microsoft.com/office/2006/metadata/properties" ma:root="true" ma:fieldsID="b64a72056fbc3f3d214fe647cb5131f0" ns2:_="" ns3:_="">
    <xsd:import namespace="76336cf1-a4a4-412e-bdc6-63686f1de766"/>
    <xsd:import namespace="82369dbe-7f6a-454f-9cd5-78c35ed26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36cf1-a4a4-412e-bdc6-63686f1de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9dbe-7f6a-454f-9cd5-78c35ed267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51598-C7D5-4864-ADCD-7FD274C07F1C}"/>
</file>

<file path=customXml/itemProps2.xml><?xml version="1.0" encoding="utf-8"?>
<ds:datastoreItem xmlns:ds="http://schemas.openxmlformats.org/officeDocument/2006/customXml" ds:itemID="{0A35A323-ED16-4D6D-8A35-F27D6B2AAFCD}"/>
</file>

<file path=customXml/itemProps3.xml><?xml version="1.0" encoding="utf-8"?>
<ds:datastoreItem xmlns:ds="http://schemas.openxmlformats.org/officeDocument/2006/customXml" ds:itemID="{F215FFF6-84A5-4C41-BF27-1C8B3D741A23}"/>
</file>

<file path=docProps/app.xml><?xml version="1.0" encoding="utf-8"?>
<Properties xmlns="http://schemas.openxmlformats.org/officeDocument/2006/extended-properties" xmlns:vt="http://schemas.openxmlformats.org/officeDocument/2006/docPropsVTypes">
  <Template>Normal.dotm</Template>
  <TotalTime>3</TotalTime>
  <Pages>14</Pages>
  <Words>4501</Words>
  <Characters>24761</Characters>
  <Application>Microsoft Office Word</Application>
  <DocSecurity>0</DocSecurity>
  <Lines>206</Lines>
  <Paragraphs>58</Paragraphs>
  <ScaleCrop>false</ScaleCrop>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 Hugo</dc:creator>
  <cp:keywords/>
  <dc:description/>
  <cp:lastModifiedBy>Geerts Hugo</cp:lastModifiedBy>
  <cp:revision>1</cp:revision>
  <cp:lastPrinted>2018-12-18T09:58:00Z</cp:lastPrinted>
  <dcterms:created xsi:type="dcterms:W3CDTF">2018-12-18T09:56:00Z</dcterms:created>
  <dcterms:modified xsi:type="dcterms:W3CDTF">2018-12-18T09:59:00Z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0x0101006BB5B5E17829964A97885AF94D4413A9</vt:lpwstr>
  </property>
</Properties>
</file>