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charts/chart5.xml" ContentType="application/vnd.openxmlformats-officedocument.drawingml.chart+xml"/>
  <Override PartName="/word/charts/chart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F6F" w:rsidRDefault="00C96F6F" w:rsidP="00FD568C">
      <w:pPr>
        <w:spacing w:after="60" w:line="240" w:lineRule="auto"/>
        <w:jc w:val="right"/>
        <w:rPr>
          <w:rFonts w:ascii="FlandersArtSans-Regular" w:hAnsi="FlandersArtSans-Regular"/>
        </w:rPr>
      </w:pPr>
      <w:bookmarkStart w:id="0" w:name="_GoBack"/>
      <w:bookmarkEnd w:id="0"/>
    </w:p>
    <w:p w:rsidR="00877283" w:rsidRDefault="00877283" w:rsidP="00C96F6F">
      <w:pPr>
        <w:spacing w:after="60" w:line="240" w:lineRule="auto"/>
        <w:rPr>
          <w:rFonts w:ascii="FlandersArtSans-Regular" w:hAnsi="FlandersArtSans-Regular"/>
        </w:rPr>
      </w:pPr>
    </w:p>
    <w:p w:rsidR="00877283" w:rsidRDefault="00877283" w:rsidP="00C96F6F">
      <w:pPr>
        <w:spacing w:after="60" w:line="240" w:lineRule="auto"/>
        <w:rPr>
          <w:rFonts w:ascii="FlandersArtSans-Regular" w:hAnsi="FlandersArtSans-Regular"/>
        </w:rPr>
      </w:pPr>
    </w:p>
    <w:p w:rsidR="008555B3" w:rsidRDefault="008555B3" w:rsidP="00C96F6F">
      <w:pPr>
        <w:spacing w:after="60" w:line="240" w:lineRule="auto"/>
        <w:rPr>
          <w:rFonts w:ascii="FlandersArtSans-Regular" w:hAnsi="FlandersArtSans-Regular"/>
        </w:rPr>
      </w:pPr>
    </w:p>
    <w:p w:rsidR="00FD568C" w:rsidRPr="00877283" w:rsidRDefault="00AC6377" w:rsidP="00FD568C">
      <w:pPr>
        <w:spacing w:after="60" w:line="240" w:lineRule="auto"/>
        <w:jc w:val="center"/>
        <w:rPr>
          <w:rFonts w:ascii="FlandersArtSans-Regular" w:hAnsi="FlandersArtSans-Regular"/>
          <w:b/>
          <w:sz w:val="56"/>
          <w:szCs w:val="56"/>
        </w:rPr>
      </w:pPr>
      <w:r>
        <w:rPr>
          <w:rFonts w:ascii="FlandersArtSans-Regular" w:hAnsi="FlandersArtSans-Regular"/>
          <w:b/>
          <w:sz w:val="56"/>
          <w:szCs w:val="56"/>
        </w:rPr>
        <w:t>Actieplan ‘Integratie via werk’</w:t>
      </w:r>
    </w:p>
    <w:p w:rsidR="00877283" w:rsidRDefault="00877283" w:rsidP="00C96F6F">
      <w:pPr>
        <w:spacing w:after="60" w:line="240" w:lineRule="auto"/>
        <w:rPr>
          <w:rFonts w:ascii="FlandersArtSans-Regular" w:hAnsi="FlandersArtSans-Regular"/>
        </w:rPr>
      </w:pPr>
    </w:p>
    <w:p w:rsidR="008555B3" w:rsidRDefault="008555B3" w:rsidP="00C96F6F">
      <w:pPr>
        <w:spacing w:after="60" w:line="240" w:lineRule="auto"/>
        <w:rPr>
          <w:rFonts w:ascii="FlandersArtSans-Regular" w:hAnsi="FlandersArtSans-Regular"/>
        </w:rPr>
      </w:pPr>
    </w:p>
    <w:p w:rsidR="00877283" w:rsidRDefault="00FD568C" w:rsidP="00FD568C">
      <w:pPr>
        <w:spacing w:after="60" w:line="240" w:lineRule="auto"/>
        <w:jc w:val="center"/>
        <w:rPr>
          <w:rFonts w:ascii="FlandersArtSans-Regular" w:hAnsi="FlandersArtSans-Regular"/>
        </w:rPr>
      </w:pPr>
      <w:r w:rsidRPr="00877283">
        <w:rPr>
          <w:noProof/>
          <w:lang w:eastAsia="nl-BE"/>
        </w:rPr>
        <w:drawing>
          <wp:inline distT="0" distB="0" distL="0" distR="0" wp14:anchorId="7112DD34" wp14:editId="7BBD0DCC">
            <wp:extent cx="4343242" cy="6145135"/>
            <wp:effectExtent l="0" t="0" r="635"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242" cy="6145135"/>
                    </a:xfrm>
                    <a:prstGeom prst="rect">
                      <a:avLst/>
                    </a:prstGeom>
                    <a:noFill/>
                    <a:ln>
                      <a:noFill/>
                    </a:ln>
                  </pic:spPr>
                </pic:pic>
              </a:graphicData>
            </a:graphic>
          </wp:inline>
        </w:drawing>
      </w:r>
    </w:p>
    <w:p w:rsidR="00877283" w:rsidRDefault="00877283" w:rsidP="00C96F6F">
      <w:pPr>
        <w:spacing w:after="60" w:line="240" w:lineRule="auto"/>
        <w:rPr>
          <w:rFonts w:ascii="FlandersArtSans-Regular" w:hAnsi="FlandersArtSans-Regular"/>
        </w:rPr>
      </w:pPr>
    </w:p>
    <w:p w:rsidR="00877283" w:rsidRDefault="00877283" w:rsidP="00C96F6F">
      <w:pPr>
        <w:spacing w:after="60" w:line="240" w:lineRule="auto"/>
        <w:rPr>
          <w:rFonts w:ascii="FlandersArtSans-Regular" w:hAnsi="FlandersArtSans-Regular"/>
        </w:rPr>
      </w:pPr>
    </w:p>
    <w:p w:rsidR="008555B3" w:rsidRDefault="008555B3" w:rsidP="00C96F6F">
      <w:pPr>
        <w:spacing w:after="60" w:line="240" w:lineRule="auto"/>
        <w:rPr>
          <w:rFonts w:ascii="FlandersArtSans-Regular" w:hAnsi="FlandersArtSans-Regular"/>
        </w:rPr>
      </w:pPr>
    </w:p>
    <w:p w:rsidR="00DD487C" w:rsidRDefault="00B52667" w:rsidP="00DD487C">
      <w:pPr>
        <w:spacing w:after="60" w:line="240" w:lineRule="auto"/>
        <w:jc w:val="right"/>
        <w:rPr>
          <w:rFonts w:ascii="FlandersArtSans-Regular" w:hAnsi="FlandersArtSans-Regular"/>
        </w:rPr>
      </w:pPr>
      <w:r>
        <w:rPr>
          <w:rFonts w:ascii="FlandersArtSans-Regular" w:hAnsi="FlandersArtSans-Regular"/>
        </w:rPr>
        <w:t>November</w:t>
      </w:r>
      <w:r w:rsidR="005E398D">
        <w:rPr>
          <w:rFonts w:ascii="FlandersArtSans-Regular" w:hAnsi="FlandersArtSans-Regular"/>
        </w:rPr>
        <w:t xml:space="preserve"> 2017</w:t>
      </w:r>
    </w:p>
    <w:p w:rsidR="00DD487C" w:rsidRDefault="00DD487C">
      <w:pPr>
        <w:rPr>
          <w:rFonts w:ascii="FlandersArtSans-Regular" w:hAnsi="FlandersArtSans-Regular"/>
        </w:rPr>
      </w:pPr>
      <w:r>
        <w:rPr>
          <w:rFonts w:ascii="FlandersArtSans-Regular" w:hAnsi="FlandersArtSans-Regular"/>
        </w:rPr>
        <w:br w:type="page"/>
      </w:r>
    </w:p>
    <w:p w:rsidR="003C754D" w:rsidRDefault="003C754D" w:rsidP="00C96F6F">
      <w:pPr>
        <w:spacing w:after="60" w:line="240" w:lineRule="auto"/>
        <w:rPr>
          <w:rFonts w:ascii="FlandersArtSans-Regular" w:hAnsi="FlandersArtSans-Regular"/>
          <w:b/>
          <w:color w:val="1F497D" w:themeColor="text2"/>
          <w:sz w:val="80"/>
          <w:szCs w:val="80"/>
        </w:rPr>
      </w:pPr>
    </w:p>
    <w:p w:rsidR="00877283" w:rsidRPr="00124127" w:rsidRDefault="00FD568C" w:rsidP="00C96F6F">
      <w:pPr>
        <w:spacing w:after="60" w:line="240" w:lineRule="auto"/>
        <w:rPr>
          <w:rFonts w:ascii="FlandersArtSans-Regular" w:hAnsi="FlandersArtSans-Regular"/>
          <w:b/>
          <w:color w:val="1F497D" w:themeColor="text2"/>
          <w:sz w:val="76"/>
          <w:szCs w:val="76"/>
        </w:rPr>
      </w:pPr>
      <w:r w:rsidRPr="00124127">
        <w:rPr>
          <w:rFonts w:ascii="FlandersArtSans-Regular" w:hAnsi="FlandersArtSans-Regular"/>
          <w:b/>
          <w:color w:val="1F497D" w:themeColor="text2"/>
          <w:sz w:val="76"/>
          <w:szCs w:val="76"/>
        </w:rPr>
        <w:t>1.</w:t>
      </w:r>
    </w:p>
    <w:p w:rsidR="00877283" w:rsidRPr="00124127" w:rsidRDefault="00877283" w:rsidP="00C96F6F">
      <w:pPr>
        <w:spacing w:after="60" w:line="240" w:lineRule="auto"/>
        <w:rPr>
          <w:rFonts w:ascii="FlandersArtSans-Regular" w:hAnsi="FlandersArtSans-Regular"/>
          <w:b/>
          <w:color w:val="1F497D" w:themeColor="text2"/>
          <w:sz w:val="76"/>
          <w:szCs w:val="76"/>
        </w:rPr>
      </w:pPr>
    </w:p>
    <w:p w:rsidR="00C96F6F" w:rsidRPr="00124127" w:rsidRDefault="00C96F6F" w:rsidP="00C96F6F">
      <w:pPr>
        <w:spacing w:after="60" w:line="240" w:lineRule="auto"/>
        <w:rPr>
          <w:rFonts w:ascii="FlandersArtSans-Regular" w:hAnsi="FlandersArtSans-Regular"/>
          <w:b/>
          <w:color w:val="1F497D" w:themeColor="text2"/>
          <w:sz w:val="76"/>
          <w:szCs w:val="76"/>
        </w:rPr>
      </w:pPr>
      <w:r w:rsidRPr="00124127">
        <w:rPr>
          <w:rFonts w:ascii="FlandersArtSans-Regular" w:hAnsi="FlandersArtSans-Regular"/>
          <w:b/>
          <w:color w:val="1F497D" w:themeColor="text2"/>
          <w:sz w:val="76"/>
          <w:szCs w:val="76"/>
        </w:rPr>
        <w:t xml:space="preserve">SITUATIE </w:t>
      </w:r>
    </w:p>
    <w:p w:rsidR="00C96F6F" w:rsidRPr="00124127" w:rsidRDefault="00C96F6F" w:rsidP="00C96F6F">
      <w:pPr>
        <w:spacing w:after="60" w:line="240" w:lineRule="auto"/>
        <w:rPr>
          <w:rFonts w:ascii="FlandersArtSans-Regular" w:hAnsi="FlandersArtSans-Regular"/>
          <w:b/>
          <w:color w:val="1F497D" w:themeColor="text2"/>
          <w:sz w:val="76"/>
          <w:szCs w:val="76"/>
        </w:rPr>
      </w:pPr>
      <w:r w:rsidRPr="00124127">
        <w:rPr>
          <w:rFonts w:ascii="FlandersArtSans-Regular" w:hAnsi="FlandersArtSans-Regular"/>
          <w:b/>
          <w:color w:val="1F497D" w:themeColor="text2"/>
          <w:sz w:val="76"/>
          <w:szCs w:val="76"/>
        </w:rPr>
        <w:t>en</w:t>
      </w:r>
    </w:p>
    <w:p w:rsidR="00C96F6F" w:rsidRPr="00FD568C" w:rsidRDefault="00C96F6F" w:rsidP="00C96F6F">
      <w:pPr>
        <w:spacing w:after="60" w:line="240" w:lineRule="auto"/>
        <w:rPr>
          <w:rFonts w:ascii="FlandersArtSans-Regular" w:hAnsi="FlandersArtSans-Regular"/>
          <w:b/>
          <w:color w:val="1F497D" w:themeColor="text2"/>
          <w:sz w:val="80"/>
          <w:szCs w:val="80"/>
        </w:rPr>
      </w:pPr>
      <w:r w:rsidRPr="00124127">
        <w:rPr>
          <w:rFonts w:ascii="FlandersArtSans-Regular" w:hAnsi="FlandersArtSans-Regular"/>
          <w:b/>
          <w:color w:val="1F497D" w:themeColor="text2"/>
          <w:sz w:val="76"/>
          <w:szCs w:val="76"/>
        </w:rPr>
        <w:t>GEGEVENS DOELGROEP</w:t>
      </w:r>
    </w:p>
    <w:p w:rsidR="00C96F6F" w:rsidRDefault="00C96F6F" w:rsidP="00C96F6F">
      <w:pPr>
        <w:spacing w:after="60" w:line="240" w:lineRule="auto"/>
        <w:rPr>
          <w:rFonts w:ascii="FlandersArtSans-Regular" w:hAnsi="FlandersArtSans-Regular"/>
        </w:rPr>
      </w:pPr>
    </w:p>
    <w:p w:rsidR="00BE1244" w:rsidRPr="00B8467E" w:rsidRDefault="00FD568C" w:rsidP="00BE1244">
      <w:pPr>
        <w:spacing w:after="60" w:line="240" w:lineRule="auto"/>
        <w:rPr>
          <w:rFonts w:ascii="FlandersArtSans-Regular" w:hAnsi="FlandersArtSans-Regular"/>
          <w:sz w:val="32"/>
          <w:szCs w:val="28"/>
        </w:rPr>
      </w:pPr>
      <w:r>
        <w:rPr>
          <w:rFonts w:ascii="FlandersArtSans-Regular" w:hAnsi="FlandersArtSans-Regular"/>
        </w:rPr>
        <w:br w:type="page"/>
      </w:r>
      <w:r w:rsidR="00BE1244" w:rsidRPr="00B8467E">
        <w:rPr>
          <w:rFonts w:ascii="FlandersArtSans-Regular" w:hAnsi="FlandersArtSans-Regular"/>
          <w:b/>
          <w:bCs/>
          <w:sz w:val="32"/>
          <w:szCs w:val="28"/>
        </w:rPr>
        <w:lastRenderedPageBreak/>
        <w:t>Monitoring asielzoekers bij VDAB</w:t>
      </w:r>
    </w:p>
    <w:p w:rsidR="00BE1244" w:rsidRPr="00B8467E" w:rsidRDefault="00BE1244" w:rsidP="00BE1244">
      <w:pPr>
        <w:spacing w:after="60" w:line="240" w:lineRule="auto"/>
        <w:rPr>
          <w:rFonts w:ascii="FlandersArtSans-Regular" w:hAnsi="FlandersArtSans-Regular"/>
          <w:b/>
          <w:bCs/>
          <w:sz w:val="32"/>
          <w:szCs w:val="28"/>
        </w:rPr>
      </w:pPr>
      <w:r w:rsidRPr="00B8467E">
        <w:rPr>
          <w:rFonts w:ascii="FlandersArtSans-Regular" w:hAnsi="FlandersArtSans-Regular"/>
          <w:b/>
          <w:bCs/>
          <w:sz w:val="32"/>
          <w:szCs w:val="28"/>
        </w:rPr>
        <w:t xml:space="preserve">Stand van zaken eind </w:t>
      </w:r>
      <w:r w:rsidR="00CE3F77" w:rsidRPr="00B8467E">
        <w:rPr>
          <w:rFonts w:ascii="FlandersArtSans-Regular" w:hAnsi="FlandersArtSans-Regular"/>
          <w:b/>
          <w:bCs/>
          <w:sz w:val="32"/>
          <w:szCs w:val="28"/>
        </w:rPr>
        <w:t>oktober</w:t>
      </w:r>
      <w:r w:rsidRPr="00B8467E">
        <w:rPr>
          <w:rFonts w:ascii="FlandersArtSans-Regular" w:hAnsi="FlandersArtSans-Regular"/>
          <w:b/>
          <w:bCs/>
          <w:sz w:val="32"/>
          <w:szCs w:val="28"/>
        </w:rPr>
        <w:t xml:space="preserve"> 2017</w:t>
      </w:r>
    </w:p>
    <w:p w:rsidR="00BE1244" w:rsidRPr="00FF30EB" w:rsidRDefault="00BE1244" w:rsidP="00BE1244">
      <w:pPr>
        <w:spacing w:after="60" w:line="240" w:lineRule="auto"/>
        <w:rPr>
          <w:rFonts w:ascii="FlandersArtSans-Regular" w:hAnsi="FlandersArtSans-Regular"/>
          <w:sz w:val="24"/>
          <w:szCs w:val="24"/>
        </w:rPr>
      </w:pPr>
    </w:p>
    <w:p w:rsidR="00CE3F77" w:rsidRPr="00FF30EB" w:rsidRDefault="00CE3F77" w:rsidP="00FF30EB">
      <w:pPr>
        <w:spacing w:after="60" w:line="240" w:lineRule="auto"/>
        <w:jc w:val="both"/>
        <w:rPr>
          <w:rFonts w:ascii="FlandersArtSans-Regular" w:hAnsi="FlandersArtSans-Regular"/>
          <w:sz w:val="24"/>
          <w:szCs w:val="24"/>
        </w:rPr>
      </w:pPr>
      <w:r w:rsidRPr="00FF30EB">
        <w:rPr>
          <w:rFonts w:ascii="FlandersArtSans-Regular" w:hAnsi="FlandersArtSans-Regular"/>
          <w:sz w:val="24"/>
          <w:szCs w:val="24"/>
        </w:rPr>
        <w:t xml:space="preserve">Sinds deze zomer rapporteren we op basis van de verruimde doelgroep van anderstalige werkzoekenden met een migratieachtergrond, om een zo volledig mogelijk beeld te krijgen van de instroom. </w:t>
      </w:r>
    </w:p>
    <w:p w:rsidR="00ED08C7" w:rsidRPr="00FF30EB" w:rsidRDefault="006A5143" w:rsidP="00FF30EB">
      <w:pPr>
        <w:spacing w:after="60" w:line="240" w:lineRule="auto"/>
        <w:jc w:val="both"/>
        <w:rPr>
          <w:rFonts w:ascii="FlandersArtSans-Regular" w:hAnsi="FlandersArtSans-Regular"/>
          <w:sz w:val="24"/>
          <w:szCs w:val="24"/>
        </w:rPr>
      </w:pPr>
      <w:r w:rsidRPr="00FF30EB">
        <w:rPr>
          <w:rFonts w:ascii="FlandersArtSans-Regular" w:hAnsi="FlandersArtSans-Regular"/>
          <w:sz w:val="24"/>
          <w:szCs w:val="24"/>
        </w:rPr>
        <w:t xml:space="preserve">Een migratieachtergrond wordt daarbij gedefinieerd als </w:t>
      </w:r>
      <w:r w:rsidR="00932568" w:rsidRPr="00FF30EB">
        <w:rPr>
          <w:rFonts w:ascii="FlandersArtSans-Regular" w:hAnsi="FlandersArtSans-Regular"/>
          <w:sz w:val="24"/>
          <w:szCs w:val="24"/>
        </w:rPr>
        <w:t>de</w:t>
      </w:r>
      <w:r w:rsidR="00FC01F9" w:rsidRPr="00FF30EB">
        <w:rPr>
          <w:rFonts w:ascii="FlandersArtSans-Regular" w:hAnsi="FlandersArtSans-Regular"/>
          <w:sz w:val="24"/>
          <w:szCs w:val="24"/>
        </w:rPr>
        <w:t xml:space="preserve"> </w:t>
      </w:r>
      <w:r w:rsidRPr="00FF30EB">
        <w:rPr>
          <w:rFonts w:ascii="FlandersArtSans-Regular" w:hAnsi="FlandersArtSans-Regular"/>
          <w:sz w:val="24"/>
          <w:szCs w:val="24"/>
        </w:rPr>
        <w:t>vori</w:t>
      </w:r>
      <w:r w:rsidR="00CE3F77" w:rsidRPr="00FF30EB">
        <w:rPr>
          <w:rFonts w:ascii="FlandersArtSans-Regular" w:hAnsi="FlandersArtSans-Regular"/>
          <w:sz w:val="24"/>
          <w:szCs w:val="24"/>
        </w:rPr>
        <w:t>ge of huidige nationaliteit</w:t>
      </w:r>
      <w:r w:rsidR="00932568" w:rsidRPr="00FF30EB">
        <w:rPr>
          <w:rFonts w:ascii="FlandersArtSans-Regular" w:hAnsi="FlandersArtSans-Regular"/>
          <w:sz w:val="24"/>
          <w:szCs w:val="24"/>
        </w:rPr>
        <w:t xml:space="preserve"> niet-Belgisch is</w:t>
      </w:r>
      <w:r w:rsidR="002F2A35">
        <w:rPr>
          <w:rFonts w:ascii="FlandersArtSans-Regular" w:hAnsi="FlandersArtSans-Regular"/>
          <w:sz w:val="24"/>
          <w:szCs w:val="24"/>
        </w:rPr>
        <w:t xml:space="preserve">. </w:t>
      </w:r>
      <w:r w:rsidR="00ED08C7">
        <w:rPr>
          <w:rFonts w:ascii="FlandersArtSans-Regular" w:hAnsi="FlandersArtSans-Regular"/>
          <w:sz w:val="24"/>
          <w:szCs w:val="24"/>
        </w:rPr>
        <w:t>Belangrijke opmerking is dat we</w:t>
      </w:r>
      <w:r w:rsidR="002F2A35">
        <w:rPr>
          <w:rFonts w:ascii="FlandersArtSans-Regular" w:hAnsi="FlandersArtSans-Regular"/>
          <w:sz w:val="24"/>
          <w:szCs w:val="24"/>
        </w:rPr>
        <w:t xml:space="preserve"> bij de instroom</w:t>
      </w:r>
      <w:r w:rsidR="00ED08C7">
        <w:rPr>
          <w:rFonts w:ascii="FlandersArtSans-Regular" w:hAnsi="FlandersArtSans-Regular"/>
          <w:sz w:val="24"/>
          <w:szCs w:val="24"/>
        </w:rPr>
        <w:t xml:space="preserve"> geen rekening houden met de verblijfsduur van de werkzoekende.</w:t>
      </w:r>
      <w:r w:rsidR="00AE4090">
        <w:rPr>
          <w:rFonts w:ascii="FlandersArtSans-Regular" w:hAnsi="FlandersArtSans-Regular"/>
          <w:sz w:val="24"/>
          <w:szCs w:val="24"/>
        </w:rPr>
        <w:t xml:space="preserve"> De instroom bestaat </w:t>
      </w:r>
      <w:r w:rsidR="002F2A35">
        <w:rPr>
          <w:rFonts w:ascii="FlandersArtSans-Regular" w:hAnsi="FlandersArtSans-Regular"/>
          <w:sz w:val="24"/>
          <w:szCs w:val="24"/>
        </w:rPr>
        <w:t xml:space="preserve">dus </w:t>
      </w:r>
      <w:r w:rsidR="00AE4090">
        <w:rPr>
          <w:rFonts w:ascii="FlandersArtSans-Regular" w:hAnsi="FlandersArtSans-Regular"/>
          <w:sz w:val="24"/>
          <w:szCs w:val="24"/>
        </w:rPr>
        <w:t>zowel uit nieuwkomers die zich voor het eerst inschrijven bij de VDAB, als oudkomers die zich voor het eerst of al meermaals hebben aangemeld als werkzoekende.</w:t>
      </w:r>
      <w:r w:rsidR="000F5059">
        <w:rPr>
          <w:rFonts w:ascii="FlandersArtSans-Regular" w:hAnsi="FlandersArtSans-Regular"/>
          <w:sz w:val="24"/>
          <w:szCs w:val="24"/>
        </w:rPr>
        <w:t xml:space="preserve"> Dit waarborgt echter wel een beter bereik van iedereen die tot de doelgroep ‘anderstalige werkzoekenden met een migratieachtergrond’ behoren.</w:t>
      </w:r>
    </w:p>
    <w:p w:rsidR="00CE3F77" w:rsidRPr="00FF30EB" w:rsidRDefault="00CE3F77" w:rsidP="00FF30EB">
      <w:pPr>
        <w:spacing w:after="60" w:line="240" w:lineRule="auto"/>
        <w:jc w:val="both"/>
        <w:rPr>
          <w:rFonts w:ascii="FlandersArtSans-Regular" w:hAnsi="FlandersArtSans-Regular"/>
          <w:b/>
          <w:bCs/>
          <w:sz w:val="24"/>
          <w:szCs w:val="24"/>
        </w:rPr>
      </w:pPr>
    </w:p>
    <w:p w:rsidR="00BE1244" w:rsidRPr="00B8467E" w:rsidRDefault="00BE1244" w:rsidP="00BE1244">
      <w:pPr>
        <w:spacing w:after="60" w:line="240" w:lineRule="auto"/>
        <w:rPr>
          <w:rFonts w:ascii="FlandersArtSans-Regular" w:hAnsi="FlandersArtSans-Regular"/>
          <w:b/>
          <w:bCs/>
          <w:sz w:val="28"/>
          <w:szCs w:val="28"/>
        </w:rPr>
      </w:pPr>
      <w:r w:rsidRPr="00B8467E">
        <w:rPr>
          <w:rFonts w:ascii="FlandersArtSans-Regular" w:hAnsi="FlandersArtSans-Regular"/>
          <w:b/>
          <w:bCs/>
          <w:sz w:val="28"/>
          <w:szCs w:val="28"/>
        </w:rPr>
        <w:t>Evolutie van de instroom</w:t>
      </w:r>
    </w:p>
    <w:p w:rsidR="00B97324" w:rsidRPr="00FF30EB" w:rsidRDefault="00CE3F77" w:rsidP="00DA2415">
      <w:pPr>
        <w:spacing w:after="60" w:line="240" w:lineRule="auto"/>
        <w:jc w:val="both"/>
        <w:rPr>
          <w:rFonts w:ascii="FlandersArtSans-Regular" w:hAnsi="FlandersArtSans-Regular"/>
          <w:bCs/>
          <w:sz w:val="24"/>
          <w:szCs w:val="24"/>
        </w:rPr>
      </w:pPr>
      <w:r w:rsidRPr="00FF30EB">
        <w:rPr>
          <w:rFonts w:ascii="FlandersArtSans-Regular" w:hAnsi="FlandersArtSans-Regular"/>
          <w:bCs/>
          <w:sz w:val="24"/>
          <w:szCs w:val="24"/>
        </w:rPr>
        <w:t xml:space="preserve">Na een dip afgelopen zomer zien we terug een toename in de instroom. </w:t>
      </w:r>
      <w:r w:rsidR="00303077" w:rsidRPr="00FF30EB">
        <w:rPr>
          <w:rFonts w:ascii="FlandersArtSans-Regular" w:hAnsi="FlandersArtSans-Regular"/>
          <w:bCs/>
          <w:sz w:val="24"/>
          <w:szCs w:val="24"/>
        </w:rPr>
        <w:t>In de grafiek is nu ook de</w:t>
      </w:r>
      <w:r w:rsidRPr="00FF30EB">
        <w:rPr>
          <w:rFonts w:ascii="FlandersArtSans-Regular" w:hAnsi="FlandersArtSans-Regular"/>
          <w:bCs/>
          <w:sz w:val="24"/>
          <w:szCs w:val="24"/>
        </w:rPr>
        <w:t xml:space="preserve"> instroom uit Afghanistan, Irak en Syrië, de drie belangrijkste landen van herkomst tijdens de vluchtelingencrisis</w:t>
      </w:r>
      <w:r w:rsidR="00303077" w:rsidRPr="00FF30EB">
        <w:rPr>
          <w:rFonts w:ascii="FlandersArtSans-Regular" w:hAnsi="FlandersArtSans-Regular"/>
          <w:bCs/>
          <w:sz w:val="24"/>
          <w:szCs w:val="24"/>
        </w:rPr>
        <w:t xml:space="preserve"> van 2015 gevisualiseerd</w:t>
      </w:r>
      <w:r w:rsidRPr="00FF30EB">
        <w:rPr>
          <w:rFonts w:ascii="FlandersArtSans-Regular" w:hAnsi="FlandersArtSans-Regular"/>
          <w:bCs/>
          <w:sz w:val="24"/>
          <w:szCs w:val="24"/>
        </w:rPr>
        <w:t xml:space="preserve">. We zien dat de instroom uit die landen sterk gestegen is, zowel absoluut als relatief maar dat er toch nog een groot deel van de instroom uit </w:t>
      </w:r>
      <w:r w:rsidR="00303077" w:rsidRPr="00FF30EB">
        <w:rPr>
          <w:rFonts w:ascii="FlandersArtSans-Regular" w:hAnsi="FlandersArtSans-Regular"/>
          <w:bCs/>
          <w:sz w:val="24"/>
          <w:szCs w:val="24"/>
        </w:rPr>
        <w:t xml:space="preserve">(heel wat) </w:t>
      </w:r>
      <w:r w:rsidRPr="00FF30EB">
        <w:rPr>
          <w:rFonts w:ascii="FlandersArtSans-Regular" w:hAnsi="FlandersArtSans-Regular"/>
          <w:bCs/>
          <w:sz w:val="24"/>
          <w:szCs w:val="24"/>
        </w:rPr>
        <w:t>andere landen komt.</w:t>
      </w:r>
      <w:r w:rsidR="00303077" w:rsidRPr="00FF30EB">
        <w:rPr>
          <w:rFonts w:ascii="FlandersArtSans-Regular" w:hAnsi="FlandersArtSans-Regular"/>
          <w:bCs/>
          <w:sz w:val="24"/>
          <w:szCs w:val="24"/>
        </w:rPr>
        <w:t xml:space="preserve"> </w:t>
      </w:r>
      <w:r w:rsidR="004E2D0E" w:rsidRPr="00FF30EB">
        <w:rPr>
          <w:rFonts w:ascii="FlandersArtSans-Regular" w:hAnsi="FlandersArtSans-Regular"/>
          <w:bCs/>
          <w:sz w:val="24"/>
          <w:szCs w:val="24"/>
        </w:rPr>
        <w:t>In de instroom zien we maar liefst 148 verschillende landen van origine.</w:t>
      </w:r>
    </w:p>
    <w:p w:rsidR="00E04F72" w:rsidRPr="00FF30EB" w:rsidRDefault="009852E1" w:rsidP="000B6614">
      <w:pPr>
        <w:spacing w:after="60" w:line="240" w:lineRule="auto"/>
        <w:rPr>
          <w:rFonts w:ascii="FlandersArtSans-Regular" w:hAnsi="FlandersArtSans-Regular"/>
          <w:i/>
          <w:sz w:val="24"/>
          <w:szCs w:val="24"/>
        </w:rPr>
      </w:pPr>
      <w:r w:rsidRPr="00FF30EB">
        <w:rPr>
          <w:rFonts w:ascii="FlandersArtSans-Regular" w:hAnsi="FlandersArtSans-Regular"/>
          <w:i/>
          <w:sz w:val="24"/>
          <w:szCs w:val="24"/>
        </w:rPr>
        <w:t xml:space="preserve">Figuur: Evolutie van de instroom van anderstalige werkzoekenden </w:t>
      </w:r>
      <w:r w:rsidR="00AA710B" w:rsidRPr="00FF30EB">
        <w:rPr>
          <w:rFonts w:ascii="FlandersArtSans-Regular" w:hAnsi="FlandersArtSans-Regular"/>
          <w:i/>
          <w:sz w:val="24"/>
          <w:szCs w:val="24"/>
        </w:rPr>
        <w:t xml:space="preserve">met een migratieachtergrond </w:t>
      </w:r>
      <w:r w:rsidRPr="00FF30EB">
        <w:rPr>
          <w:rFonts w:ascii="FlandersArtSans-Regular" w:hAnsi="FlandersArtSans-Regular"/>
          <w:i/>
          <w:sz w:val="24"/>
          <w:szCs w:val="24"/>
        </w:rPr>
        <w:t>bij VDAB sinds januari 2014</w:t>
      </w:r>
    </w:p>
    <w:p w:rsidR="00E04F72" w:rsidRPr="00FF30EB" w:rsidRDefault="00CE3F77" w:rsidP="000B6614">
      <w:pPr>
        <w:spacing w:after="60" w:line="240" w:lineRule="auto"/>
        <w:rPr>
          <w:rFonts w:ascii="FlandersArtSans-Regular" w:hAnsi="FlandersArtSans-Regular"/>
          <w:b/>
          <w:sz w:val="24"/>
          <w:szCs w:val="24"/>
        </w:rPr>
      </w:pPr>
      <w:r w:rsidRPr="00FF30EB">
        <w:rPr>
          <w:noProof/>
          <w:sz w:val="24"/>
          <w:szCs w:val="24"/>
          <w:lang w:eastAsia="nl-BE"/>
        </w:rPr>
        <w:drawing>
          <wp:inline distT="0" distB="0" distL="0" distR="0" wp14:anchorId="1C62EAF2" wp14:editId="19DC065B">
            <wp:extent cx="5760720" cy="3127790"/>
            <wp:effectExtent l="0" t="0" r="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64CF" w:rsidRDefault="007C64CF">
      <w:pPr>
        <w:rPr>
          <w:rFonts w:ascii="FlandersArtSans-Regular" w:hAnsi="FlandersArtSans-Regular"/>
        </w:rPr>
      </w:pPr>
    </w:p>
    <w:p w:rsidR="002D2E1C" w:rsidRDefault="002D2E1C">
      <w:pPr>
        <w:rPr>
          <w:rFonts w:ascii="FlandersArtSans-Regular" w:hAnsi="FlandersArtSans-Regular"/>
        </w:rPr>
      </w:pPr>
      <w:r>
        <w:rPr>
          <w:rFonts w:ascii="FlandersArtSans-Regular" w:hAnsi="FlandersArtSans-Regular"/>
        </w:rPr>
        <w:br w:type="page"/>
      </w:r>
    </w:p>
    <w:p w:rsidR="007C64CF" w:rsidRDefault="007C64CF" w:rsidP="00FF30EB">
      <w:pPr>
        <w:jc w:val="both"/>
        <w:rPr>
          <w:rFonts w:ascii="FlandersArtSans-Regular" w:hAnsi="FlandersArtSans-Regular"/>
          <w:i/>
        </w:rPr>
      </w:pPr>
      <w:r>
        <w:rPr>
          <w:rFonts w:ascii="FlandersArtSans-Regular" w:hAnsi="FlandersArtSans-Regular"/>
        </w:rPr>
        <w:t xml:space="preserve">De volgende tabel </w:t>
      </w:r>
      <w:r w:rsidRPr="00FF30EB">
        <w:rPr>
          <w:rFonts w:ascii="FlandersArtSans-Regular" w:hAnsi="FlandersArtSans-Regular"/>
          <w:sz w:val="24"/>
          <w:szCs w:val="24"/>
        </w:rPr>
        <w:t>geeft de 10 belangrijkste herkomstlanden weer sinds 2014. De stijgende instroom van uit Afghanistan, Irak en Syrië is duidelijk zichtbaar, maar qua aantallen scoren Marokko en Turkije nog</w:t>
      </w:r>
      <w:r w:rsidR="002F2A35">
        <w:rPr>
          <w:rFonts w:ascii="FlandersArtSans-Regular" w:hAnsi="FlandersArtSans-Regular"/>
        </w:rPr>
        <w:t xml:space="preserve"> altijd veruit het hoogst</w:t>
      </w:r>
      <w:r>
        <w:rPr>
          <w:rFonts w:ascii="FlandersArtSans-Regular" w:hAnsi="FlandersArtSans-Regular"/>
        </w:rPr>
        <w:t>. Deze 10 landen zorgen voor 83% van de instroom, de top 6 voor 48%</w:t>
      </w:r>
      <w:r w:rsidR="002D2E1C">
        <w:rPr>
          <w:rFonts w:ascii="FlandersArtSans-Regular" w:hAnsi="FlandersArtSans-Regular"/>
        </w:rPr>
        <w:t>.</w:t>
      </w:r>
    </w:p>
    <w:p w:rsidR="00BE1244" w:rsidRPr="00FF30EB" w:rsidRDefault="004E2D0E" w:rsidP="007C64CF">
      <w:pPr>
        <w:spacing w:after="60" w:line="240" w:lineRule="auto"/>
        <w:rPr>
          <w:rFonts w:ascii="FlandersArtSans-Regular" w:hAnsi="FlandersArtSans-Regular"/>
          <w:i/>
          <w:sz w:val="24"/>
          <w:szCs w:val="24"/>
        </w:rPr>
      </w:pPr>
      <w:r>
        <w:rPr>
          <w:rFonts w:ascii="FlandersArtSans-Regular" w:hAnsi="FlandersArtSans-Regular"/>
          <w:i/>
        </w:rPr>
        <w:t xml:space="preserve">Tabel: </w:t>
      </w:r>
      <w:r w:rsidRPr="00FF30EB">
        <w:rPr>
          <w:rFonts w:ascii="FlandersArtSans-Regular" w:hAnsi="FlandersArtSans-Regular"/>
          <w:i/>
          <w:sz w:val="24"/>
          <w:szCs w:val="24"/>
        </w:rPr>
        <w:t xml:space="preserve">Tien </w:t>
      </w:r>
      <w:r w:rsidR="007C64CF" w:rsidRPr="00FF30EB">
        <w:rPr>
          <w:rFonts w:ascii="FlandersArtSans-Regular" w:hAnsi="FlandersArtSans-Regular"/>
          <w:i/>
          <w:sz w:val="24"/>
          <w:szCs w:val="24"/>
        </w:rPr>
        <w:t>belangrijkste herkomstlanden van anderstalige werkzoekenden met een migratieachtergrond</w:t>
      </w:r>
    </w:p>
    <w:tbl>
      <w:tblPr>
        <w:tblW w:w="9371" w:type="dxa"/>
        <w:tblInd w:w="55" w:type="dxa"/>
        <w:tblLayout w:type="fixed"/>
        <w:tblCellMar>
          <w:left w:w="70" w:type="dxa"/>
          <w:right w:w="70" w:type="dxa"/>
        </w:tblCellMar>
        <w:tblLook w:val="04A0" w:firstRow="1" w:lastRow="0" w:firstColumn="1" w:lastColumn="0" w:noHBand="0" w:noVBand="1"/>
      </w:tblPr>
      <w:tblGrid>
        <w:gridCol w:w="2000"/>
        <w:gridCol w:w="1228"/>
        <w:gridCol w:w="1229"/>
        <w:gridCol w:w="1228"/>
        <w:gridCol w:w="1229"/>
        <w:gridCol w:w="1228"/>
        <w:gridCol w:w="1229"/>
      </w:tblGrid>
      <w:tr w:rsidR="007C64CF" w:rsidRPr="00FF30EB" w:rsidTr="00FF30EB">
        <w:trPr>
          <w:trHeight w:val="600"/>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4CF" w:rsidRPr="007C64CF" w:rsidRDefault="007C64CF" w:rsidP="007C64CF">
            <w:pPr>
              <w:spacing w:after="0" w:line="240" w:lineRule="auto"/>
              <w:rPr>
                <w:rFonts w:ascii="FlandersArtSans-Regular" w:eastAsia="Times New Roman" w:hAnsi="FlandersArtSans-Regular" w:cs="Times New Roman"/>
                <w:color w:val="000000"/>
                <w:sz w:val="24"/>
                <w:szCs w:val="24"/>
                <w:lang w:eastAsia="nl-BE"/>
              </w:rPr>
            </w:pPr>
            <w:r w:rsidRPr="00FF30EB">
              <w:rPr>
                <w:rFonts w:ascii="FlandersArtSans-Regular" w:eastAsia="Times New Roman" w:hAnsi="FlandersArtSans-Regular" w:cs="Times New Roman"/>
                <w:color w:val="000000"/>
                <w:sz w:val="24"/>
                <w:szCs w:val="24"/>
                <w:lang w:eastAsia="nl-BE"/>
              </w:rPr>
              <w:t>Land van origine</w:t>
            </w:r>
          </w:p>
        </w:tc>
        <w:tc>
          <w:tcPr>
            <w:tcW w:w="1228" w:type="dxa"/>
            <w:tcBorders>
              <w:top w:val="single" w:sz="4" w:space="0" w:color="auto"/>
              <w:left w:val="nil"/>
              <w:bottom w:val="single" w:sz="4" w:space="0" w:color="auto"/>
              <w:right w:val="single" w:sz="4" w:space="0" w:color="auto"/>
            </w:tcBorders>
            <w:shd w:val="clear" w:color="auto" w:fill="auto"/>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2014</w:t>
            </w:r>
          </w:p>
        </w:tc>
        <w:tc>
          <w:tcPr>
            <w:tcW w:w="1229" w:type="dxa"/>
            <w:tcBorders>
              <w:top w:val="single" w:sz="4" w:space="0" w:color="auto"/>
              <w:left w:val="nil"/>
              <w:bottom w:val="single" w:sz="4" w:space="0" w:color="auto"/>
              <w:right w:val="single" w:sz="4" w:space="0" w:color="auto"/>
            </w:tcBorders>
            <w:shd w:val="clear" w:color="auto" w:fill="auto"/>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2015</w:t>
            </w:r>
          </w:p>
        </w:tc>
        <w:tc>
          <w:tcPr>
            <w:tcW w:w="1228" w:type="dxa"/>
            <w:tcBorders>
              <w:top w:val="single" w:sz="4" w:space="0" w:color="auto"/>
              <w:left w:val="nil"/>
              <w:bottom w:val="single" w:sz="4" w:space="0" w:color="auto"/>
              <w:right w:val="single" w:sz="4" w:space="0" w:color="auto"/>
            </w:tcBorders>
            <w:shd w:val="clear" w:color="auto" w:fill="auto"/>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2016</w:t>
            </w:r>
          </w:p>
        </w:tc>
        <w:tc>
          <w:tcPr>
            <w:tcW w:w="1229" w:type="dxa"/>
            <w:tcBorders>
              <w:top w:val="single" w:sz="4" w:space="0" w:color="auto"/>
              <w:left w:val="nil"/>
              <w:bottom w:val="single" w:sz="4" w:space="0" w:color="auto"/>
              <w:right w:val="single" w:sz="4" w:space="0" w:color="auto"/>
            </w:tcBorders>
            <w:shd w:val="clear" w:color="auto" w:fill="auto"/>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2017 (tot oktober)</w:t>
            </w:r>
          </w:p>
        </w:tc>
        <w:tc>
          <w:tcPr>
            <w:tcW w:w="1228" w:type="dxa"/>
            <w:tcBorders>
              <w:top w:val="single" w:sz="4" w:space="0" w:color="auto"/>
              <w:left w:val="nil"/>
              <w:bottom w:val="single" w:sz="4" w:space="0" w:color="auto"/>
              <w:right w:val="single" w:sz="4" w:space="0" w:color="auto"/>
            </w:tcBorders>
            <w:shd w:val="clear" w:color="auto" w:fill="auto"/>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Totaal 2014-2017</w:t>
            </w:r>
          </w:p>
        </w:tc>
        <w:tc>
          <w:tcPr>
            <w:tcW w:w="1229" w:type="dxa"/>
            <w:tcBorders>
              <w:top w:val="single" w:sz="4" w:space="0" w:color="auto"/>
              <w:left w:val="nil"/>
              <w:bottom w:val="single" w:sz="4" w:space="0" w:color="auto"/>
              <w:right w:val="single" w:sz="4" w:space="0" w:color="auto"/>
            </w:tcBorders>
            <w:shd w:val="clear" w:color="auto" w:fill="auto"/>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Aandeel in totaal</w:t>
            </w:r>
          </w:p>
        </w:tc>
      </w:tr>
      <w:tr w:rsidR="00FF30EB" w:rsidRPr="00FF30EB" w:rsidTr="00FF30EB">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Marokko</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3.430</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3.244</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3.077</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2.437</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12.188</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16%</w:t>
            </w:r>
          </w:p>
        </w:tc>
      </w:tr>
      <w:tr w:rsidR="00FF30EB" w:rsidRPr="00FF30EB" w:rsidTr="00FF30EB">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Turkije</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2.569</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2.267</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1.981</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1.647</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8.464</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14%</w:t>
            </w:r>
          </w:p>
        </w:tc>
      </w:tr>
      <w:tr w:rsidR="00FF30EB" w:rsidRPr="00FF30EB" w:rsidTr="00FF30EB">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Afghanistan</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1.073</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930</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1.523</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1.382</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4.908</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9%</w:t>
            </w:r>
          </w:p>
        </w:tc>
      </w:tr>
      <w:tr w:rsidR="00FF30EB" w:rsidRPr="00FF30EB" w:rsidTr="00FF30EB">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Congo-Kinshasa</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1.244</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1.128</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1.134</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937</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4.443</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9%</w:t>
            </w:r>
          </w:p>
        </w:tc>
      </w:tr>
      <w:tr w:rsidR="00FF30EB" w:rsidRPr="00FF30EB" w:rsidTr="00FF30EB">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Irak</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618</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571</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1.260</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1.164</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3.613</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8%</w:t>
            </w:r>
          </w:p>
        </w:tc>
      </w:tr>
      <w:tr w:rsidR="00FF30EB" w:rsidRPr="00FF30EB" w:rsidTr="00FF30EB">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Syrië</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388</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498</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1.421</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1.279</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3.586</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b/>
                <w:color w:val="000000"/>
                <w:sz w:val="24"/>
                <w:szCs w:val="24"/>
                <w:lang w:eastAsia="nl-BE"/>
              </w:rPr>
            </w:pPr>
            <w:r w:rsidRPr="007C64CF">
              <w:rPr>
                <w:rFonts w:ascii="FlandersArtSans-Regular" w:eastAsia="Times New Roman" w:hAnsi="FlandersArtSans-Regular" w:cs="Times New Roman"/>
                <w:b/>
                <w:color w:val="000000"/>
                <w:sz w:val="24"/>
                <w:szCs w:val="24"/>
                <w:lang w:eastAsia="nl-BE"/>
              </w:rPr>
              <w:t>9%</w:t>
            </w:r>
          </w:p>
        </w:tc>
      </w:tr>
      <w:tr w:rsidR="00FF30EB" w:rsidRPr="00FF30EB" w:rsidTr="00FF30EB">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Rusland</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611</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540</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482</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378</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2.011</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5%</w:t>
            </w:r>
          </w:p>
        </w:tc>
      </w:tr>
      <w:tr w:rsidR="00FF30EB" w:rsidRPr="00FF30EB" w:rsidTr="00FF30EB">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Ghana</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531</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483</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433</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371</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1.818</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5%</w:t>
            </w:r>
          </w:p>
        </w:tc>
      </w:tr>
      <w:tr w:rsidR="00FF30EB" w:rsidRPr="00FF30EB" w:rsidTr="00FF30EB">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Nigeria</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389</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360</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332</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294</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1.375</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4%</w:t>
            </w:r>
          </w:p>
        </w:tc>
      </w:tr>
      <w:tr w:rsidR="00FF30EB" w:rsidRPr="00FF30EB" w:rsidTr="00FF30EB">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China</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388</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332</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282</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273</w:t>
            </w:r>
          </w:p>
        </w:tc>
        <w:tc>
          <w:tcPr>
            <w:tcW w:w="1228"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1.275</w:t>
            </w:r>
          </w:p>
        </w:tc>
        <w:tc>
          <w:tcPr>
            <w:tcW w:w="1229" w:type="dxa"/>
            <w:tcBorders>
              <w:top w:val="nil"/>
              <w:left w:val="nil"/>
              <w:bottom w:val="single" w:sz="4" w:space="0" w:color="auto"/>
              <w:right w:val="single" w:sz="4" w:space="0" w:color="auto"/>
            </w:tcBorders>
            <w:shd w:val="clear" w:color="auto" w:fill="auto"/>
            <w:noWrap/>
            <w:vAlign w:val="bottom"/>
            <w:hideMark/>
          </w:tcPr>
          <w:p w:rsidR="007C64CF" w:rsidRPr="007C64CF" w:rsidRDefault="007C64CF" w:rsidP="007C64CF">
            <w:pPr>
              <w:spacing w:after="0" w:line="240" w:lineRule="auto"/>
              <w:jc w:val="center"/>
              <w:rPr>
                <w:rFonts w:ascii="FlandersArtSans-Regular" w:eastAsia="Times New Roman" w:hAnsi="FlandersArtSans-Regular" w:cs="Times New Roman"/>
                <w:color w:val="000000"/>
                <w:sz w:val="24"/>
                <w:szCs w:val="24"/>
                <w:lang w:eastAsia="nl-BE"/>
              </w:rPr>
            </w:pPr>
            <w:r w:rsidRPr="007C64CF">
              <w:rPr>
                <w:rFonts w:ascii="FlandersArtSans-Regular" w:eastAsia="Times New Roman" w:hAnsi="FlandersArtSans-Regular" w:cs="Times New Roman"/>
                <w:color w:val="000000"/>
                <w:sz w:val="24"/>
                <w:szCs w:val="24"/>
                <w:lang w:eastAsia="nl-BE"/>
              </w:rPr>
              <w:t>4%</w:t>
            </w:r>
          </w:p>
        </w:tc>
      </w:tr>
    </w:tbl>
    <w:p w:rsidR="004E2D0E" w:rsidRPr="00FF30EB" w:rsidRDefault="004E2D0E">
      <w:pPr>
        <w:rPr>
          <w:rFonts w:ascii="FlandersArtSans-Regular" w:hAnsi="FlandersArtSans-Regular"/>
          <w:b/>
          <w:sz w:val="24"/>
          <w:szCs w:val="24"/>
        </w:rPr>
      </w:pPr>
    </w:p>
    <w:p w:rsidR="00B8467E" w:rsidRPr="00B8467E" w:rsidRDefault="00B8467E" w:rsidP="00B8467E">
      <w:pPr>
        <w:spacing w:after="60" w:line="240" w:lineRule="auto"/>
        <w:rPr>
          <w:rFonts w:ascii="FlandersArtSans-Regular" w:hAnsi="FlandersArtSans-Regular"/>
          <w:b/>
          <w:bCs/>
          <w:sz w:val="28"/>
          <w:szCs w:val="28"/>
        </w:rPr>
      </w:pPr>
      <w:r w:rsidRPr="00B8467E">
        <w:rPr>
          <w:rFonts w:ascii="FlandersArtSans-Regular" w:hAnsi="FlandersArtSans-Regular"/>
          <w:b/>
          <w:bCs/>
          <w:sz w:val="28"/>
          <w:szCs w:val="28"/>
        </w:rPr>
        <w:t>Werkzoekendencategorie bij instroom</w:t>
      </w:r>
    </w:p>
    <w:p w:rsidR="00FE5CB1" w:rsidRPr="00FF30EB" w:rsidRDefault="00FF30EB" w:rsidP="00ED08C7">
      <w:pPr>
        <w:jc w:val="both"/>
        <w:rPr>
          <w:rFonts w:ascii="FlandersArtSans-Regular" w:hAnsi="FlandersArtSans-Regular"/>
          <w:sz w:val="24"/>
          <w:szCs w:val="24"/>
        </w:rPr>
      </w:pPr>
      <w:r w:rsidRPr="00FF30EB">
        <w:rPr>
          <w:rFonts w:ascii="FlandersArtSans-Regular" w:hAnsi="FlandersArtSans-Regular"/>
          <w:sz w:val="24"/>
          <w:szCs w:val="24"/>
        </w:rPr>
        <w:t>We zien dat de instroom uit Afghanistan, Irak en Syrië bijna de helft van de werkzoekende een OCMW-uitkering geniet op het moment dat ze zich inschrijven bij VDAB.</w:t>
      </w:r>
      <w:r w:rsidR="00ED08C7">
        <w:rPr>
          <w:rFonts w:ascii="FlandersArtSans-Regular" w:hAnsi="FlandersArtSans-Regular"/>
          <w:sz w:val="24"/>
          <w:szCs w:val="24"/>
        </w:rPr>
        <w:t xml:space="preserve"> Terwijl dit in de totale instroom slechts 13% is. </w:t>
      </w:r>
    </w:p>
    <w:p w:rsidR="004E2D0E" w:rsidRPr="00FF30EB" w:rsidRDefault="004E2D0E" w:rsidP="004E2D0E">
      <w:pPr>
        <w:spacing w:after="60" w:line="240" w:lineRule="auto"/>
        <w:rPr>
          <w:rFonts w:ascii="FlandersArtSans-Regular" w:hAnsi="FlandersArtSans-Regular"/>
          <w:i/>
          <w:sz w:val="24"/>
          <w:szCs w:val="24"/>
        </w:rPr>
      </w:pPr>
      <w:r w:rsidRPr="00FF30EB">
        <w:rPr>
          <w:rFonts w:ascii="FlandersArtSans-Regular" w:hAnsi="FlandersArtSans-Regular"/>
          <w:i/>
          <w:sz w:val="24"/>
          <w:szCs w:val="24"/>
        </w:rPr>
        <w:t>Tabel: Werkzoekendencategorie bij instroom</w:t>
      </w:r>
    </w:p>
    <w:tbl>
      <w:tblPr>
        <w:tblW w:w="9440" w:type="dxa"/>
        <w:tblInd w:w="55" w:type="dxa"/>
        <w:tblCellMar>
          <w:left w:w="70" w:type="dxa"/>
          <w:right w:w="70" w:type="dxa"/>
        </w:tblCellMar>
        <w:tblLook w:val="04A0" w:firstRow="1" w:lastRow="0" w:firstColumn="1" w:lastColumn="0" w:noHBand="0" w:noVBand="1"/>
      </w:tblPr>
      <w:tblGrid>
        <w:gridCol w:w="4693"/>
        <w:gridCol w:w="1559"/>
        <w:gridCol w:w="1428"/>
        <w:gridCol w:w="1760"/>
      </w:tblGrid>
      <w:tr w:rsidR="004E2D0E" w:rsidRPr="004E2D0E" w:rsidTr="004E2D0E">
        <w:trPr>
          <w:trHeight w:val="6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rPr>
                <w:rFonts w:ascii="FlandersArtSans-Regular" w:eastAsia="Times New Roman" w:hAnsi="FlandersArtSans-Regular" w:cs="Times New Roman"/>
                <w:color w:val="000000"/>
                <w:sz w:val="24"/>
                <w:szCs w:val="24"/>
                <w:lang w:eastAsia="nl-BE"/>
              </w:rPr>
            </w:pPr>
            <w:r w:rsidRPr="004E2D0E">
              <w:rPr>
                <w:rFonts w:ascii="Times New Roman" w:eastAsia="Times New Roman" w:hAnsi="Times New Roman" w:cs="Times New Roman"/>
                <w:color w:val="000000"/>
                <w:sz w:val="24"/>
                <w:szCs w:val="24"/>
                <w:lang w:eastAsia="nl-BE"/>
              </w:rPr>
              <w:t>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Totale instroom</w:t>
            </w:r>
          </w:p>
        </w:tc>
        <w:tc>
          <w:tcPr>
            <w:tcW w:w="1428" w:type="dxa"/>
            <w:tcBorders>
              <w:top w:val="single" w:sz="4" w:space="0" w:color="auto"/>
              <w:left w:val="nil"/>
              <w:bottom w:val="single" w:sz="4" w:space="0" w:color="auto"/>
              <w:right w:val="single" w:sz="4" w:space="0" w:color="auto"/>
            </w:tcBorders>
            <w:shd w:val="clear" w:color="auto" w:fill="auto"/>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Buiten EU</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Afghanistan, Irak en Syrië</w:t>
            </w:r>
          </w:p>
        </w:tc>
      </w:tr>
      <w:tr w:rsidR="004E2D0E" w:rsidRPr="004E2D0E" w:rsidTr="004E2D0E">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Uitkeringsgerechtigde werkzoekenden</w:t>
            </w:r>
          </w:p>
        </w:tc>
        <w:tc>
          <w:tcPr>
            <w:tcW w:w="1559"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48%</w:t>
            </w:r>
          </w:p>
        </w:tc>
        <w:tc>
          <w:tcPr>
            <w:tcW w:w="1428"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46%</w:t>
            </w:r>
          </w:p>
        </w:tc>
        <w:tc>
          <w:tcPr>
            <w:tcW w:w="1760"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23%</w:t>
            </w:r>
          </w:p>
        </w:tc>
      </w:tr>
      <w:tr w:rsidR="004E2D0E" w:rsidRPr="004E2D0E" w:rsidTr="004E2D0E">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 xml:space="preserve">Werkzoekenden in </w:t>
            </w:r>
            <w:proofErr w:type="spellStart"/>
            <w:r w:rsidRPr="004E2D0E">
              <w:rPr>
                <w:rFonts w:ascii="FlandersArtSans-Regular" w:eastAsia="Times New Roman" w:hAnsi="FlandersArtSans-Regular" w:cs="Times New Roman"/>
                <w:color w:val="000000"/>
                <w:sz w:val="24"/>
                <w:szCs w:val="24"/>
                <w:lang w:eastAsia="nl-BE"/>
              </w:rPr>
              <w:t>beroepsinschakelingstijd</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2%</w:t>
            </w:r>
          </w:p>
        </w:tc>
        <w:tc>
          <w:tcPr>
            <w:tcW w:w="1428"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2%</w:t>
            </w:r>
          </w:p>
        </w:tc>
        <w:tc>
          <w:tcPr>
            <w:tcW w:w="1760"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2%</w:t>
            </w:r>
          </w:p>
        </w:tc>
      </w:tr>
      <w:tr w:rsidR="004E2D0E" w:rsidRPr="004E2D0E" w:rsidTr="004E2D0E">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Vrij ingeschreven werkzoekenden</w:t>
            </w:r>
          </w:p>
        </w:tc>
        <w:tc>
          <w:tcPr>
            <w:tcW w:w="1559"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37%</w:t>
            </w:r>
          </w:p>
        </w:tc>
        <w:tc>
          <w:tcPr>
            <w:tcW w:w="1428"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35%</w:t>
            </w:r>
          </w:p>
        </w:tc>
        <w:tc>
          <w:tcPr>
            <w:tcW w:w="1760"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25%</w:t>
            </w:r>
          </w:p>
        </w:tc>
      </w:tr>
      <w:tr w:rsidR="004E2D0E" w:rsidRPr="004E2D0E" w:rsidTr="004E2D0E">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Werkzoekenden ten laste van het OCMW</w:t>
            </w:r>
          </w:p>
        </w:tc>
        <w:tc>
          <w:tcPr>
            <w:tcW w:w="1559"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13%</w:t>
            </w:r>
          </w:p>
        </w:tc>
        <w:tc>
          <w:tcPr>
            <w:tcW w:w="1428"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17%</w:t>
            </w:r>
          </w:p>
        </w:tc>
        <w:tc>
          <w:tcPr>
            <w:tcW w:w="1760"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49%</w:t>
            </w:r>
          </w:p>
        </w:tc>
      </w:tr>
      <w:tr w:rsidR="004E2D0E" w:rsidRPr="004E2D0E" w:rsidTr="004E2D0E">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Personen met een arbeidshandicap</w:t>
            </w:r>
            <w:r w:rsidR="00B8467E">
              <w:rPr>
                <w:rStyle w:val="Voetnootmarkering"/>
                <w:rFonts w:ascii="FlandersArtSans-Regular" w:eastAsia="Times New Roman" w:hAnsi="FlandersArtSans-Regular" w:cs="Times New Roman"/>
                <w:color w:val="000000"/>
                <w:sz w:val="24"/>
                <w:szCs w:val="24"/>
                <w:lang w:eastAsia="nl-BE"/>
              </w:rPr>
              <w:footnoteReference w:id="1"/>
            </w:r>
            <w:r w:rsidRPr="004E2D0E">
              <w:rPr>
                <w:rFonts w:ascii="FlandersArtSans-Regular" w:eastAsia="Times New Roman" w:hAnsi="FlandersArtSans-Regular" w:cs="Times New Roman"/>
                <w:color w:val="000000"/>
                <w:sz w:val="24"/>
                <w:szCs w:val="24"/>
                <w:lang w:eastAsia="nl-BE"/>
              </w:rPr>
              <w:t xml:space="preserve"> (uitdovend)</w:t>
            </w:r>
          </w:p>
        </w:tc>
        <w:tc>
          <w:tcPr>
            <w:tcW w:w="1559"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0%</w:t>
            </w:r>
          </w:p>
        </w:tc>
        <w:tc>
          <w:tcPr>
            <w:tcW w:w="1428"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0%</w:t>
            </w:r>
          </w:p>
        </w:tc>
        <w:tc>
          <w:tcPr>
            <w:tcW w:w="1760"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0%</w:t>
            </w:r>
          </w:p>
        </w:tc>
      </w:tr>
      <w:tr w:rsidR="004E2D0E" w:rsidRPr="004E2D0E" w:rsidTr="004E2D0E">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Van recht op uitkering uitgesloten werkzoekenden</w:t>
            </w:r>
          </w:p>
        </w:tc>
        <w:tc>
          <w:tcPr>
            <w:tcW w:w="1559"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0%</w:t>
            </w:r>
          </w:p>
        </w:tc>
        <w:tc>
          <w:tcPr>
            <w:tcW w:w="1428"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0%</w:t>
            </w:r>
          </w:p>
        </w:tc>
        <w:tc>
          <w:tcPr>
            <w:tcW w:w="1760"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color w:val="000000"/>
                <w:sz w:val="24"/>
                <w:szCs w:val="24"/>
                <w:lang w:eastAsia="nl-BE"/>
              </w:rPr>
            </w:pPr>
            <w:r w:rsidRPr="004E2D0E">
              <w:rPr>
                <w:rFonts w:ascii="FlandersArtSans-Regular" w:eastAsia="Times New Roman" w:hAnsi="FlandersArtSans-Regular" w:cs="Times New Roman"/>
                <w:color w:val="000000"/>
                <w:sz w:val="24"/>
                <w:szCs w:val="24"/>
                <w:lang w:eastAsia="nl-BE"/>
              </w:rPr>
              <w:t>0%</w:t>
            </w:r>
          </w:p>
        </w:tc>
      </w:tr>
      <w:tr w:rsidR="004E2D0E" w:rsidRPr="004E2D0E" w:rsidTr="004E2D0E">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rPr>
                <w:rFonts w:ascii="FlandersArtSans-Regular" w:eastAsia="Times New Roman" w:hAnsi="FlandersArtSans-Regular" w:cs="Times New Roman"/>
                <w:b/>
                <w:color w:val="000000"/>
                <w:sz w:val="24"/>
                <w:szCs w:val="24"/>
                <w:lang w:eastAsia="nl-BE"/>
              </w:rPr>
            </w:pPr>
            <w:r w:rsidRPr="004E2D0E">
              <w:rPr>
                <w:rFonts w:ascii="FlandersArtSans-Regular" w:eastAsia="Times New Roman" w:hAnsi="FlandersArtSans-Regular" w:cs="Times New Roman"/>
                <w:b/>
                <w:color w:val="000000"/>
                <w:sz w:val="24"/>
                <w:szCs w:val="24"/>
                <w:lang w:eastAsia="nl-BE"/>
              </w:rPr>
              <w:t>Totale instroom</w:t>
            </w:r>
          </w:p>
        </w:tc>
        <w:tc>
          <w:tcPr>
            <w:tcW w:w="1559"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b/>
                <w:color w:val="000000"/>
                <w:sz w:val="24"/>
                <w:szCs w:val="24"/>
                <w:lang w:eastAsia="nl-BE"/>
              </w:rPr>
            </w:pPr>
            <w:r w:rsidRPr="004E2D0E">
              <w:rPr>
                <w:rFonts w:ascii="FlandersArtSans-Regular" w:eastAsia="Times New Roman" w:hAnsi="FlandersArtSans-Regular" w:cs="Times New Roman"/>
                <w:b/>
                <w:color w:val="000000"/>
                <w:sz w:val="24"/>
                <w:szCs w:val="24"/>
                <w:lang w:eastAsia="nl-BE"/>
              </w:rPr>
              <w:t>109.860</w:t>
            </w:r>
          </w:p>
        </w:tc>
        <w:tc>
          <w:tcPr>
            <w:tcW w:w="1428"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b/>
                <w:color w:val="000000"/>
                <w:sz w:val="24"/>
                <w:szCs w:val="24"/>
                <w:lang w:eastAsia="nl-BE"/>
              </w:rPr>
            </w:pPr>
            <w:r w:rsidRPr="004E2D0E">
              <w:rPr>
                <w:rFonts w:ascii="FlandersArtSans-Regular" w:eastAsia="Times New Roman" w:hAnsi="FlandersArtSans-Regular" w:cs="Times New Roman"/>
                <w:b/>
                <w:color w:val="000000"/>
                <w:sz w:val="24"/>
                <w:szCs w:val="24"/>
                <w:lang w:eastAsia="nl-BE"/>
              </w:rPr>
              <w:t>74.813</w:t>
            </w:r>
          </w:p>
        </w:tc>
        <w:tc>
          <w:tcPr>
            <w:tcW w:w="1760" w:type="dxa"/>
            <w:tcBorders>
              <w:top w:val="nil"/>
              <w:left w:val="nil"/>
              <w:bottom w:val="single" w:sz="4" w:space="0" w:color="auto"/>
              <w:right w:val="single" w:sz="4" w:space="0" w:color="auto"/>
            </w:tcBorders>
            <w:shd w:val="clear" w:color="auto" w:fill="auto"/>
            <w:noWrap/>
            <w:vAlign w:val="bottom"/>
            <w:hideMark/>
          </w:tcPr>
          <w:p w:rsidR="004E2D0E" w:rsidRPr="004E2D0E" w:rsidRDefault="004E2D0E" w:rsidP="004E2D0E">
            <w:pPr>
              <w:spacing w:after="0" w:line="240" w:lineRule="auto"/>
              <w:jc w:val="center"/>
              <w:rPr>
                <w:rFonts w:ascii="FlandersArtSans-Regular" w:eastAsia="Times New Roman" w:hAnsi="FlandersArtSans-Regular" w:cs="Times New Roman"/>
                <w:b/>
                <w:color w:val="000000"/>
                <w:sz w:val="24"/>
                <w:szCs w:val="24"/>
                <w:lang w:eastAsia="nl-BE"/>
              </w:rPr>
            </w:pPr>
            <w:r w:rsidRPr="004E2D0E">
              <w:rPr>
                <w:rFonts w:ascii="FlandersArtSans-Regular" w:eastAsia="Times New Roman" w:hAnsi="FlandersArtSans-Regular" w:cs="Times New Roman"/>
                <w:b/>
                <w:color w:val="000000"/>
                <w:sz w:val="24"/>
                <w:szCs w:val="24"/>
                <w:lang w:eastAsia="nl-BE"/>
              </w:rPr>
              <w:t>12.107</w:t>
            </w:r>
          </w:p>
        </w:tc>
      </w:tr>
    </w:tbl>
    <w:p w:rsidR="004E2D0E" w:rsidRDefault="004E2D0E">
      <w:pPr>
        <w:rPr>
          <w:rFonts w:ascii="FlandersArtSans-Regular" w:hAnsi="FlandersArtSans-Regular"/>
          <w:sz w:val="24"/>
          <w:szCs w:val="24"/>
        </w:rPr>
      </w:pPr>
    </w:p>
    <w:p w:rsidR="00B8467E" w:rsidRDefault="00B8467E">
      <w:pPr>
        <w:rPr>
          <w:rFonts w:ascii="FlandersArtSans-Regular" w:hAnsi="FlandersArtSans-Regular"/>
          <w:sz w:val="24"/>
          <w:szCs w:val="24"/>
        </w:rPr>
      </w:pPr>
      <w:r>
        <w:rPr>
          <w:rFonts w:ascii="FlandersArtSans-Regular" w:hAnsi="FlandersArtSans-Regular"/>
          <w:sz w:val="24"/>
          <w:szCs w:val="24"/>
        </w:rPr>
        <w:br w:type="page"/>
      </w:r>
    </w:p>
    <w:p w:rsidR="00B8467E" w:rsidRPr="00B8467E" w:rsidRDefault="00B8467E" w:rsidP="00B8467E">
      <w:pPr>
        <w:spacing w:after="60" w:line="240" w:lineRule="auto"/>
        <w:rPr>
          <w:rFonts w:ascii="FlandersArtSans-Regular" w:hAnsi="FlandersArtSans-Regular"/>
          <w:b/>
          <w:bCs/>
          <w:sz w:val="28"/>
          <w:szCs w:val="28"/>
        </w:rPr>
      </w:pPr>
      <w:r w:rsidRPr="00B8467E">
        <w:rPr>
          <w:rFonts w:ascii="FlandersArtSans-Regular" w:hAnsi="FlandersArtSans-Regular"/>
          <w:b/>
          <w:bCs/>
          <w:sz w:val="28"/>
          <w:szCs w:val="28"/>
        </w:rPr>
        <w:t>Provinciale verdeling</w:t>
      </w:r>
    </w:p>
    <w:p w:rsidR="00B8467E" w:rsidRDefault="00B8467E" w:rsidP="00B8467E">
      <w:pPr>
        <w:jc w:val="both"/>
        <w:rPr>
          <w:rFonts w:ascii="FlandersArtSans-Regular" w:hAnsi="FlandersArtSans-Regular"/>
          <w:sz w:val="24"/>
          <w:szCs w:val="24"/>
        </w:rPr>
      </w:pPr>
      <w:r>
        <w:rPr>
          <w:rFonts w:ascii="FlandersArtSans-Regular" w:hAnsi="FlandersArtSans-Regular"/>
          <w:sz w:val="24"/>
          <w:szCs w:val="24"/>
        </w:rPr>
        <w:t xml:space="preserve">In elke provincie is de totale instroom van anderstalige werkzoekenden met een migratieachtergrond over de jaren wat gedaald, ondanks de vluchtelingcrisis. De meeste werkzoekenden kom nog altijd in Antwerpen terecht. </w:t>
      </w:r>
    </w:p>
    <w:p w:rsidR="00B8467E" w:rsidRPr="00FF30EB" w:rsidRDefault="00B8467E" w:rsidP="00B8467E">
      <w:pPr>
        <w:spacing w:after="60" w:line="240" w:lineRule="auto"/>
        <w:rPr>
          <w:rFonts w:ascii="FlandersArtSans-Regular" w:hAnsi="FlandersArtSans-Regular"/>
          <w:sz w:val="24"/>
          <w:szCs w:val="24"/>
        </w:rPr>
      </w:pPr>
      <w:r w:rsidRPr="00FF30EB">
        <w:rPr>
          <w:rFonts w:ascii="FlandersArtSans-Regular" w:hAnsi="FlandersArtSans-Regular"/>
          <w:i/>
          <w:sz w:val="24"/>
          <w:szCs w:val="24"/>
        </w:rPr>
        <w:t xml:space="preserve">Figuur: Evolutie van de </w:t>
      </w:r>
      <w:r>
        <w:rPr>
          <w:rFonts w:ascii="FlandersArtSans-Regular" w:hAnsi="FlandersArtSans-Regular"/>
          <w:i/>
          <w:sz w:val="24"/>
          <w:szCs w:val="24"/>
        </w:rPr>
        <w:t xml:space="preserve">totale </w:t>
      </w:r>
      <w:r w:rsidRPr="00FF30EB">
        <w:rPr>
          <w:rFonts w:ascii="FlandersArtSans-Regular" w:hAnsi="FlandersArtSans-Regular"/>
          <w:i/>
          <w:sz w:val="24"/>
          <w:szCs w:val="24"/>
        </w:rPr>
        <w:t xml:space="preserve">instroom van anderstalige werkzoekenden met een migratieachtergrond </w:t>
      </w:r>
      <w:r>
        <w:rPr>
          <w:rFonts w:ascii="FlandersArtSans-Regular" w:hAnsi="FlandersArtSans-Regular"/>
          <w:i/>
          <w:sz w:val="24"/>
          <w:szCs w:val="24"/>
        </w:rPr>
        <w:t>per provincie</w:t>
      </w:r>
      <w:r w:rsidRPr="00FF30EB">
        <w:rPr>
          <w:rFonts w:ascii="FlandersArtSans-Regular" w:hAnsi="FlandersArtSans-Regular"/>
          <w:i/>
          <w:sz w:val="24"/>
          <w:szCs w:val="24"/>
        </w:rPr>
        <w:t xml:space="preserve"> sinds januari 2014</w:t>
      </w:r>
    </w:p>
    <w:p w:rsidR="003629F3" w:rsidRDefault="003629F3">
      <w:pPr>
        <w:rPr>
          <w:rFonts w:ascii="FlandersArtSans-Regular" w:hAnsi="FlandersArtSans-Regular"/>
          <w:sz w:val="24"/>
          <w:szCs w:val="24"/>
        </w:rPr>
      </w:pPr>
      <w:r>
        <w:rPr>
          <w:noProof/>
          <w:lang w:eastAsia="nl-BE"/>
        </w:rPr>
        <w:drawing>
          <wp:inline distT="0" distB="0" distL="0" distR="0" wp14:anchorId="4F683774" wp14:editId="6C243CF9">
            <wp:extent cx="5562600" cy="3276600"/>
            <wp:effectExtent l="0" t="0" r="0"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629F3" w:rsidRDefault="003629F3" w:rsidP="004D4EBB">
      <w:pPr>
        <w:jc w:val="both"/>
        <w:rPr>
          <w:rFonts w:ascii="FlandersArtSans-Regular" w:hAnsi="FlandersArtSans-Regular"/>
          <w:sz w:val="24"/>
          <w:szCs w:val="24"/>
        </w:rPr>
      </w:pPr>
      <w:r>
        <w:rPr>
          <w:rFonts w:ascii="FlandersArtSans-Regular" w:hAnsi="FlandersArtSans-Regular"/>
          <w:sz w:val="24"/>
          <w:szCs w:val="24"/>
        </w:rPr>
        <w:t xml:space="preserve">Kijken we naar de instroom uit Afghanistan, Irak en Syrië, dan is duidelijk dat de grootste toename in Antwerpen te zien is, zowel absoluut als relatief. </w:t>
      </w:r>
    </w:p>
    <w:p w:rsidR="00B8467E" w:rsidRPr="00FF30EB" w:rsidRDefault="00B8467E" w:rsidP="00B8467E">
      <w:pPr>
        <w:spacing w:after="60" w:line="240" w:lineRule="auto"/>
        <w:rPr>
          <w:rFonts w:ascii="FlandersArtSans-Regular" w:hAnsi="FlandersArtSans-Regular"/>
          <w:sz w:val="24"/>
          <w:szCs w:val="24"/>
        </w:rPr>
      </w:pPr>
      <w:r w:rsidRPr="00FF30EB">
        <w:rPr>
          <w:rFonts w:ascii="FlandersArtSans-Regular" w:hAnsi="FlandersArtSans-Regular"/>
          <w:i/>
          <w:sz w:val="24"/>
          <w:szCs w:val="24"/>
        </w:rPr>
        <w:t xml:space="preserve">Figuur: Evolutie van de </w:t>
      </w:r>
      <w:r>
        <w:rPr>
          <w:rFonts w:ascii="FlandersArtSans-Regular" w:hAnsi="FlandersArtSans-Regular"/>
          <w:i/>
          <w:sz w:val="24"/>
          <w:szCs w:val="24"/>
        </w:rPr>
        <w:t xml:space="preserve">totale </w:t>
      </w:r>
      <w:r w:rsidRPr="00FF30EB">
        <w:rPr>
          <w:rFonts w:ascii="FlandersArtSans-Regular" w:hAnsi="FlandersArtSans-Regular"/>
          <w:i/>
          <w:sz w:val="24"/>
          <w:szCs w:val="24"/>
        </w:rPr>
        <w:t xml:space="preserve">instroom van anderstalige werkzoekenden met een migratieachtergrond </w:t>
      </w:r>
      <w:r>
        <w:rPr>
          <w:rFonts w:ascii="FlandersArtSans-Regular" w:hAnsi="FlandersArtSans-Regular"/>
          <w:i/>
          <w:sz w:val="24"/>
          <w:szCs w:val="24"/>
        </w:rPr>
        <w:t>per provincie</w:t>
      </w:r>
      <w:r w:rsidRPr="00FF30EB">
        <w:rPr>
          <w:rFonts w:ascii="FlandersArtSans-Regular" w:hAnsi="FlandersArtSans-Regular"/>
          <w:i/>
          <w:sz w:val="24"/>
          <w:szCs w:val="24"/>
        </w:rPr>
        <w:t xml:space="preserve"> sinds januari 2014</w:t>
      </w:r>
    </w:p>
    <w:p w:rsidR="003629F3" w:rsidRPr="00FF30EB" w:rsidRDefault="003629F3">
      <w:pPr>
        <w:rPr>
          <w:rFonts w:ascii="FlandersArtSans-Regular" w:hAnsi="FlandersArtSans-Regular"/>
          <w:sz w:val="24"/>
          <w:szCs w:val="24"/>
        </w:rPr>
      </w:pPr>
      <w:r>
        <w:rPr>
          <w:noProof/>
          <w:lang w:eastAsia="nl-BE"/>
        </w:rPr>
        <w:drawing>
          <wp:inline distT="0" distB="0" distL="0" distR="0" wp14:anchorId="64EE81AA" wp14:editId="2CF1510B">
            <wp:extent cx="5514975" cy="3324225"/>
            <wp:effectExtent l="0" t="0" r="0" b="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1244" w:rsidRPr="002D2E1C" w:rsidRDefault="00CD7D00" w:rsidP="002D2E1C">
      <w:pPr>
        <w:spacing w:after="60" w:line="240" w:lineRule="auto"/>
        <w:rPr>
          <w:rFonts w:ascii="FlandersArtSans-Regular" w:hAnsi="FlandersArtSans-Regular"/>
          <w:b/>
          <w:bCs/>
          <w:sz w:val="28"/>
          <w:szCs w:val="28"/>
        </w:rPr>
      </w:pPr>
      <w:r>
        <w:rPr>
          <w:rFonts w:ascii="FlandersArtSans-Regular" w:hAnsi="FlandersArtSans-Regular"/>
          <w:b/>
          <w:sz w:val="24"/>
          <w:szCs w:val="24"/>
        </w:rPr>
        <w:br w:type="page"/>
      </w:r>
      <w:r w:rsidR="002D2E1C" w:rsidRPr="002D2E1C">
        <w:rPr>
          <w:rFonts w:ascii="FlandersArtSans-Regular" w:hAnsi="FlandersArtSans-Regular"/>
          <w:b/>
          <w:bCs/>
          <w:sz w:val="28"/>
          <w:szCs w:val="28"/>
        </w:rPr>
        <w:t>Profielkenmerken</w:t>
      </w:r>
    </w:p>
    <w:p w:rsidR="0053671F" w:rsidRDefault="00BE1244" w:rsidP="00BE1244">
      <w:pPr>
        <w:spacing w:after="60" w:line="240" w:lineRule="auto"/>
        <w:jc w:val="both"/>
        <w:rPr>
          <w:rFonts w:ascii="FlandersArtSans-Regular" w:hAnsi="FlandersArtSans-Regular"/>
          <w:sz w:val="24"/>
          <w:szCs w:val="24"/>
        </w:rPr>
      </w:pPr>
      <w:r w:rsidRPr="00FF30EB">
        <w:rPr>
          <w:rFonts w:ascii="FlandersArtSans-Regular" w:hAnsi="FlandersArtSans-Regular"/>
          <w:sz w:val="24"/>
          <w:szCs w:val="24"/>
        </w:rPr>
        <w:t xml:space="preserve">Hierna bespreken we de profielkenmerken van de instroom </w:t>
      </w:r>
      <w:r w:rsidR="00AA710B" w:rsidRPr="00FF30EB">
        <w:rPr>
          <w:rFonts w:ascii="FlandersArtSans-Regular" w:hAnsi="FlandersArtSans-Regular"/>
          <w:sz w:val="24"/>
          <w:szCs w:val="24"/>
        </w:rPr>
        <w:t>van anderstalige werkzoekenden met een migratieachtergrond</w:t>
      </w:r>
      <w:r w:rsidRPr="00FF30EB">
        <w:rPr>
          <w:rFonts w:ascii="FlandersArtSans-Regular" w:hAnsi="FlandersArtSans-Regular"/>
          <w:sz w:val="24"/>
          <w:szCs w:val="24"/>
        </w:rPr>
        <w:t xml:space="preserve"> </w:t>
      </w:r>
      <w:r w:rsidR="0053671F">
        <w:rPr>
          <w:rFonts w:ascii="FlandersArtSans-Regular" w:hAnsi="FlandersArtSans-Regular"/>
          <w:sz w:val="24"/>
          <w:szCs w:val="24"/>
        </w:rPr>
        <w:t xml:space="preserve">voor de periode 2014-2017 (tot oktober). In de vorige kwartaalrapportering gingen we de evolutie van het profiel weer en zagen we geen grote verschuivingen. </w:t>
      </w:r>
    </w:p>
    <w:p w:rsidR="0053671F" w:rsidRDefault="0053671F" w:rsidP="00BE1244">
      <w:pPr>
        <w:spacing w:after="60" w:line="240" w:lineRule="auto"/>
        <w:jc w:val="both"/>
        <w:rPr>
          <w:rFonts w:ascii="FlandersArtSans-Regular" w:hAnsi="FlandersArtSans-Regular"/>
          <w:sz w:val="24"/>
          <w:szCs w:val="24"/>
        </w:rPr>
      </w:pPr>
    </w:p>
    <w:p w:rsidR="000F5DE1" w:rsidRDefault="0053671F" w:rsidP="00BE1244">
      <w:pPr>
        <w:spacing w:after="60" w:line="240" w:lineRule="auto"/>
        <w:jc w:val="both"/>
        <w:rPr>
          <w:rFonts w:ascii="FlandersArtSans-Regular" w:hAnsi="FlandersArtSans-Regular"/>
          <w:sz w:val="24"/>
          <w:szCs w:val="24"/>
        </w:rPr>
      </w:pPr>
      <w:r>
        <w:rPr>
          <w:rFonts w:ascii="FlandersArtSans-Regular" w:hAnsi="FlandersArtSans-Regular"/>
          <w:sz w:val="24"/>
          <w:szCs w:val="24"/>
        </w:rPr>
        <w:t>In deze kwartaalrapporteringen gaan we in op het profiel van d</w:t>
      </w:r>
      <w:r w:rsidR="000F5DE1">
        <w:rPr>
          <w:rFonts w:ascii="FlandersArtSans-Regular" w:hAnsi="FlandersArtSans-Regular"/>
          <w:sz w:val="24"/>
          <w:szCs w:val="24"/>
        </w:rPr>
        <w:t>e instroom vanaf 2014 en pikken.</w:t>
      </w:r>
    </w:p>
    <w:p w:rsidR="0053671F" w:rsidRDefault="000F5DE1" w:rsidP="00BE1244">
      <w:pPr>
        <w:spacing w:after="60" w:line="240" w:lineRule="auto"/>
        <w:jc w:val="both"/>
        <w:rPr>
          <w:rFonts w:ascii="FlandersArtSans-Regular" w:hAnsi="FlandersArtSans-Regular"/>
          <w:sz w:val="24"/>
          <w:szCs w:val="24"/>
        </w:rPr>
      </w:pPr>
      <w:r>
        <w:rPr>
          <w:rFonts w:ascii="FlandersArtSans-Regular" w:hAnsi="FlandersArtSans-Regular"/>
          <w:sz w:val="24"/>
          <w:szCs w:val="24"/>
        </w:rPr>
        <w:t>D</w:t>
      </w:r>
      <w:r w:rsidR="0053671F">
        <w:rPr>
          <w:rFonts w:ascii="FlandersArtSans-Regular" w:hAnsi="FlandersArtSans-Regular"/>
          <w:sz w:val="24"/>
          <w:szCs w:val="24"/>
        </w:rPr>
        <w:t>e instroom uit Afghanis</w:t>
      </w:r>
      <w:r>
        <w:rPr>
          <w:rFonts w:ascii="FlandersArtSans-Regular" w:hAnsi="FlandersArtSans-Regular"/>
          <w:sz w:val="24"/>
          <w:szCs w:val="24"/>
        </w:rPr>
        <w:t>tan, Irak en Syrië verschilt sterk van de andere migranten.</w:t>
      </w:r>
      <w:r w:rsidR="0053671F">
        <w:rPr>
          <w:rFonts w:ascii="FlandersArtSans-Regular" w:hAnsi="FlandersArtSans-Regular"/>
          <w:sz w:val="24"/>
          <w:szCs w:val="24"/>
        </w:rPr>
        <w:t xml:space="preserve"> Meer dan 8 op 10 van de instromers is man.</w:t>
      </w:r>
    </w:p>
    <w:p w:rsidR="0053671F" w:rsidRDefault="0053671F" w:rsidP="00BE1244">
      <w:pPr>
        <w:spacing w:after="60" w:line="240" w:lineRule="auto"/>
        <w:jc w:val="both"/>
        <w:rPr>
          <w:rFonts w:ascii="FlandersArtSans-Regular" w:hAnsi="FlandersArtSans-Regular"/>
          <w:sz w:val="24"/>
          <w:szCs w:val="24"/>
        </w:rPr>
      </w:pPr>
    </w:p>
    <w:p w:rsidR="0010177C" w:rsidRPr="0010177C" w:rsidRDefault="0010177C" w:rsidP="00BE1244">
      <w:pPr>
        <w:spacing w:after="60" w:line="240" w:lineRule="auto"/>
        <w:jc w:val="both"/>
        <w:rPr>
          <w:rFonts w:ascii="FlandersArtSans-Regular" w:hAnsi="FlandersArtSans-Regular"/>
          <w:i/>
          <w:sz w:val="24"/>
          <w:szCs w:val="24"/>
        </w:rPr>
      </w:pPr>
      <w:r w:rsidRPr="0010177C">
        <w:rPr>
          <w:rFonts w:ascii="FlandersArtSans-Regular" w:hAnsi="FlandersArtSans-Regular"/>
          <w:i/>
          <w:sz w:val="24"/>
          <w:szCs w:val="24"/>
        </w:rPr>
        <w:t>Tabel: Verdeling naar gender</w:t>
      </w:r>
    </w:p>
    <w:tbl>
      <w:tblPr>
        <w:tblW w:w="5580" w:type="dxa"/>
        <w:tblInd w:w="55" w:type="dxa"/>
        <w:tblCellMar>
          <w:left w:w="70" w:type="dxa"/>
          <w:right w:w="70" w:type="dxa"/>
        </w:tblCellMar>
        <w:tblLook w:val="04A0" w:firstRow="1" w:lastRow="0" w:firstColumn="1" w:lastColumn="0" w:noHBand="0" w:noVBand="1"/>
      </w:tblPr>
      <w:tblGrid>
        <w:gridCol w:w="960"/>
        <w:gridCol w:w="1540"/>
        <w:gridCol w:w="1540"/>
        <w:gridCol w:w="1540"/>
      </w:tblGrid>
      <w:tr w:rsidR="0053671F" w:rsidRPr="0053671F" w:rsidTr="0053671F">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71F" w:rsidRPr="0053671F" w:rsidRDefault="0053671F" w:rsidP="00F52802">
            <w:pPr>
              <w:spacing w:after="0" w:line="240" w:lineRule="auto"/>
              <w:rPr>
                <w:rFonts w:ascii="FlandersArtSans-Regular" w:eastAsia="Times New Roman" w:hAnsi="FlandersArtSans-Regular" w:cs="Times New Roman"/>
                <w:color w:val="000000"/>
                <w:sz w:val="24"/>
                <w:szCs w:val="24"/>
                <w:lang w:eastAsia="nl-BE"/>
              </w:rPr>
            </w:pPr>
            <w:r w:rsidRPr="0053671F">
              <w:rPr>
                <w:rFonts w:ascii="Times New Roman" w:eastAsia="Times New Roman" w:hAnsi="Times New Roman" w:cs="Times New Roman"/>
                <w:color w:val="000000"/>
                <w:sz w:val="24"/>
                <w:szCs w:val="24"/>
                <w:lang w:eastAsia="nl-BE"/>
              </w:rPr>
              <w:t>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Totale instroom</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Buiten EU</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Afghanistan, Irak en Syrië</w:t>
            </w:r>
          </w:p>
        </w:tc>
      </w:tr>
      <w:tr w:rsidR="0053671F" w:rsidRPr="0053671F" w:rsidTr="005367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Man</w:t>
            </w:r>
          </w:p>
        </w:tc>
        <w:tc>
          <w:tcPr>
            <w:tcW w:w="1540" w:type="dxa"/>
            <w:tcBorders>
              <w:top w:val="nil"/>
              <w:left w:val="nil"/>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53%</w:t>
            </w:r>
          </w:p>
        </w:tc>
        <w:tc>
          <w:tcPr>
            <w:tcW w:w="1540" w:type="dxa"/>
            <w:tcBorders>
              <w:top w:val="nil"/>
              <w:left w:val="nil"/>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54%</w:t>
            </w:r>
          </w:p>
        </w:tc>
        <w:tc>
          <w:tcPr>
            <w:tcW w:w="1540" w:type="dxa"/>
            <w:tcBorders>
              <w:top w:val="nil"/>
              <w:left w:val="nil"/>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82%</w:t>
            </w:r>
          </w:p>
        </w:tc>
      </w:tr>
      <w:tr w:rsidR="0053671F" w:rsidRPr="0053671F" w:rsidTr="005367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Vrouw</w:t>
            </w:r>
          </w:p>
        </w:tc>
        <w:tc>
          <w:tcPr>
            <w:tcW w:w="1540" w:type="dxa"/>
            <w:tcBorders>
              <w:top w:val="nil"/>
              <w:left w:val="nil"/>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47%</w:t>
            </w:r>
          </w:p>
        </w:tc>
        <w:tc>
          <w:tcPr>
            <w:tcW w:w="1540" w:type="dxa"/>
            <w:tcBorders>
              <w:top w:val="nil"/>
              <w:left w:val="nil"/>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46%</w:t>
            </w:r>
          </w:p>
        </w:tc>
        <w:tc>
          <w:tcPr>
            <w:tcW w:w="1540" w:type="dxa"/>
            <w:tcBorders>
              <w:top w:val="nil"/>
              <w:left w:val="nil"/>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18%</w:t>
            </w:r>
          </w:p>
        </w:tc>
      </w:tr>
      <w:tr w:rsidR="0053671F" w:rsidRPr="0053671F" w:rsidTr="005367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Totaal</w:t>
            </w:r>
          </w:p>
        </w:tc>
        <w:tc>
          <w:tcPr>
            <w:tcW w:w="1540" w:type="dxa"/>
            <w:tcBorders>
              <w:top w:val="nil"/>
              <w:left w:val="nil"/>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109.860</w:t>
            </w:r>
          </w:p>
        </w:tc>
        <w:tc>
          <w:tcPr>
            <w:tcW w:w="1540" w:type="dxa"/>
            <w:tcBorders>
              <w:top w:val="nil"/>
              <w:left w:val="nil"/>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74.813</w:t>
            </w:r>
          </w:p>
        </w:tc>
        <w:tc>
          <w:tcPr>
            <w:tcW w:w="1540" w:type="dxa"/>
            <w:tcBorders>
              <w:top w:val="nil"/>
              <w:left w:val="nil"/>
              <w:bottom w:val="single" w:sz="4" w:space="0" w:color="auto"/>
              <w:right w:val="single" w:sz="4" w:space="0" w:color="auto"/>
            </w:tcBorders>
            <w:shd w:val="clear" w:color="auto" w:fill="auto"/>
            <w:noWrap/>
            <w:vAlign w:val="bottom"/>
            <w:hideMark/>
          </w:tcPr>
          <w:p w:rsidR="0053671F" w:rsidRPr="0053671F" w:rsidRDefault="0053671F" w:rsidP="0053671F">
            <w:pPr>
              <w:spacing w:after="0" w:line="240" w:lineRule="auto"/>
              <w:jc w:val="center"/>
              <w:rPr>
                <w:rFonts w:ascii="FlandersArtSans-Regular" w:eastAsia="Times New Roman" w:hAnsi="FlandersArtSans-Regular" w:cs="Times New Roman"/>
                <w:color w:val="000000"/>
                <w:sz w:val="24"/>
                <w:szCs w:val="24"/>
                <w:lang w:eastAsia="nl-BE"/>
              </w:rPr>
            </w:pPr>
            <w:r w:rsidRPr="0053671F">
              <w:rPr>
                <w:rFonts w:ascii="FlandersArtSans-Regular" w:eastAsia="Times New Roman" w:hAnsi="FlandersArtSans-Regular" w:cs="Times New Roman"/>
                <w:color w:val="000000"/>
                <w:sz w:val="24"/>
                <w:szCs w:val="24"/>
                <w:lang w:eastAsia="nl-BE"/>
              </w:rPr>
              <w:t>12.107</w:t>
            </w:r>
          </w:p>
        </w:tc>
      </w:tr>
    </w:tbl>
    <w:p w:rsidR="00BE1244" w:rsidRDefault="0053671F" w:rsidP="00BE1244">
      <w:pPr>
        <w:spacing w:after="60" w:line="240" w:lineRule="auto"/>
        <w:jc w:val="both"/>
        <w:rPr>
          <w:rFonts w:ascii="FlandersArtSans-Regular" w:hAnsi="FlandersArtSans-Regular"/>
          <w:sz w:val="24"/>
          <w:szCs w:val="24"/>
        </w:rPr>
      </w:pPr>
      <w:r>
        <w:rPr>
          <w:rFonts w:ascii="FlandersArtSans-Regular" w:hAnsi="FlandersArtSans-Regular"/>
          <w:sz w:val="24"/>
          <w:szCs w:val="24"/>
        </w:rPr>
        <w:t xml:space="preserve"> </w:t>
      </w:r>
    </w:p>
    <w:p w:rsidR="0010177C" w:rsidRPr="000F5DE1" w:rsidRDefault="000F5DE1" w:rsidP="00BE1244">
      <w:pPr>
        <w:spacing w:after="60" w:line="240" w:lineRule="auto"/>
        <w:rPr>
          <w:rFonts w:ascii="FlandersArtSans-Regular" w:hAnsi="FlandersArtSans-Regular"/>
          <w:iCs/>
          <w:sz w:val="24"/>
          <w:szCs w:val="24"/>
        </w:rPr>
      </w:pPr>
      <w:r>
        <w:rPr>
          <w:rFonts w:ascii="FlandersArtSans-Regular" w:hAnsi="FlandersArtSans-Regular"/>
          <w:iCs/>
          <w:sz w:val="24"/>
          <w:szCs w:val="24"/>
        </w:rPr>
        <w:t>Ook de leeftijdsverdeling is wat anders, het publiek is gemiddeld jonger.</w:t>
      </w:r>
    </w:p>
    <w:p w:rsidR="0010177C" w:rsidRDefault="0010177C" w:rsidP="00BE1244">
      <w:pPr>
        <w:spacing w:after="60" w:line="240" w:lineRule="auto"/>
        <w:rPr>
          <w:rFonts w:ascii="FlandersArtSans-Regular" w:hAnsi="FlandersArtSans-Regular"/>
          <w:b/>
          <w:i/>
          <w:iCs/>
          <w:sz w:val="24"/>
          <w:szCs w:val="24"/>
        </w:rPr>
      </w:pPr>
    </w:p>
    <w:p w:rsidR="000D1824" w:rsidRPr="000D1824" w:rsidRDefault="000D1824" w:rsidP="00BE1244">
      <w:pPr>
        <w:spacing w:after="60" w:line="240" w:lineRule="auto"/>
        <w:jc w:val="both"/>
        <w:rPr>
          <w:rFonts w:ascii="FlandersArtSans-Regular" w:hAnsi="FlandersArtSans-Regular"/>
          <w:i/>
          <w:sz w:val="24"/>
          <w:szCs w:val="24"/>
        </w:rPr>
      </w:pPr>
      <w:r w:rsidRPr="0010177C">
        <w:rPr>
          <w:rFonts w:ascii="FlandersArtSans-Regular" w:hAnsi="FlandersArtSans-Regular"/>
          <w:i/>
          <w:sz w:val="24"/>
          <w:szCs w:val="24"/>
        </w:rPr>
        <w:t xml:space="preserve">Tabel: Verdeling naar </w:t>
      </w:r>
      <w:r>
        <w:rPr>
          <w:rFonts w:ascii="FlandersArtSans-Regular" w:hAnsi="FlandersArtSans-Regular"/>
          <w:i/>
          <w:sz w:val="24"/>
          <w:szCs w:val="24"/>
        </w:rPr>
        <w:t>leeftijd</w:t>
      </w:r>
    </w:p>
    <w:tbl>
      <w:tblPr>
        <w:tblW w:w="7103" w:type="dxa"/>
        <w:tblInd w:w="55" w:type="dxa"/>
        <w:tblCellMar>
          <w:left w:w="70" w:type="dxa"/>
          <w:right w:w="70" w:type="dxa"/>
        </w:tblCellMar>
        <w:tblLook w:val="04A0" w:firstRow="1" w:lastRow="0" w:firstColumn="1" w:lastColumn="0" w:noHBand="0" w:noVBand="1"/>
      </w:tblPr>
      <w:tblGrid>
        <w:gridCol w:w="2425"/>
        <w:gridCol w:w="1559"/>
        <w:gridCol w:w="1418"/>
        <w:gridCol w:w="1701"/>
      </w:tblGrid>
      <w:tr w:rsidR="00F52802" w:rsidRPr="00F52802" w:rsidTr="00F52802">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rPr>
                <w:rFonts w:ascii="FlandersArtSans-Regular" w:eastAsia="Times New Roman" w:hAnsi="FlandersArtSans-Regular" w:cs="Times New Roman"/>
                <w:color w:val="000000"/>
                <w:sz w:val="24"/>
                <w:szCs w:val="24"/>
                <w:lang w:eastAsia="nl-BE"/>
              </w:rPr>
            </w:pPr>
            <w:r w:rsidRPr="00F52802">
              <w:rPr>
                <w:rFonts w:ascii="Times New Roman" w:eastAsia="Times New Roman" w:hAnsi="Times New Roman" w:cs="Times New Roman"/>
                <w:color w:val="000000"/>
                <w:sz w:val="24"/>
                <w:szCs w:val="24"/>
                <w:lang w:eastAsia="nl-BE"/>
              </w:rPr>
              <w:t>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Totale instroom</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Buiten EU</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Afghanistan, Irak en Syrië</w:t>
            </w:r>
          </w:p>
        </w:tc>
      </w:tr>
      <w:tr w:rsidR="00F52802" w:rsidRPr="00F52802" w:rsidTr="00F5280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-25 jaar</w:t>
            </w:r>
          </w:p>
        </w:tc>
        <w:tc>
          <w:tcPr>
            <w:tcW w:w="1559" w:type="dxa"/>
            <w:tcBorders>
              <w:top w:val="nil"/>
              <w:left w:val="nil"/>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14%</w:t>
            </w:r>
          </w:p>
        </w:tc>
        <w:tc>
          <w:tcPr>
            <w:tcW w:w="1418" w:type="dxa"/>
            <w:tcBorders>
              <w:top w:val="nil"/>
              <w:left w:val="nil"/>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14%</w:t>
            </w:r>
          </w:p>
        </w:tc>
        <w:tc>
          <w:tcPr>
            <w:tcW w:w="1701" w:type="dxa"/>
            <w:tcBorders>
              <w:top w:val="nil"/>
              <w:left w:val="nil"/>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29%</w:t>
            </w:r>
          </w:p>
        </w:tc>
      </w:tr>
      <w:tr w:rsidR="00F52802" w:rsidRPr="00F52802" w:rsidTr="00F5280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25 tot en met 54 jaar</w:t>
            </w:r>
          </w:p>
        </w:tc>
        <w:tc>
          <w:tcPr>
            <w:tcW w:w="1559" w:type="dxa"/>
            <w:tcBorders>
              <w:top w:val="nil"/>
              <w:left w:val="nil"/>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82%</w:t>
            </w:r>
          </w:p>
        </w:tc>
        <w:tc>
          <w:tcPr>
            <w:tcW w:w="1418" w:type="dxa"/>
            <w:tcBorders>
              <w:top w:val="nil"/>
              <w:left w:val="nil"/>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83%</w:t>
            </w:r>
          </w:p>
        </w:tc>
        <w:tc>
          <w:tcPr>
            <w:tcW w:w="1701" w:type="dxa"/>
            <w:tcBorders>
              <w:top w:val="nil"/>
              <w:left w:val="nil"/>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70%</w:t>
            </w:r>
          </w:p>
        </w:tc>
      </w:tr>
      <w:tr w:rsidR="00F52802" w:rsidRPr="00F52802" w:rsidTr="00F5280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55 jaar en +</w:t>
            </w:r>
          </w:p>
        </w:tc>
        <w:tc>
          <w:tcPr>
            <w:tcW w:w="1559" w:type="dxa"/>
            <w:tcBorders>
              <w:top w:val="nil"/>
              <w:left w:val="nil"/>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4%</w:t>
            </w:r>
          </w:p>
        </w:tc>
        <w:tc>
          <w:tcPr>
            <w:tcW w:w="1418" w:type="dxa"/>
            <w:tcBorders>
              <w:top w:val="nil"/>
              <w:left w:val="nil"/>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4%</w:t>
            </w:r>
          </w:p>
        </w:tc>
        <w:tc>
          <w:tcPr>
            <w:tcW w:w="1701" w:type="dxa"/>
            <w:tcBorders>
              <w:top w:val="nil"/>
              <w:left w:val="nil"/>
              <w:bottom w:val="single" w:sz="4" w:space="0" w:color="auto"/>
              <w:right w:val="single" w:sz="4" w:space="0" w:color="auto"/>
            </w:tcBorders>
            <w:shd w:val="clear" w:color="auto" w:fill="auto"/>
            <w:noWrap/>
            <w:vAlign w:val="bottom"/>
            <w:hideMark/>
          </w:tcPr>
          <w:p w:rsidR="00F52802" w:rsidRPr="00F52802" w:rsidRDefault="00F52802" w:rsidP="00F52802">
            <w:pPr>
              <w:spacing w:after="0" w:line="240" w:lineRule="auto"/>
              <w:jc w:val="center"/>
              <w:rPr>
                <w:rFonts w:ascii="FlandersArtSans-Regular" w:eastAsia="Times New Roman" w:hAnsi="FlandersArtSans-Regular" w:cs="Times New Roman"/>
                <w:color w:val="000000"/>
                <w:sz w:val="24"/>
                <w:szCs w:val="24"/>
                <w:lang w:eastAsia="nl-BE"/>
              </w:rPr>
            </w:pPr>
            <w:r w:rsidRPr="00F52802">
              <w:rPr>
                <w:rFonts w:ascii="FlandersArtSans-Regular" w:eastAsia="Times New Roman" w:hAnsi="FlandersArtSans-Regular" w:cs="Times New Roman"/>
                <w:color w:val="000000"/>
                <w:sz w:val="24"/>
                <w:szCs w:val="24"/>
                <w:lang w:eastAsia="nl-BE"/>
              </w:rPr>
              <w:t>2%</w:t>
            </w:r>
          </w:p>
        </w:tc>
      </w:tr>
    </w:tbl>
    <w:p w:rsidR="00E808EE" w:rsidRPr="00FF30EB" w:rsidRDefault="00E808EE" w:rsidP="00BE1244">
      <w:pPr>
        <w:spacing w:after="60" w:line="240" w:lineRule="auto"/>
        <w:rPr>
          <w:rFonts w:ascii="FlandersArtSans-Regular" w:hAnsi="FlandersArtSans-Regular"/>
          <w:b/>
          <w:i/>
          <w:iCs/>
          <w:sz w:val="24"/>
          <w:szCs w:val="24"/>
        </w:rPr>
      </w:pPr>
    </w:p>
    <w:p w:rsidR="00F52802" w:rsidRPr="000F5DE1" w:rsidRDefault="000F5DE1">
      <w:pPr>
        <w:rPr>
          <w:rFonts w:ascii="FlandersArtSans-Regular" w:hAnsi="FlandersArtSans-Regular"/>
          <w:i/>
          <w:sz w:val="24"/>
          <w:szCs w:val="24"/>
        </w:rPr>
      </w:pPr>
      <w:r w:rsidRPr="000F5DE1">
        <w:rPr>
          <w:rFonts w:ascii="FlandersArtSans-Regular" w:hAnsi="FlandersArtSans-Regular"/>
          <w:iCs/>
          <w:sz w:val="24"/>
          <w:szCs w:val="24"/>
        </w:rPr>
        <w:t xml:space="preserve">De </w:t>
      </w:r>
      <w:r>
        <w:rPr>
          <w:rFonts w:ascii="FlandersArtSans-Regular" w:hAnsi="FlandersArtSans-Regular"/>
          <w:sz w:val="24"/>
          <w:szCs w:val="24"/>
        </w:rPr>
        <w:t xml:space="preserve">volgende grafiek geeft een nog meer gedetailleerde leeftijdsverdeling. Bij alle drie de groepen is er een scheve verdeling, maar bij de instroom uit Afghanistan, Irak en Syrië zie je dat de piek zit bevindt de in de </w:t>
      </w:r>
      <w:proofErr w:type="spellStart"/>
      <w:r>
        <w:rPr>
          <w:rFonts w:ascii="FlandersArtSans-Regular" w:hAnsi="FlandersArtSans-Regular"/>
          <w:sz w:val="24"/>
          <w:szCs w:val="24"/>
        </w:rPr>
        <w:t>leefijdscategorie</w:t>
      </w:r>
      <w:proofErr w:type="spellEnd"/>
      <w:r>
        <w:rPr>
          <w:rFonts w:ascii="FlandersArtSans-Regular" w:hAnsi="FlandersArtSans-Regular"/>
          <w:sz w:val="24"/>
          <w:szCs w:val="24"/>
        </w:rPr>
        <w:t xml:space="preserve"> 20-30 jaar, terwijl bij de totale groep dit in de categorie 30-35 jaar is.</w:t>
      </w:r>
      <w:r w:rsidR="00F52802" w:rsidRPr="000F5DE1">
        <w:rPr>
          <w:rFonts w:ascii="FlandersArtSans-Regular" w:hAnsi="FlandersArtSans-Regular"/>
          <w:i/>
          <w:sz w:val="24"/>
          <w:szCs w:val="24"/>
        </w:rPr>
        <w:br w:type="page"/>
      </w:r>
    </w:p>
    <w:p w:rsidR="00E808EE" w:rsidRPr="00F52802" w:rsidRDefault="00F52802" w:rsidP="00BE1244">
      <w:pPr>
        <w:spacing w:after="60" w:line="240" w:lineRule="auto"/>
        <w:rPr>
          <w:rFonts w:ascii="FlandersArtSans-Regular" w:hAnsi="FlandersArtSans-Regular"/>
          <w:sz w:val="24"/>
          <w:szCs w:val="24"/>
        </w:rPr>
      </w:pPr>
      <w:r w:rsidRPr="00FF30EB">
        <w:rPr>
          <w:rFonts w:ascii="FlandersArtSans-Regular" w:hAnsi="FlandersArtSans-Regular"/>
          <w:i/>
          <w:sz w:val="24"/>
          <w:szCs w:val="24"/>
        </w:rPr>
        <w:t xml:space="preserve">Figuur: </w:t>
      </w:r>
      <w:r>
        <w:rPr>
          <w:rFonts w:ascii="FlandersArtSans-Regular" w:hAnsi="FlandersArtSans-Regular"/>
          <w:i/>
          <w:sz w:val="24"/>
          <w:szCs w:val="24"/>
        </w:rPr>
        <w:t>Gedetailleerde leeftijdsverdeling voor de instroom vanaf 2014</w:t>
      </w:r>
    </w:p>
    <w:p w:rsidR="00F52802" w:rsidRDefault="00F52802" w:rsidP="00BE1244">
      <w:pPr>
        <w:spacing w:after="60" w:line="240" w:lineRule="auto"/>
        <w:rPr>
          <w:rFonts w:ascii="FlandersArtSans-Regular" w:hAnsi="FlandersArtSans-Regular"/>
          <w:b/>
          <w:i/>
          <w:iCs/>
          <w:sz w:val="24"/>
          <w:szCs w:val="24"/>
        </w:rPr>
      </w:pPr>
      <w:r>
        <w:rPr>
          <w:noProof/>
          <w:lang w:eastAsia="nl-BE"/>
        </w:rPr>
        <w:drawing>
          <wp:inline distT="0" distB="0" distL="0" distR="0" wp14:anchorId="1459B3CF" wp14:editId="381B1F73">
            <wp:extent cx="5762625" cy="4010025"/>
            <wp:effectExtent l="0" t="0" r="0" b="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2802" w:rsidRDefault="00F52802" w:rsidP="00BE1244">
      <w:pPr>
        <w:spacing w:after="60" w:line="240" w:lineRule="auto"/>
        <w:rPr>
          <w:rFonts w:ascii="FlandersArtSans-Regular" w:hAnsi="FlandersArtSans-Regular"/>
          <w:b/>
          <w:i/>
          <w:iCs/>
          <w:sz w:val="24"/>
          <w:szCs w:val="24"/>
        </w:rPr>
      </w:pPr>
    </w:p>
    <w:p w:rsidR="00916436" w:rsidRDefault="00916436" w:rsidP="00BE1244">
      <w:pPr>
        <w:spacing w:after="60" w:line="240" w:lineRule="auto"/>
        <w:rPr>
          <w:rFonts w:ascii="FlandersArtSans-Regular" w:hAnsi="FlandersArtSans-Regular"/>
          <w:b/>
          <w:i/>
          <w:iCs/>
          <w:sz w:val="24"/>
          <w:szCs w:val="24"/>
        </w:rPr>
      </w:pPr>
    </w:p>
    <w:p w:rsidR="00916436" w:rsidRPr="00916436" w:rsidRDefault="00916436" w:rsidP="00BE1244">
      <w:pPr>
        <w:spacing w:after="60" w:line="240" w:lineRule="auto"/>
        <w:rPr>
          <w:rFonts w:ascii="FlandersArtSans-Regular" w:hAnsi="FlandersArtSans-Regular"/>
          <w:iCs/>
          <w:sz w:val="24"/>
          <w:szCs w:val="24"/>
        </w:rPr>
      </w:pPr>
      <w:r>
        <w:rPr>
          <w:rFonts w:ascii="FlandersArtSans-Regular" w:hAnsi="FlandersArtSans-Regular"/>
          <w:iCs/>
          <w:sz w:val="24"/>
          <w:szCs w:val="24"/>
        </w:rPr>
        <w:t>De instroom is overwegend laaggeschoold, maar dit stelt zich nog scherper bij de groep uit Afghanistan, Irak en Syrië.</w:t>
      </w:r>
    </w:p>
    <w:p w:rsidR="00916436" w:rsidRPr="00FF30EB" w:rsidRDefault="00916436" w:rsidP="00BE1244">
      <w:pPr>
        <w:spacing w:after="60" w:line="240" w:lineRule="auto"/>
        <w:rPr>
          <w:rFonts w:ascii="FlandersArtSans-Regular" w:hAnsi="FlandersArtSans-Regular"/>
          <w:b/>
          <w:i/>
          <w:iCs/>
          <w:sz w:val="24"/>
          <w:szCs w:val="24"/>
        </w:rPr>
      </w:pPr>
    </w:p>
    <w:p w:rsidR="00524580" w:rsidRDefault="000D1824" w:rsidP="00070A35">
      <w:pPr>
        <w:spacing w:after="60" w:line="240" w:lineRule="auto"/>
        <w:jc w:val="both"/>
        <w:rPr>
          <w:rFonts w:ascii="FlandersArtSans-Regular" w:hAnsi="FlandersArtSans-Regular"/>
          <w:i/>
          <w:sz w:val="24"/>
          <w:szCs w:val="24"/>
        </w:rPr>
      </w:pPr>
      <w:r w:rsidRPr="0010177C">
        <w:rPr>
          <w:rFonts w:ascii="FlandersArtSans-Regular" w:hAnsi="FlandersArtSans-Regular"/>
          <w:i/>
          <w:sz w:val="24"/>
          <w:szCs w:val="24"/>
        </w:rPr>
        <w:t xml:space="preserve">Tabel: Verdeling naar </w:t>
      </w:r>
      <w:r>
        <w:rPr>
          <w:rFonts w:ascii="FlandersArtSans-Regular" w:hAnsi="FlandersArtSans-Regular"/>
          <w:i/>
          <w:sz w:val="24"/>
          <w:szCs w:val="24"/>
        </w:rPr>
        <w:t>scholingsniveau</w:t>
      </w:r>
    </w:p>
    <w:tbl>
      <w:tblPr>
        <w:tblW w:w="6320" w:type="dxa"/>
        <w:tblInd w:w="55" w:type="dxa"/>
        <w:tblCellMar>
          <w:left w:w="70" w:type="dxa"/>
          <w:right w:w="70" w:type="dxa"/>
        </w:tblCellMar>
        <w:tblLook w:val="04A0" w:firstRow="1" w:lastRow="0" w:firstColumn="1" w:lastColumn="0" w:noHBand="0" w:noVBand="1"/>
      </w:tblPr>
      <w:tblGrid>
        <w:gridCol w:w="1888"/>
        <w:gridCol w:w="1520"/>
        <w:gridCol w:w="1520"/>
        <w:gridCol w:w="1520"/>
      </w:tblGrid>
      <w:tr w:rsidR="00070A35" w:rsidRPr="00070A35" w:rsidTr="00070A35">
        <w:trPr>
          <w:trHeight w:val="6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rPr>
                <w:rFonts w:ascii="FlandersArtSans-Regular" w:eastAsia="Times New Roman" w:hAnsi="FlandersArtSans-Regular" w:cs="Times New Roman"/>
                <w:color w:val="000000"/>
                <w:sz w:val="24"/>
                <w:szCs w:val="24"/>
                <w:lang w:eastAsia="nl-BE"/>
              </w:rPr>
            </w:pPr>
            <w:r w:rsidRPr="00070A35">
              <w:rPr>
                <w:rFonts w:ascii="Times New Roman" w:eastAsia="Times New Roman" w:hAnsi="Times New Roman" w:cs="Times New Roman"/>
                <w:color w:val="000000"/>
                <w:sz w:val="24"/>
                <w:szCs w:val="24"/>
                <w:lang w:eastAsia="nl-BE"/>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Totale instroom</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Buiten EU</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Afghanistan, Irak en Syrië</w:t>
            </w:r>
          </w:p>
        </w:tc>
      </w:tr>
      <w:tr w:rsidR="00070A35" w:rsidRPr="00070A35" w:rsidTr="00070A35">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Kortgeschoold</w:t>
            </w:r>
          </w:p>
        </w:tc>
        <w:tc>
          <w:tcPr>
            <w:tcW w:w="1520" w:type="dxa"/>
            <w:tcBorders>
              <w:top w:val="nil"/>
              <w:left w:val="nil"/>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52%</w:t>
            </w:r>
          </w:p>
        </w:tc>
        <w:tc>
          <w:tcPr>
            <w:tcW w:w="1520" w:type="dxa"/>
            <w:tcBorders>
              <w:top w:val="nil"/>
              <w:left w:val="nil"/>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54%</w:t>
            </w:r>
          </w:p>
        </w:tc>
        <w:tc>
          <w:tcPr>
            <w:tcW w:w="1520" w:type="dxa"/>
            <w:tcBorders>
              <w:top w:val="nil"/>
              <w:left w:val="nil"/>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64%</w:t>
            </w:r>
          </w:p>
        </w:tc>
      </w:tr>
      <w:tr w:rsidR="00070A35" w:rsidRPr="00070A35" w:rsidTr="00070A35">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rPr>
                <w:rFonts w:ascii="FlandersArtSans-Regular" w:eastAsia="Times New Roman" w:hAnsi="FlandersArtSans-Regular" w:cs="Times New Roman"/>
                <w:color w:val="000000"/>
                <w:sz w:val="24"/>
                <w:szCs w:val="24"/>
                <w:lang w:eastAsia="nl-BE"/>
              </w:rPr>
            </w:pPr>
            <w:proofErr w:type="spellStart"/>
            <w:r w:rsidRPr="00070A35">
              <w:rPr>
                <w:rFonts w:ascii="FlandersArtSans-Regular" w:eastAsia="Times New Roman" w:hAnsi="FlandersArtSans-Regular" w:cs="Times New Roman"/>
                <w:color w:val="000000"/>
                <w:sz w:val="24"/>
                <w:szCs w:val="24"/>
                <w:lang w:eastAsia="nl-BE"/>
              </w:rPr>
              <w:t>Middengeschoold</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31%</w:t>
            </w:r>
          </w:p>
        </w:tc>
        <w:tc>
          <w:tcPr>
            <w:tcW w:w="1520" w:type="dxa"/>
            <w:tcBorders>
              <w:top w:val="nil"/>
              <w:left w:val="nil"/>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30%</w:t>
            </w:r>
          </w:p>
        </w:tc>
        <w:tc>
          <w:tcPr>
            <w:tcW w:w="1520" w:type="dxa"/>
            <w:tcBorders>
              <w:top w:val="nil"/>
              <w:left w:val="nil"/>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22%</w:t>
            </w:r>
          </w:p>
        </w:tc>
      </w:tr>
      <w:tr w:rsidR="00070A35" w:rsidRPr="00070A35" w:rsidTr="00070A35">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Hooggeschoold</w:t>
            </w:r>
          </w:p>
        </w:tc>
        <w:tc>
          <w:tcPr>
            <w:tcW w:w="1520" w:type="dxa"/>
            <w:tcBorders>
              <w:top w:val="nil"/>
              <w:left w:val="nil"/>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17%</w:t>
            </w:r>
          </w:p>
        </w:tc>
        <w:tc>
          <w:tcPr>
            <w:tcW w:w="1520" w:type="dxa"/>
            <w:tcBorders>
              <w:top w:val="nil"/>
              <w:left w:val="nil"/>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16%</w:t>
            </w:r>
          </w:p>
        </w:tc>
        <w:tc>
          <w:tcPr>
            <w:tcW w:w="1520" w:type="dxa"/>
            <w:tcBorders>
              <w:top w:val="nil"/>
              <w:left w:val="nil"/>
              <w:bottom w:val="single" w:sz="4" w:space="0" w:color="auto"/>
              <w:right w:val="single" w:sz="4" w:space="0" w:color="auto"/>
            </w:tcBorders>
            <w:shd w:val="clear" w:color="auto" w:fill="auto"/>
            <w:noWrap/>
            <w:vAlign w:val="bottom"/>
            <w:hideMark/>
          </w:tcPr>
          <w:p w:rsidR="00070A35" w:rsidRPr="00070A35" w:rsidRDefault="00070A35" w:rsidP="00070A35">
            <w:pPr>
              <w:spacing w:after="0" w:line="240" w:lineRule="auto"/>
              <w:jc w:val="center"/>
              <w:rPr>
                <w:rFonts w:ascii="FlandersArtSans-Regular" w:eastAsia="Times New Roman" w:hAnsi="FlandersArtSans-Regular" w:cs="Times New Roman"/>
                <w:color w:val="000000"/>
                <w:sz w:val="24"/>
                <w:szCs w:val="24"/>
                <w:lang w:eastAsia="nl-BE"/>
              </w:rPr>
            </w:pPr>
            <w:r w:rsidRPr="00070A35">
              <w:rPr>
                <w:rFonts w:ascii="FlandersArtSans-Regular" w:eastAsia="Times New Roman" w:hAnsi="FlandersArtSans-Regular" w:cs="Times New Roman"/>
                <w:color w:val="000000"/>
                <w:sz w:val="24"/>
                <w:szCs w:val="24"/>
                <w:lang w:eastAsia="nl-BE"/>
              </w:rPr>
              <w:t>14%</w:t>
            </w:r>
          </w:p>
        </w:tc>
      </w:tr>
    </w:tbl>
    <w:p w:rsidR="00070A35" w:rsidRDefault="00070A35" w:rsidP="00070A35">
      <w:pPr>
        <w:spacing w:after="60" w:line="240" w:lineRule="auto"/>
        <w:jc w:val="both"/>
        <w:rPr>
          <w:rFonts w:ascii="FlandersArtSans-Regular" w:hAnsi="FlandersArtSans-Regular"/>
          <w:b/>
        </w:rPr>
      </w:pPr>
    </w:p>
    <w:p w:rsidR="00AF1832" w:rsidRDefault="00AF1832">
      <w:pPr>
        <w:rPr>
          <w:rFonts w:ascii="FlandersArtSans-Regular" w:hAnsi="FlandersArtSans-Regular"/>
          <w:b/>
        </w:rPr>
      </w:pPr>
    </w:p>
    <w:p w:rsidR="00106470" w:rsidRDefault="00106470">
      <w:pPr>
        <w:rPr>
          <w:rFonts w:ascii="FlandersArtSans-Regular" w:hAnsi="FlandersArtSans-Regular"/>
          <w:b/>
        </w:rPr>
      </w:pPr>
      <w:r>
        <w:rPr>
          <w:rFonts w:ascii="FlandersArtSans-Regular" w:hAnsi="FlandersArtSans-Regular"/>
          <w:b/>
        </w:rPr>
        <w:br w:type="page"/>
      </w:r>
    </w:p>
    <w:p w:rsidR="00AF1832" w:rsidRDefault="00AF1832" w:rsidP="00106470">
      <w:pPr>
        <w:spacing w:after="60" w:line="240" w:lineRule="auto"/>
        <w:rPr>
          <w:rFonts w:ascii="FlandersArtSans-Regular" w:hAnsi="FlandersArtSans-Regular"/>
          <w:b/>
          <w:bCs/>
          <w:sz w:val="28"/>
          <w:szCs w:val="28"/>
        </w:rPr>
      </w:pPr>
      <w:r w:rsidRPr="00106470">
        <w:rPr>
          <w:rFonts w:ascii="FlandersArtSans-Regular" w:hAnsi="FlandersArtSans-Regular"/>
          <w:b/>
          <w:bCs/>
          <w:sz w:val="28"/>
          <w:szCs w:val="28"/>
        </w:rPr>
        <w:t>Beroepsaspiraties</w:t>
      </w:r>
    </w:p>
    <w:p w:rsidR="00106470" w:rsidRPr="00FE5EB8" w:rsidRDefault="00FE5EB8" w:rsidP="00106470">
      <w:pPr>
        <w:spacing w:after="60" w:line="240" w:lineRule="auto"/>
        <w:rPr>
          <w:rFonts w:ascii="FlandersArtSans-Regular" w:hAnsi="FlandersArtSans-Regular"/>
          <w:bCs/>
          <w:sz w:val="24"/>
          <w:szCs w:val="24"/>
        </w:rPr>
      </w:pPr>
      <w:r>
        <w:rPr>
          <w:rFonts w:ascii="FlandersArtSans-Regular" w:hAnsi="FlandersArtSans-Regular"/>
          <w:bCs/>
          <w:sz w:val="24"/>
          <w:szCs w:val="24"/>
        </w:rPr>
        <w:t>Welke groep je ook bekijkt, we zien vaak dezelfde top 10 beroepsaspiraties terugkomen, enkel de volgorde wijzigt soms wat. Door het grote overwicht van mannen in de groep uit Afghanistan, Irak en Syrië zie je minder schoonmaakberoepen voorkomen.</w:t>
      </w:r>
    </w:p>
    <w:p w:rsidR="00106470" w:rsidRPr="00106470" w:rsidRDefault="00106470" w:rsidP="00106470">
      <w:pPr>
        <w:spacing w:after="60" w:line="240" w:lineRule="auto"/>
        <w:rPr>
          <w:rFonts w:ascii="FlandersArtSans-Regular" w:hAnsi="FlandersArtSans-Regular"/>
          <w:b/>
          <w:bCs/>
          <w:sz w:val="28"/>
          <w:szCs w:val="28"/>
        </w:rPr>
      </w:pPr>
    </w:p>
    <w:p w:rsidR="00ED5CC8" w:rsidRPr="00ED5CC8" w:rsidRDefault="00ED5CC8" w:rsidP="00ED5CC8">
      <w:pPr>
        <w:spacing w:after="60" w:line="240" w:lineRule="auto"/>
        <w:jc w:val="both"/>
        <w:rPr>
          <w:rFonts w:ascii="FlandersArtSans-Regular" w:hAnsi="FlandersArtSans-Regular"/>
          <w:i/>
          <w:sz w:val="24"/>
          <w:szCs w:val="24"/>
        </w:rPr>
      </w:pPr>
      <w:r w:rsidRPr="0010177C">
        <w:rPr>
          <w:rFonts w:ascii="FlandersArtSans-Regular" w:hAnsi="FlandersArtSans-Regular"/>
          <w:i/>
          <w:sz w:val="24"/>
          <w:szCs w:val="24"/>
        </w:rPr>
        <w:t xml:space="preserve">Tabel: </w:t>
      </w:r>
      <w:r>
        <w:rPr>
          <w:rFonts w:ascii="FlandersArtSans-Regular" w:hAnsi="FlandersArtSans-Regular"/>
          <w:i/>
          <w:sz w:val="24"/>
          <w:szCs w:val="24"/>
        </w:rPr>
        <w:t>Tien belangrijkste beroepsaspiraties</w:t>
      </w:r>
    </w:p>
    <w:tbl>
      <w:tblPr>
        <w:tblW w:w="8220" w:type="dxa"/>
        <w:tblInd w:w="55" w:type="dxa"/>
        <w:tblCellMar>
          <w:left w:w="70" w:type="dxa"/>
          <w:right w:w="70" w:type="dxa"/>
        </w:tblCellMar>
        <w:tblLook w:val="04A0" w:firstRow="1" w:lastRow="0" w:firstColumn="1" w:lastColumn="0" w:noHBand="0" w:noVBand="1"/>
      </w:tblPr>
      <w:tblGrid>
        <w:gridCol w:w="3640"/>
        <w:gridCol w:w="1540"/>
        <w:gridCol w:w="1400"/>
        <w:gridCol w:w="1640"/>
      </w:tblGrid>
      <w:tr w:rsidR="00ED5CC8" w:rsidRPr="00106470" w:rsidTr="00ED5CC8">
        <w:trPr>
          <w:trHeight w:val="900"/>
        </w:trPr>
        <w:tc>
          <w:tcPr>
            <w:tcW w:w="3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rPr>
                <w:rFonts w:ascii="FlandersArtSans-Regular" w:eastAsia="Times New Roman" w:hAnsi="FlandersArtSans-Regular" w:cs="Times New Roman"/>
                <w:color w:val="000000"/>
                <w:lang w:eastAsia="nl-BE"/>
              </w:rPr>
            </w:pPr>
            <w:r w:rsidRPr="00106470">
              <w:rPr>
                <w:rFonts w:ascii="Times New Roman" w:eastAsia="Times New Roman" w:hAnsi="Times New Roman" w:cs="Times New Roman"/>
                <w:color w:val="000000"/>
                <w:lang w:eastAsia="nl-BE"/>
              </w:rPr>
              <w:t>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ED5CC8" w:rsidRPr="00106470" w:rsidRDefault="00ED5CC8" w:rsidP="00ED5CC8">
            <w:pPr>
              <w:spacing w:after="0" w:line="240" w:lineRule="auto"/>
              <w:jc w:val="center"/>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Totale instroom</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ED5CC8" w:rsidRPr="00106470" w:rsidRDefault="00ED5CC8" w:rsidP="00ED5CC8">
            <w:pPr>
              <w:spacing w:after="0" w:line="240" w:lineRule="auto"/>
              <w:jc w:val="center"/>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Buiten EU</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ED5CC8" w:rsidRPr="00106470" w:rsidRDefault="00ED5CC8" w:rsidP="00ED5CC8">
            <w:pPr>
              <w:spacing w:after="0" w:line="240" w:lineRule="auto"/>
              <w:jc w:val="center"/>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Afghanistan, Irak en Syrië</w:t>
            </w:r>
          </w:p>
        </w:tc>
      </w:tr>
      <w:tr w:rsidR="00ED5CC8" w:rsidRPr="00106470" w:rsidTr="00ED5CC8">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Schoonmaker van ruimten en lokalen</w:t>
            </w:r>
          </w:p>
        </w:tc>
        <w:tc>
          <w:tcPr>
            <w:tcW w:w="15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21%</w:t>
            </w:r>
          </w:p>
        </w:tc>
        <w:tc>
          <w:tcPr>
            <w:tcW w:w="140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23%</w:t>
            </w:r>
          </w:p>
        </w:tc>
        <w:tc>
          <w:tcPr>
            <w:tcW w:w="16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12%</w:t>
            </w:r>
          </w:p>
        </w:tc>
      </w:tr>
      <w:tr w:rsidR="00ED5CC8" w:rsidRPr="00106470" w:rsidTr="00ED5CC8">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Verpakker</w:t>
            </w:r>
          </w:p>
        </w:tc>
        <w:tc>
          <w:tcPr>
            <w:tcW w:w="15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15%</w:t>
            </w:r>
          </w:p>
        </w:tc>
        <w:tc>
          <w:tcPr>
            <w:tcW w:w="140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16%</w:t>
            </w:r>
          </w:p>
        </w:tc>
        <w:tc>
          <w:tcPr>
            <w:tcW w:w="16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16%</w:t>
            </w:r>
          </w:p>
        </w:tc>
      </w:tr>
      <w:tr w:rsidR="00ED5CC8" w:rsidRPr="00106470" w:rsidTr="00ED5CC8">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Productiemedewerker</w:t>
            </w:r>
          </w:p>
        </w:tc>
        <w:tc>
          <w:tcPr>
            <w:tcW w:w="15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15%</w:t>
            </w:r>
          </w:p>
        </w:tc>
        <w:tc>
          <w:tcPr>
            <w:tcW w:w="140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17%</w:t>
            </w:r>
          </w:p>
        </w:tc>
        <w:tc>
          <w:tcPr>
            <w:tcW w:w="16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15%</w:t>
            </w:r>
          </w:p>
        </w:tc>
      </w:tr>
      <w:tr w:rsidR="00ED5CC8" w:rsidRPr="00106470" w:rsidTr="00ED5CC8">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Schoonmaker bij mensen thuis</w:t>
            </w:r>
          </w:p>
        </w:tc>
        <w:tc>
          <w:tcPr>
            <w:tcW w:w="15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13%</w:t>
            </w:r>
          </w:p>
        </w:tc>
        <w:tc>
          <w:tcPr>
            <w:tcW w:w="140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13%</w:t>
            </w:r>
          </w:p>
        </w:tc>
        <w:tc>
          <w:tcPr>
            <w:tcW w:w="16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3%</w:t>
            </w:r>
          </w:p>
        </w:tc>
      </w:tr>
      <w:tr w:rsidR="00ED5CC8" w:rsidRPr="00106470" w:rsidTr="00ED5CC8">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Keukenmedewerker</w:t>
            </w:r>
          </w:p>
        </w:tc>
        <w:tc>
          <w:tcPr>
            <w:tcW w:w="15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9%</w:t>
            </w:r>
          </w:p>
        </w:tc>
        <w:tc>
          <w:tcPr>
            <w:tcW w:w="140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10%</w:t>
            </w:r>
          </w:p>
        </w:tc>
        <w:tc>
          <w:tcPr>
            <w:tcW w:w="16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11%</w:t>
            </w:r>
          </w:p>
        </w:tc>
      </w:tr>
      <w:tr w:rsidR="00ED5CC8" w:rsidRPr="00106470" w:rsidTr="00ED5CC8">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Magazijnmedewerker</w:t>
            </w:r>
          </w:p>
        </w:tc>
        <w:tc>
          <w:tcPr>
            <w:tcW w:w="15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7%</w:t>
            </w:r>
          </w:p>
        </w:tc>
        <w:tc>
          <w:tcPr>
            <w:tcW w:w="140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8%</w:t>
            </w:r>
          </w:p>
        </w:tc>
        <w:tc>
          <w:tcPr>
            <w:tcW w:w="16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6%</w:t>
            </w:r>
          </w:p>
        </w:tc>
      </w:tr>
      <w:tr w:rsidR="00ED5CC8" w:rsidRPr="00106470" w:rsidTr="00ED5CC8">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Afwasser</w:t>
            </w:r>
          </w:p>
        </w:tc>
        <w:tc>
          <w:tcPr>
            <w:tcW w:w="15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6%</w:t>
            </w:r>
          </w:p>
        </w:tc>
        <w:tc>
          <w:tcPr>
            <w:tcW w:w="140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7%</w:t>
            </w:r>
          </w:p>
        </w:tc>
        <w:tc>
          <w:tcPr>
            <w:tcW w:w="16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11%</w:t>
            </w:r>
          </w:p>
        </w:tc>
      </w:tr>
      <w:tr w:rsidR="00ED5CC8" w:rsidRPr="00106470" w:rsidTr="00ED5CC8">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Handlanger bouw</w:t>
            </w:r>
          </w:p>
        </w:tc>
        <w:tc>
          <w:tcPr>
            <w:tcW w:w="15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4%</w:t>
            </w:r>
          </w:p>
        </w:tc>
        <w:tc>
          <w:tcPr>
            <w:tcW w:w="140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4%</w:t>
            </w:r>
          </w:p>
        </w:tc>
        <w:tc>
          <w:tcPr>
            <w:tcW w:w="16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5%</w:t>
            </w:r>
          </w:p>
        </w:tc>
      </w:tr>
      <w:tr w:rsidR="00ED5CC8" w:rsidRPr="00106470" w:rsidTr="00ED5CC8">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Winkelmedewerker</w:t>
            </w:r>
          </w:p>
        </w:tc>
        <w:tc>
          <w:tcPr>
            <w:tcW w:w="15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4%</w:t>
            </w:r>
          </w:p>
        </w:tc>
        <w:tc>
          <w:tcPr>
            <w:tcW w:w="140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5%</w:t>
            </w:r>
          </w:p>
        </w:tc>
        <w:tc>
          <w:tcPr>
            <w:tcW w:w="16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4%</w:t>
            </w:r>
          </w:p>
        </w:tc>
      </w:tr>
      <w:tr w:rsidR="00ED5CC8" w:rsidRPr="00106470" w:rsidTr="00ED5CC8">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Productieoperator voeding</w:t>
            </w:r>
          </w:p>
        </w:tc>
        <w:tc>
          <w:tcPr>
            <w:tcW w:w="15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4%</w:t>
            </w:r>
          </w:p>
        </w:tc>
        <w:tc>
          <w:tcPr>
            <w:tcW w:w="140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4%</w:t>
            </w:r>
          </w:p>
        </w:tc>
        <w:tc>
          <w:tcPr>
            <w:tcW w:w="1640" w:type="dxa"/>
            <w:tcBorders>
              <w:top w:val="nil"/>
              <w:left w:val="nil"/>
              <w:bottom w:val="single" w:sz="4" w:space="0" w:color="auto"/>
              <w:right w:val="single" w:sz="4" w:space="0" w:color="auto"/>
            </w:tcBorders>
            <w:shd w:val="clear" w:color="auto" w:fill="auto"/>
            <w:noWrap/>
            <w:vAlign w:val="bottom"/>
            <w:hideMark/>
          </w:tcPr>
          <w:p w:rsidR="00ED5CC8" w:rsidRPr="00106470" w:rsidRDefault="00ED5CC8" w:rsidP="00ED5CC8">
            <w:pPr>
              <w:spacing w:after="0" w:line="240" w:lineRule="auto"/>
              <w:jc w:val="right"/>
              <w:rPr>
                <w:rFonts w:ascii="FlandersArtSans-Regular" w:eastAsia="Times New Roman" w:hAnsi="FlandersArtSans-Regular" w:cs="Times New Roman"/>
                <w:color w:val="000000"/>
                <w:lang w:eastAsia="nl-BE"/>
              </w:rPr>
            </w:pPr>
            <w:r w:rsidRPr="00106470">
              <w:rPr>
                <w:rFonts w:ascii="FlandersArtSans-Regular" w:eastAsia="Times New Roman" w:hAnsi="FlandersArtSans-Regular" w:cs="Times New Roman"/>
                <w:color w:val="000000"/>
                <w:lang w:eastAsia="nl-BE"/>
              </w:rPr>
              <w:t>5%</w:t>
            </w:r>
          </w:p>
        </w:tc>
      </w:tr>
    </w:tbl>
    <w:p w:rsidR="00AF1832" w:rsidRDefault="00AF1832">
      <w:pPr>
        <w:rPr>
          <w:rFonts w:ascii="FlandersArtSans-Regular" w:hAnsi="FlandersArtSans-Regular"/>
          <w:b/>
        </w:rPr>
      </w:pPr>
    </w:p>
    <w:p w:rsidR="00AF1832" w:rsidRDefault="00AF1832">
      <w:pPr>
        <w:rPr>
          <w:rFonts w:ascii="FlandersArtSans-Regular" w:hAnsi="FlandersArtSans-Regular"/>
          <w:b/>
        </w:rPr>
      </w:pPr>
    </w:p>
    <w:p w:rsidR="00AF1832" w:rsidRPr="00524580" w:rsidRDefault="00AF1832">
      <w:pPr>
        <w:rPr>
          <w:rFonts w:ascii="FlandersArtSans-Regular" w:hAnsi="FlandersArtSans-Regular"/>
          <w:b/>
        </w:rPr>
      </w:pPr>
    </w:p>
    <w:p w:rsidR="004810BA" w:rsidRDefault="004810BA" w:rsidP="004810BA">
      <w:pPr>
        <w:spacing w:after="60" w:line="240" w:lineRule="auto"/>
        <w:rPr>
          <w:rFonts w:ascii="FlandersArtSans-Regular" w:hAnsi="FlandersArtSans-Regular"/>
          <w:b/>
          <w:color w:val="1F497D" w:themeColor="text2"/>
          <w:sz w:val="76"/>
          <w:szCs w:val="76"/>
        </w:rPr>
      </w:pPr>
    </w:p>
    <w:p w:rsidR="008050ED" w:rsidRDefault="008050ED">
      <w:pPr>
        <w:rPr>
          <w:rFonts w:ascii="FlandersArtSans-Regular" w:hAnsi="FlandersArtSans-Regular"/>
          <w:b/>
          <w:color w:val="1F497D" w:themeColor="text2"/>
          <w:sz w:val="76"/>
          <w:szCs w:val="76"/>
        </w:rPr>
      </w:pPr>
      <w:r>
        <w:rPr>
          <w:rFonts w:ascii="FlandersArtSans-Regular" w:hAnsi="FlandersArtSans-Regular"/>
          <w:b/>
          <w:color w:val="1F497D" w:themeColor="text2"/>
          <w:sz w:val="76"/>
          <w:szCs w:val="76"/>
        </w:rPr>
        <w:br w:type="page"/>
      </w:r>
    </w:p>
    <w:p w:rsidR="008050ED" w:rsidRDefault="008050ED" w:rsidP="004810BA">
      <w:pPr>
        <w:spacing w:after="60" w:line="240" w:lineRule="auto"/>
        <w:rPr>
          <w:rFonts w:ascii="FlandersArtSans-Regular" w:hAnsi="FlandersArtSans-Regular"/>
          <w:b/>
          <w:color w:val="1F497D" w:themeColor="text2"/>
          <w:sz w:val="76"/>
          <w:szCs w:val="76"/>
        </w:rPr>
      </w:pPr>
    </w:p>
    <w:p w:rsidR="008050ED" w:rsidRDefault="008050ED" w:rsidP="004810BA">
      <w:pPr>
        <w:spacing w:after="60" w:line="240" w:lineRule="auto"/>
        <w:rPr>
          <w:rFonts w:ascii="FlandersArtSans-Regular" w:hAnsi="FlandersArtSans-Regular"/>
          <w:b/>
          <w:color w:val="1F497D" w:themeColor="text2"/>
          <w:sz w:val="76"/>
          <w:szCs w:val="76"/>
        </w:rPr>
      </w:pPr>
    </w:p>
    <w:p w:rsidR="008050ED" w:rsidRDefault="008050ED" w:rsidP="004810BA">
      <w:pPr>
        <w:spacing w:after="60" w:line="240" w:lineRule="auto"/>
        <w:rPr>
          <w:rFonts w:ascii="FlandersArtSans-Regular" w:hAnsi="FlandersArtSans-Regular"/>
          <w:b/>
          <w:color w:val="1F497D" w:themeColor="text2"/>
          <w:sz w:val="76"/>
          <w:szCs w:val="76"/>
        </w:rPr>
      </w:pPr>
    </w:p>
    <w:p w:rsidR="008050ED" w:rsidRDefault="008050ED" w:rsidP="004810BA">
      <w:pPr>
        <w:spacing w:after="60" w:line="240" w:lineRule="auto"/>
        <w:rPr>
          <w:rFonts w:ascii="FlandersArtSans-Regular" w:hAnsi="FlandersArtSans-Regular"/>
          <w:b/>
          <w:color w:val="1F497D" w:themeColor="text2"/>
          <w:sz w:val="76"/>
          <w:szCs w:val="76"/>
        </w:rPr>
      </w:pPr>
    </w:p>
    <w:p w:rsidR="004810BA" w:rsidRPr="00124127" w:rsidRDefault="004810BA" w:rsidP="004810BA">
      <w:pPr>
        <w:spacing w:after="60" w:line="240" w:lineRule="auto"/>
        <w:rPr>
          <w:rFonts w:ascii="FlandersArtSans-Regular" w:hAnsi="FlandersArtSans-Regular"/>
          <w:b/>
          <w:color w:val="1F497D" w:themeColor="text2"/>
          <w:sz w:val="76"/>
          <w:szCs w:val="76"/>
        </w:rPr>
      </w:pPr>
      <w:r>
        <w:rPr>
          <w:rFonts w:ascii="FlandersArtSans-Regular" w:hAnsi="FlandersArtSans-Regular"/>
          <w:b/>
          <w:color w:val="1F497D" w:themeColor="text2"/>
          <w:sz w:val="76"/>
          <w:szCs w:val="76"/>
        </w:rPr>
        <w:t>3</w:t>
      </w:r>
      <w:r w:rsidRPr="00124127">
        <w:rPr>
          <w:rFonts w:ascii="FlandersArtSans-Regular" w:hAnsi="FlandersArtSans-Regular"/>
          <w:b/>
          <w:color w:val="1F497D" w:themeColor="text2"/>
          <w:sz w:val="76"/>
          <w:szCs w:val="76"/>
        </w:rPr>
        <w:t>.</w:t>
      </w:r>
    </w:p>
    <w:p w:rsidR="004810BA" w:rsidRPr="00124127" w:rsidRDefault="004810BA" w:rsidP="004810BA">
      <w:pPr>
        <w:spacing w:after="60" w:line="240" w:lineRule="auto"/>
        <w:rPr>
          <w:rFonts w:ascii="FlandersArtSans-Regular" w:hAnsi="FlandersArtSans-Regular"/>
          <w:b/>
          <w:color w:val="1F497D" w:themeColor="text2"/>
          <w:sz w:val="76"/>
          <w:szCs w:val="76"/>
        </w:rPr>
      </w:pPr>
    </w:p>
    <w:p w:rsidR="004F2B7B" w:rsidRDefault="004810BA" w:rsidP="004810BA">
      <w:pPr>
        <w:spacing w:after="60" w:line="240" w:lineRule="auto"/>
        <w:rPr>
          <w:rFonts w:ascii="FlandersArtSans-Regular" w:hAnsi="FlandersArtSans-Regular"/>
          <w:b/>
          <w:color w:val="1F497D" w:themeColor="text2"/>
          <w:sz w:val="76"/>
          <w:szCs w:val="76"/>
        </w:rPr>
      </w:pPr>
      <w:r>
        <w:rPr>
          <w:rFonts w:ascii="FlandersArtSans-Regular" w:hAnsi="FlandersArtSans-Regular"/>
          <w:b/>
          <w:color w:val="1F497D" w:themeColor="text2"/>
          <w:sz w:val="76"/>
          <w:szCs w:val="76"/>
        </w:rPr>
        <w:t xml:space="preserve">MONITORING </w:t>
      </w:r>
      <w:r>
        <w:rPr>
          <w:rFonts w:ascii="FlandersArtSans-Regular" w:hAnsi="FlandersArtSans-Regular"/>
          <w:b/>
          <w:color w:val="1F497D" w:themeColor="text2"/>
          <w:sz w:val="76"/>
          <w:szCs w:val="76"/>
        </w:rPr>
        <w:br/>
        <w:t>ACTIEPLAN</w:t>
      </w:r>
    </w:p>
    <w:p w:rsidR="004F2B7B" w:rsidRDefault="004F2B7B">
      <w:pPr>
        <w:rPr>
          <w:rFonts w:ascii="FlandersArtSans-Regular" w:hAnsi="FlandersArtSans-Regular"/>
          <w:b/>
          <w:color w:val="1F497D" w:themeColor="text2"/>
          <w:sz w:val="76"/>
          <w:szCs w:val="76"/>
        </w:rPr>
      </w:pPr>
      <w:r>
        <w:rPr>
          <w:rFonts w:ascii="FlandersArtSans-Regular" w:hAnsi="FlandersArtSans-Regular"/>
          <w:b/>
          <w:color w:val="1F497D" w:themeColor="text2"/>
          <w:sz w:val="76"/>
          <w:szCs w:val="76"/>
        </w:rPr>
        <w:br w:type="page"/>
      </w:r>
    </w:p>
    <w:p w:rsidR="004F2B7B" w:rsidRPr="00D05F18" w:rsidRDefault="004F2B7B" w:rsidP="004F2B7B">
      <w:pPr>
        <w:shd w:val="clear" w:color="auto" w:fill="FFFFFF"/>
        <w:spacing w:after="0" w:line="240" w:lineRule="auto"/>
        <w:rPr>
          <w:rFonts w:ascii="Arial" w:eastAsia="Times New Roman" w:hAnsi="Arial" w:cs="Arial"/>
          <w:color w:val="222222"/>
          <w:sz w:val="19"/>
          <w:szCs w:val="19"/>
          <w:lang w:eastAsia="nl-BE"/>
        </w:rPr>
      </w:pPr>
    </w:p>
    <w:p w:rsidR="00080A83" w:rsidRDefault="00080A83" w:rsidP="00245425">
      <w:pPr>
        <w:spacing w:after="60" w:line="240" w:lineRule="auto"/>
        <w:rPr>
          <w:rFonts w:ascii="FlandersArtSans-Regular" w:hAnsi="FlandersArtSans-Regular"/>
          <w:b/>
          <w:bCs/>
          <w:sz w:val="28"/>
          <w:szCs w:val="28"/>
        </w:rPr>
      </w:pPr>
      <w:r>
        <w:rPr>
          <w:rFonts w:ascii="FlandersArtSans-Regular" w:hAnsi="FlandersArtSans-Regular"/>
          <w:b/>
          <w:bCs/>
          <w:sz w:val="28"/>
          <w:szCs w:val="28"/>
        </w:rPr>
        <w:t>Inleiding</w:t>
      </w:r>
    </w:p>
    <w:p w:rsidR="00D24832" w:rsidRPr="00AA23FD" w:rsidRDefault="008E2063" w:rsidP="00976405">
      <w:pPr>
        <w:spacing w:after="60" w:line="240" w:lineRule="auto"/>
        <w:jc w:val="both"/>
        <w:rPr>
          <w:rFonts w:ascii="FlandersArtSans-Regular" w:hAnsi="FlandersArtSans-Regular"/>
          <w:bCs/>
          <w:sz w:val="24"/>
          <w:szCs w:val="24"/>
        </w:rPr>
      </w:pPr>
      <w:r w:rsidRPr="00AA23FD">
        <w:rPr>
          <w:rFonts w:ascii="FlandersArtSans-Regular" w:hAnsi="FlandersArtSans-Regular"/>
          <w:bCs/>
          <w:sz w:val="24"/>
          <w:szCs w:val="24"/>
        </w:rPr>
        <w:t xml:space="preserve">De </w:t>
      </w:r>
      <w:r w:rsidR="00080A83" w:rsidRPr="00AA23FD">
        <w:rPr>
          <w:rFonts w:ascii="FlandersArtSans-Regular" w:hAnsi="FlandersArtSans-Regular"/>
          <w:bCs/>
          <w:sz w:val="24"/>
          <w:szCs w:val="24"/>
        </w:rPr>
        <w:t xml:space="preserve">realisaties van het actieplan aan de hand van de vooropgestelde indicatoren per strategische en tactische doelstelling gerapporteerd worden. </w:t>
      </w:r>
    </w:p>
    <w:p w:rsidR="00080A83" w:rsidRDefault="00080A83" w:rsidP="00245425">
      <w:pPr>
        <w:spacing w:after="60" w:line="240" w:lineRule="auto"/>
        <w:rPr>
          <w:rFonts w:ascii="FlandersArtSans-Regular" w:hAnsi="FlandersArtSans-Regular"/>
          <w:b/>
          <w:bCs/>
          <w:sz w:val="28"/>
          <w:szCs w:val="28"/>
        </w:rPr>
      </w:pPr>
    </w:p>
    <w:p w:rsidR="004F2B7B" w:rsidRDefault="00245425" w:rsidP="00245425">
      <w:pPr>
        <w:spacing w:after="60" w:line="240" w:lineRule="auto"/>
        <w:rPr>
          <w:rFonts w:ascii="FlandersArtSans-Regular" w:hAnsi="FlandersArtSans-Regular"/>
          <w:b/>
          <w:bCs/>
          <w:sz w:val="28"/>
          <w:szCs w:val="28"/>
        </w:rPr>
      </w:pPr>
      <w:r w:rsidRPr="00245425">
        <w:rPr>
          <w:rFonts w:ascii="FlandersArtSans-Regular" w:hAnsi="FlandersArtSans-Regular"/>
          <w:b/>
          <w:bCs/>
          <w:sz w:val="28"/>
          <w:szCs w:val="28"/>
        </w:rPr>
        <w:t>Strategische doelstelling 1</w:t>
      </w:r>
    </w:p>
    <w:p w:rsidR="00080A83" w:rsidRDefault="00080A83" w:rsidP="00245425">
      <w:pPr>
        <w:spacing w:after="60" w:line="240" w:lineRule="auto"/>
        <w:rPr>
          <w:rFonts w:ascii="FlandersArtSans-Regular" w:hAnsi="FlandersArtSans-Regular"/>
          <w:b/>
          <w:bCs/>
          <w:sz w:val="28"/>
          <w:szCs w:val="28"/>
        </w:rPr>
      </w:pPr>
      <w:r>
        <w:rPr>
          <w:rFonts w:ascii="FlandersArtSans-Regular" w:hAnsi="FlandersArtSans-Regular"/>
          <w:b/>
          <w:bCs/>
          <w:sz w:val="28"/>
          <w:szCs w:val="28"/>
        </w:rPr>
        <w:t>Alle personen met een migratieachtergrond zijn snel en duurzaam aan het werk</w:t>
      </w:r>
    </w:p>
    <w:p w:rsidR="004F2B7B" w:rsidRPr="00AA23FD" w:rsidRDefault="00D94ECF" w:rsidP="004F2B7B">
      <w:pPr>
        <w:spacing w:after="60" w:line="240" w:lineRule="auto"/>
        <w:rPr>
          <w:rFonts w:ascii="FlandersArtSans-Regular" w:hAnsi="FlandersArtSans-Regular"/>
          <w:b/>
          <w:bCs/>
          <w:sz w:val="24"/>
          <w:szCs w:val="24"/>
        </w:rPr>
      </w:pPr>
      <w:r w:rsidRPr="00AA23FD">
        <w:rPr>
          <w:rFonts w:ascii="FlandersArtSans-Regular" w:hAnsi="FlandersArtSans-Regular"/>
          <w:b/>
          <w:bCs/>
          <w:sz w:val="24"/>
          <w:szCs w:val="24"/>
        </w:rPr>
        <w:t>Uitstroom naar werk</w:t>
      </w:r>
      <w:r w:rsidR="00976405" w:rsidRPr="00AA23FD">
        <w:rPr>
          <w:rFonts w:ascii="FlandersArtSans-Regular" w:hAnsi="FlandersArtSans-Regular"/>
          <w:b/>
          <w:bCs/>
          <w:sz w:val="24"/>
          <w:szCs w:val="24"/>
        </w:rPr>
        <w:t xml:space="preserve"> bij </w:t>
      </w:r>
      <w:r w:rsidR="003130B3" w:rsidRPr="00AA23FD">
        <w:rPr>
          <w:rFonts w:ascii="FlandersArtSans-Regular" w:hAnsi="FlandersArtSans-Regular"/>
          <w:b/>
          <w:bCs/>
          <w:sz w:val="24"/>
          <w:szCs w:val="24"/>
        </w:rPr>
        <w:t>anderstalige werkzoekenden met een migratieachtergrond</w:t>
      </w:r>
    </w:p>
    <w:p w:rsidR="003130B3" w:rsidRPr="00AA23FD" w:rsidRDefault="00D24832" w:rsidP="002C1404">
      <w:pPr>
        <w:spacing w:after="60" w:line="240" w:lineRule="auto"/>
        <w:jc w:val="both"/>
        <w:rPr>
          <w:rFonts w:ascii="FlandersArtSans-Regular" w:hAnsi="FlandersArtSans-Regular"/>
          <w:bCs/>
          <w:sz w:val="24"/>
          <w:szCs w:val="24"/>
        </w:rPr>
      </w:pPr>
      <w:r w:rsidRPr="00AA23FD">
        <w:rPr>
          <w:rFonts w:ascii="FlandersArtSans-Regular" w:hAnsi="FlandersArtSans-Regular"/>
          <w:bCs/>
          <w:sz w:val="24"/>
          <w:szCs w:val="24"/>
        </w:rPr>
        <w:t>We meten de uitstroom op 6, 12, 18</w:t>
      </w:r>
      <w:r w:rsidR="003130B3" w:rsidRPr="00AA23FD">
        <w:rPr>
          <w:rFonts w:ascii="FlandersArtSans-Regular" w:hAnsi="FlandersArtSans-Regular"/>
          <w:bCs/>
          <w:sz w:val="24"/>
          <w:szCs w:val="24"/>
        </w:rPr>
        <w:t xml:space="preserve"> en 24 maand </w:t>
      </w:r>
      <w:r w:rsidRPr="00AA23FD">
        <w:rPr>
          <w:rFonts w:ascii="FlandersArtSans-Regular" w:hAnsi="FlandersArtSans-Regular"/>
          <w:bCs/>
          <w:sz w:val="24"/>
          <w:szCs w:val="24"/>
        </w:rPr>
        <w:t>na instroom in de werkloosheid.</w:t>
      </w:r>
      <w:r w:rsidR="003130B3" w:rsidRPr="00AA23FD">
        <w:rPr>
          <w:rFonts w:ascii="FlandersArtSans-Regular" w:hAnsi="FlandersArtSans-Regular"/>
          <w:bCs/>
          <w:sz w:val="24"/>
          <w:szCs w:val="24"/>
        </w:rPr>
        <w:t xml:space="preserve"> We kijken niet langer verder omdat we de arbeidsmarktsituatie van een werkzoekende maar 18 maand na de uitschrijving kunnen opvolgen</w:t>
      </w:r>
      <w:r w:rsidR="002C1404" w:rsidRPr="00AA23FD">
        <w:rPr>
          <w:rFonts w:ascii="FlandersArtSans-Regular" w:hAnsi="FlandersArtSans-Regular"/>
          <w:bCs/>
          <w:sz w:val="24"/>
          <w:szCs w:val="24"/>
        </w:rPr>
        <w:t xml:space="preserve">. </w:t>
      </w:r>
    </w:p>
    <w:p w:rsidR="00C53A90" w:rsidRPr="00AA23FD" w:rsidRDefault="00C53A90" w:rsidP="002C1404">
      <w:pPr>
        <w:spacing w:after="60" w:line="240" w:lineRule="auto"/>
        <w:jc w:val="both"/>
        <w:rPr>
          <w:rFonts w:ascii="FlandersArtSans-Regular" w:hAnsi="FlandersArtSans-Regular"/>
          <w:bCs/>
          <w:i/>
          <w:sz w:val="24"/>
          <w:szCs w:val="24"/>
        </w:rPr>
      </w:pPr>
      <w:r w:rsidRPr="00AA23FD">
        <w:rPr>
          <w:rFonts w:ascii="FlandersArtSans-Regular" w:hAnsi="FlandersArtSans-Regular"/>
          <w:bCs/>
          <w:sz w:val="24"/>
          <w:szCs w:val="24"/>
        </w:rPr>
        <w:t xml:space="preserve">De volgende grafiek </w:t>
      </w:r>
      <w:r w:rsidR="002C1404" w:rsidRPr="00AA23FD">
        <w:rPr>
          <w:rFonts w:ascii="FlandersArtSans-Regular" w:hAnsi="FlandersArtSans-Regular"/>
          <w:bCs/>
          <w:sz w:val="24"/>
          <w:szCs w:val="24"/>
        </w:rPr>
        <w:t>geeft zowel de uitstroom uit de werkloosheid en de uitstroom naar werk weer. Twee jaar na instroom is 44% van de anderstalige werkzoekenden met een migr</w:t>
      </w:r>
      <w:r w:rsidR="00E914AF" w:rsidRPr="00AA23FD">
        <w:rPr>
          <w:rFonts w:ascii="FlandersArtSans-Regular" w:hAnsi="FlandersArtSans-Regular"/>
          <w:bCs/>
          <w:sz w:val="24"/>
          <w:szCs w:val="24"/>
        </w:rPr>
        <w:t>atieachtergrond aan het werk, 25</w:t>
      </w:r>
      <w:r w:rsidR="002C1404" w:rsidRPr="00AA23FD">
        <w:rPr>
          <w:rFonts w:ascii="FlandersArtSans-Regular" w:hAnsi="FlandersArtSans-Regular"/>
          <w:bCs/>
          <w:sz w:val="24"/>
          <w:szCs w:val="24"/>
        </w:rPr>
        <w:t>% is uitgestroomd omwille van een andere reden dan werk (meestal is de reden onbekend).</w:t>
      </w:r>
    </w:p>
    <w:p w:rsidR="00C53A90" w:rsidRPr="00C53A90" w:rsidRDefault="00AA23FD" w:rsidP="004F2B7B">
      <w:pPr>
        <w:spacing w:after="60" w:line="240" w:lineRule="auto"/>
        <w:rPr>
          <w:rFonts w:ascii="FlandersArtSans-Regular" w:hAnsi="FlandersArtSans-Regular"/>
          <w:bCs/>
          <w:i/>
        </w:rPr>
      </w:pPr>
      <w:r>
        <w:rPr>
          <w:rFonts w:ascii="FlandersArtSans-Regular" w:hAnsi="FlandersArtSans-Regular"/>
          <w:bCs/>
          <w:i/>
        </w:rPr>
        <w:t xml:space="preserve">Figuur: </w:t>
      </w:r>
      <w:r w:rsidR="00C53A90" w:rsidRPr="00C53A90">
        <w:rPr>
          <w:rFonts w:ascii="FlandersArtSans-Regular" w:hAnsi="FlandersArtSans-Regular"/>
          <w:bCs/>
          <w:i/>
        </w:rPr>
        <w:t xml:space="preserve">Evolutie uitstroom uit de werkloosheid en naar werk op diverse meetmomenten na instroom (instroom vanaf </w:t>
      </w:r>
      <w:r w:rsidR="003130B3">
        <w:rPr>
          <w:rFonts w:ascii="FlandersArtSans-Regular" w:hAnsi="FlandersArtSans-Regular"/>
          <w:bCs/>
          <w:i/>
        </w:rPr>
        <w:t>januari 2014</w:t>
      </w:r>
      <w:r>
        <w:rPr>
          <w:rFonts w:ascii="FlandersArtSans-Regular" w:hAnsi="FlandersArtSans-Regular"/>
          <w:bCs/>
          <w:i/>
        </w:rPr>
        <w:t>)</w:t>
      </w:r>
    </w:p>
    <w:p w:rsidR="00976405" w:rsidRDefault="00AA23FD" w:rsidP="004F2B7B">
      <w:pPr>
        <w:spacing w:after="60" w:line="240" w:lineRule="auto"/>
        <w:rPr>
          <w:rFonts w:ascii="FlandersArtSans-Regular" w:hAnsi="FlandersArtSans-Regular"/>
          <w:b/>
          <w:bCs/>
        </w:rPr>
      </w:pPr>
      <w:r>
        <w:rPr>
          <w:noProof/>
          <w:lang w:eastAsia="nl-BE"/>
        </w:rPr>
        <w:drawing>
          <wp:inline distT="0" distB="0" distL="0" distR="0" wp14:anchorId="10FEC4E3" wp14:editId="18D3F0BD">
            <wp:extent cx="5124450" cy="3505200"/>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1404" w:rsidRDefault="002C1404">
      <w:pPr>
        <w:rPr>
          <w:rFonts w:ascii="FlandersArtSans-Regular" w:hAnsi="FlandersArtSans-Regular"/>
          <w:bCs/>
          <w:sz w:val="24"/>
          <w:szCs w:val="24"/>
        </w:rPr>
      </w:pPr>
    </w:p>
    <w:p w:rsidR="00AA23FD" w:rsidRPr="00AA23FD" w:rsidRDefault="00AA23FD" w:rsidP="00EC09C0">
      <w:pPr>
        <w:jc w:val="both"/>
        <w:rPr>
          <w:rFonts w:ascii="FlandersArtSans-Regular" w:hAnsi="FlandersArtSans-Regular"/>
          <w:bCs/>
          <w:sz w:val="24"/>
          <w:szCs w:val="24"/>
        </w:rPr>
      </w:pPr>
      <w:r>
        <w:rPr>
          <w:rFonts w:ascii="FlandersArtSans-Regular" w:hAnsi="FlandersArtSans-Regular"/>
          <w:bCs/>
          <w:sz w:val="24"/>
          <w:szCs w:val="24"/>
        </w:rPr>
        <w:t xml:space="preserve">Uit de volgende figuur leiden we af dat de instroom uit Afghanistan, Irak en Syrië minder dan gemiddeld uitstromen uit de werkloosheid (-13% op 6 maand, -9% op 24 maand). </w:t>
      </w:r>
      <w:r w:rsidR="00EC09C0">
        <w:rPr>
          <w:rFonts w:ascii="FlandersArtSans-Regular" w:hAnsi="FlandersArtSans-Regular"/>
          <w:bCs/>
          <w:sz w:val="24"/>
          <w:szCs w:val="24"/>
        </w:rPr>
        <w:t>Bij de uitstroom naar werk scoren ze de eerste meetmomenten ook lager dan gemiddeld (-7% op 6 maand, -3% op 12 maand) maar steken daarna voorbij (+1% op 18 maand, +2% op 24 maand).</w:t>
      </w:r>
    </w:p>
    <w:p w:rsidR="00AA23FD" w:rsidRDefault="00AA23FD">
      <w:pPr>
        <w:rPr>
          <w:rFonts w:ascii="FlandersArtSans-Regular" w:hAnsi="FlandersArtSans-Regular"/>
          <w:bCs/>
          <w:i/>
        </w:rPr>
      </w:pPr>
      <w:r>
        <w:rPr>
          <w:rFonts w:ascii="FlandersArtSans-Regular" w:hAnsi="FlandersArtSans-Regular"/>
          <w:bCs/>
          <w:i/>
        </w:rPr>
        <w:br w:type="page"/>
      </w:r>
    </w:p>
    <w:p w:rsidR="00AA23FD" w:rsidRDefault="00AA23FD" w:rsidP="00AA23FD">
      <w:pPr>
        <w:spacing w:after="60" w:line="240" w:lineRule="auto"/>
        <w:rPr>
          <w:rFonts w:ascii="FlandersArtSans-Regular" w:hAnsi="FlandersArtSans-Regular"/>
          <w:bCs/>
          <w:i/>
        </w:rPr>
      </w:pPr>
      <w:r>
        <w:rPr>
          <w:rFonts w:ascii="FlandersArtSans-Regular" w:hAnsi="FlandersArtSans-Regular"/>
          <w:bCs/>
          <w:i/>
        </w:rPr>
        <w:t xml:space="preserve">Figuur: </w:t>
      </w:r>
      <w:r w:rsidRPr="00C53A90">
        <w:rPr>
          <w:rFonts w:ascii="FlandersArtSans-Regular" w:hAnsi="FlandersArtSans-Regular"/>
          <w:bCs/>
          <w:i/>
        </w:rPr>
        <w:t xml:space="preserve">Evolutie uitstroom naar werk op diverse meetmomenten na instroom </w:t>
      </w:r>
      <w:r>
        <w:rPr>
          <w:rFonts w:ascii="FlandersArtSans-Regular" w:hAnsi="FlandersArtSans-Regular"/>
          <w:bCs/>
          <w:i/>
        </w:rPr>
        <w:t>voor de 3 groepen</w:t>
      </w:r>
    </w:p>
    <w:p w:rsidR="00AA23FD" w:rsidRPr="00C53A90" w:rsidRDefault="00AA23FD" w:rsidP="00AA23FD">
      <w:pPr>
        <w:spacing w:after="60" w:line="240" w:lineRule="auto"/>
        <w:rPr>
          <w:rFonts w:ascii="FlandersArtSans-Regular" w:hAnsi="FlandersArtSans-Regular"/>
          <w:bCs/>
          <w:i/>
        </w:rPr>
      </w:pPr>
      <w:r>
        <w:rPr>
          <w:rFonts w:ascii="FlandersArtSans-Regular" w:hAnsi="FlandersArtSans-Regular"/>
          <w:b/>
          <w:bCs/>
          <w:noProof/>
          <w:sz w:val="24"/>
          <w:szCs w:val="28"/>
          <w:lang w:eastAsia="nl-BE"/>
        </w:rPr>
        <w:drawing>
          <wp:inline distT="0" distB="0" distL="0" distR="0" wp14:anchorId="48802241" wp14:editId="76AEF9B1">
            <wp:extent cx="6143625" cy="321958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3095" cy="3219302"/>
                    </a:xfrm>
                    <a:prstGeom prst="rect">
                      <a:avLst/>
                    </a:prstGeom>
                    <a:noFill/>
                  </pic:spPr>
                </pic:pic>
              </a:graphicData>
            </a:graphic>
          </wp:inline>
        </w:drawing>
      </w:r>
    </w:p>
    <w:p w:rsidR="00AA23FD" w:rsidRDefault="00AA23FD">
      <w:pPr>
        <w:rPr>
          <w:rFonts w:ascii="FlandersArtSans-Regular" w:hAnsi="FlandersArtSans-Regular"/>
          <w:b/>
          <w:bCs/>
          <w:sz w:val="24"/>
          <w:szCs w:val="28"/>
        </w:rPr>
      </w:pPr>
    </w:p>
    <w:p w:rsidR="001705DF" w:rsidRDefault="001705DF" w:rsidP="006C74B0">
      <w:pPr>
        <w:spacing w:after="60" w:line="240" w:lineRule="auto"/>
        <w:rPr>
          <w:rFonts w:ascii="FlandersArtSans-Regular" w:hAnsi="FlandersArtSans-Regular"/>
          <w:b/>
          <w:bCs/>
          <w:sz w:val="24"/>
          <w:szCs w:val="28"/>
        </w:rPr>
      </w:pPr>
    </w:p>
    <w:p w:rsidR="006C74B0" w:rsidRPr="00E918DE" w:rsidRDefault="006C74B0" w:rsidP="006C74B0">
      <w:pPr>
        <w:spacing w:after="60" w:line="240" w:lineRule="auto"/>
        <w:rPr>
          <w:rFonts w:ascii="FlandersArtSans-Regular" w:hAnsi="FlandersArtSans-Regular"/>
          <w:b/>
          <w:bCs/>
          <w:sz w:val="28"/>
          <w:szCs w:val="28"/>
        </w:rPr>
      </w:pPr>
      <w:r w:rsidRPr="00E918DE">
        <w:rPr>
          <w:rFonts w:ascii="FlandersArtSans-Regular" w:hAnsi="FlandersArtSans-Regular"/>
          <w:b/>
          <w:bCs/>
          <w:sz w:val="28"/>
          <w:szCs w:val="28"/>
        </w:rPr>
        <w:t>Tactische doelstelling 1.1</w:t>
      </w:r>
    </w:p>
    <w:p w:rsidR="006C74B0" w:rsidRPr="00E918DE" w:rsidRDefault="006C74B0" w:rsidP="006C74B0">
      <w:pPr>
        <w:spacing w:after="60" w:line="240" w:lineRule="auto"/>
        <w:rPr>
          <w:rFonts w:ascii="FlandersArtSans-Regular" w:hAnsi="FlandersArtSans-Regular"/>
          <w:b/>
          <w:bCs/>
          <w:sz w:val="28"/>
          <w:szCs w:val="28"/>
        </w:rPr>
      </w:pPr>
      <w:r w:rsidRPr="00E918DE">
        <w:rPr>
          <w:rFonts w:ascii="FlandersArtSans-Regular" w:hAnsi="FlandersArtSans-Regular"/>
          <w:b/>
          <w:bCs/>
          <w:sz w:val="28"/>
          <w:szCs w:val="28"/>
        </w:rPr>
        <w:t>We zorgen voor snelle en duurzame trajecten naar werk</w:t>
      </w:r>
    </w:p>
    <w:p w:rsidR="00B42CCD" w:rsidRPr="00E918DE" w:rsidRDefault="00B42CCD" w:rsidP="006C74B0">
      <w:pPr>
        <w:spacing w:after="60" w:line="240" w:lineRule="auto"/>
        <w:rPr>
          <w:rFonts w:ascii="FlandersArtSans-Regular" w:hAnsi="FlandersArtSans-Regular"/>
          <w:b/>
          <w:bCs/>
          <w:sz w:val="24"/>
          <w:szCs w:val="24"/>
        </w:rPr>
      </w:pPr>
    </w:p>
    <w:p w:rsidR="006C74B0" w:rsidRPr="00E918DE" w:rsidRDefault="00B42CCD" w:rsidP="006C74B0">
      <w:pPr>
        <w:spacing w:after="60" w:line="240" w:lineRule="auto"/>
        <w:rPr>
          <w:rFonts w:ascii="FlandersArtSans-Regular" w:hAnsi="FlandersArtSans-Regular"/>
          <w:b/>
          <w:bCs/>
          <w:sz w:val="24"/>
          <w:szCs w:val="24"/>
        </w:rPr>
      </w:pPr>
      <w:r w:rsidRPr="00E918DE">
        <w:rPr>
          <w:rFonts w:ascii="FlandersArtSans-Regular" w:hAnsi="FlandersArtSans-Regular"/>
          <w:b/>
          <w:bCs/>
          <w:sz w:val="24"/>
          <w:szCs w:val="24"/>
        </w:rPr>
        <w:t>Tijdsduur van trajecten</w:t>
      </w:r>
    </w:p>
    <w:p w:rsidR="00B42CCD" w:rsidRPr="00E918DE" w:rsidRDefault="00B42CCD" w:rsidP="00E918DE">
      <w:pPr>
        <w:spacing w:after="60" w:line="240" w:lineRule="auto"/>
        <w:jc w:val="both"/>
        <w:rPr>
          <w:rFonts w:ascii="FlandersArtSans-Regular" w:hAnsi="FlandersArtSans-Regular"/>
          <w:bCs/>
          <w:sz w:val="24"/>
          <w:szCs w:val="24"/>
        </w:rPr>
      </w:pPr>
      <w:r w:rsidRPr="00E918DE">
        <w:rPr>
          <w:rFonts w:ascii="FlandersArtSans-Regular" w:hAnsi="FlandersArtSans-Regular"/>
          <w:bCs/>
          <w:sz w:val="24"/>
          <w:szCs w:val="24"/>
        </w:rPr>
        <w:t>Deze informatie is nog niet beschikbaar</w:t>
      </w:r>
      <w:r w:rsidR="00FF1AAC" w:rsidRPr="00E918DE">
        <w:rPr>
          <w:rFonts w:ascii="FlandersArtSans-Regular" w:hAnsi="FlandersArtSans-Regular"/>
          <w:bCs/>
          <w:sz w:val="24"/>
          <w:szCs w:val="24"/>
        </w:rPr>
        <w:t xml:space="preserve">. De procesanalyse op basis van een gemeenschappelijke dataset met het Agentschap Integratie en Inburgering is </w:t>
      </w:r>
      <w:r w:rsidR="00030E50">
        <w:rPr>
          <w:rFonts w:ascii="FlandersArtSans-Regular" w:hAnsi="FlandersArtSans-Regular"/>
          <w:bCs/>
          <w:sz w:val="24"/>
          <w:szCs w:val="24"/>
        </w:rPr>
        <w:t xml:space="preserve">nog steeds </w:t>
      </w:r>
      <w:r w:rsidR="00FF1AAC" w:rsidRPr="00E918DE">
        <w:rPr>
          <w:rFonts w:ascii="FlandersArtSans-Regular" w:hAnsi="FlandersArtSans-Regular"/>
          <w:bCs/>
          <w:sz w:val="24"/>
          <w:szCs w:val="24"/>
        </w:rPr>
        <w:t>lopende</w:t>
      </w:r>
      <w:r w:rsidR="00820536">
        <w:rPr>
          <w:rFonts w:ascii="FlandersArtSans-Regular" w:hAnsi="FlandersArtSans-Regular"/>
          <w:bCs/>
          <w:sz w:val="24"/>
          <w:szCs w:val="24"/>
        </w:rPr>
        <w:t xml:space="preserve"> maar wordt in december wel afgewerkt</w:t>
      </w:r>
      <w:r w:rsidR="00FF1AAC" w:rsidRPr="00E918DE">
        <w:rPr>
          <w:rFonts w:ascii="FlandersArtSans-Regular" w:hAnsi="FlandersArtSans-Regular"/>
          <w:bCs/>
          <w:sz w:val="24"/>
          <w:szCs w:val="24"/>
        </w:rPr>
        <w:t>. De resultaten zullen in de volgende kwartaalrapportering gedeeld worden.</w:t>
      </w:r>
    </w:p>
    <w:p w:rsidR="006C74B0" w:rsidRPr="00E918DE" w:rsidRDefault="006C74B0" w:rsidP="004F2B7B">
      <w:pPr>
        <w:spacing w:after="60" w:line="240" w:lineRule="auto"/>
        <w:rPr>
          <w:rFonts w:ascii="FlandersArtSans-Regular" w:hAnsi="FlandersArtSans-Regular"/>
          <w:b/>
          <w:bCs/>
          <w:sz w:val="24"/>
          <w:szCs w:val="24"/>
          <w:highlight w:val="yellow"/>
        </w:rPr>
      </w:pPr>
    </w:p>
    <w:p w:rsidR="004F2B7B" w:rsidRPr="00E918DE" w:rsidRDefault="004F2B7B" w:rsidP="004F2B7B">
      <w:pPr>
        <w:spacing w:after="60" w:line="240" w:lineRule="auto"/>
        <w:rPr>
          <w:rFonts w:ascii="FlandersArtSans-Regular" w:hAnsi="FlandersArtSans-Regular"/>
          <w:sz w:val="24"/>
          <w:szCs w:val="24"/>
        </w:rPr>
      </w:pPr>
      <w:r w:rsidRPr="00E918DE">
        <w:rPr>
          <w:rFonts w:ascii="FlandersArtSans-Regular" w:hAnsi="FlandersArtSans-Regular"/>
          <w:b/>
          <w:bCs/>
          <w:sz w:val="24"/>
          <w:szCs w:val="24"/>
        </w:rPr>
        <w:t xml:space="preserve">Doorstroom naar </w:t>
      </w:r>
      <w:r w:rsidR="00B42CCD" w:rsidRPr="00E918DE">
        <w:rPr>
          <w:rFonts w:ascii="FlandersArtSans-Regular" w:hAnsi="FlandersArtSans-Regular"/>
          <w:b/>
          <w:bCs/>
          <w:sz w:val="24"/>
          <w:szCs w:val="24"/>
        </w:rPr>
        <w:t>trajectacties</w:t>
      </w:r>
    </w:p>
    <w:p w:rsidR="004F2B7B" w:rsidRPr="00E918DE" w:rsidRDefault="004F2B7B" w:rsidP="004F2B7B">
      <w:pPr>
        <w:spacing w:after="60" w:line="240" w:lineRule="auto"/>
        <w:jc w:val="both"/>
        <w:rPr>
          <w:rFonts w:ascii="FlandersArtSans-Regular" w:hAnsi="FlandersArtSans-Regular"/>
          <w:sz w:val="24"/>
          <w:szCs w:val="24"/>
        </w:rPr>
      </w:pPr>
      <w:r w:rsidRPr="00E918DE">
        <w:rPr>
          <w:rFonts w:ascii="FlandersArtSans-Regular" w:hAnsi="FlandersArtSans-Regular"/>
          <w:sz w:val="24"/>
          <w:szCs w:val="24"/>
        </w:rPr>
        <w:t xml:space="preserve">De rapportering van de doorstroom naar de dienstverlening werd uitgebreid naar alle relevante acties binnen de bemiddeling naar werk </w:t>
      </w:r>
      <w:r w:rsidR="00B42CCD" w:rsidRPr="00E918DE">
        <w:rPr>
          <w:rFonts w:ascii="FlandersArtSans-Regular" w:hAnsi="FlandersArtSans-Regular"/>
          <w:sz w:val="24"/>
          <w:szCs w:val="24"/>
        </w:rPr>
        <w:t xml:space="preserve">bij VDAB worden geregistreerd. </w:t>
      </w:r>
    </w:p>
    <w:p w:rsidR="00AE6D1D" w:rsidRPr="00E918DE" w:rsidRDefault="00AE6D1D" w:rsidP="004F2B7B">
      <w:pPr>
        <w:spacing w:after="60" w:line="240" w:lineRule="auto"/>
        <w:jc w:val="both"/>
        <w:rPr>
          <w:rFonts w:ascii="FlandersArtSans-Regular" w:hAnsi="FlandersArtSans-Regular"/>
          <w:sz w:val="24"/>
          <w:szCs w:val="24"/>
        </w:rPr>
      </w:pPr>
      <w:r w:rsidRPr="00E918DE">
        <w:rPr>
          <w:rFonts w:ascii="FlandersArtSans-Regular" w:hAnsi="FlandersArtSans-Regular"/>
          <w:sz w:val="24"/>
          <w:szCs w:val="24"/>
        </w:rPr>
        <w:t>Voorheen werd de doorstroom in kaart gebracht door een instroomcohorte te volgen en te zien welke acties gebeurd zijn. Deze rapportering hield geen rekening met het tijdstip van de actie, noch het feit dat de werkzoekende intussen is uitgeschreven.</w:t>
      </w:r>
    </w:p>
    <w:p w:rsidR="00AE6D1D" w:rsidRPr="00E918DE" w:rsidRDefault="00AE6D1D" w:rsidP="004F2B7B">
      <w:pPr>
        <w:spacing w:after="60" w:line="240" w:lineRule="auto"/>
        <w:jc w:val="both"/>
        <w:rPr>
          <w:rFonts w:ascii="FlandersArtSans-Regular" w:hAnsi="FlandersArtSans-Regular"/>
          <w:sz w:val="24"/>
          <w:szCs w:val="24"/>
        </w:rPr>
      </w:pPr>
      <w:r w:rsidRPr="00E918DE">
        <w:rPr>
          <w:rFonts w:ascii="FlandersArtSans-Regular" w:hAnsi="FlandersArtSans-Regular"/>
          <w:sz w:val="24"/>
          <w:szCs w:val="24"/>
        </w:rPr>
        <w:t xml:space="preserve">Om de </w:t>
      </w:r>
      <w:proofErr w:type="spellStart"/>
      <w:r w:rsidRPr="00E918DE">
        <w:rPr>
          <w:rFonts w:ascii="FlandersArtSans-Regular" w:hAnsi="FlandersArtSans-Regular"/>
          <w:sz w:val="24"/>
          <w:szCs w:val="24"/>
        </w:rPr>
        <w:t>sluitendheid</w:t>
      </w:r>
      <w:proofErr w:type="spellEnd"/>
      <w:r w:rsidRPr="00E918DE">
        <w:rPr>
          <w:rFonts w:ascii="FlandersArtSans-Regular" w:hAnsi="FlandersArtSans-Regular"/>
          <w:sz w:val="24"/>
          <w:szCs w:val="24"/>
        </w:rPr>
        <w:t xml:space="preserve"> van onze dienstverlening beter in kaart te brengen is daarom gekozen voor een andere insteek, die sterk vergelijkbaar is met andere rapporteringen rond </w:t>
      </w:r>
      <w:proofErr w:type="spellStart"/>
      <w:r w:rsidRPr="00E918DE">
        <w:rPr>
          <w:rFonts w:ascii="FlandersArtSans-Regular" w:hAnsi="FlandersArtSans-Regular"/>
          <w:sz w:val="24"/>
          <w:szCs w:val="24"/>
        </w:rPr>
        <w:t>sluitendheid</w:t>
      </w:r>
      <w:proofErr w:type="spellEnd"/>
      <w:r w:rsidRPr="00E918DE">
        <w:rPr>
          <w:rFonts w:ascii="FlandersArtSans-Regular" w:hAnsi="FlandersArtSans-Regular"/>
          <w:sz w:val="24"/>
          <w:szCs w:val="24"/>
        </w:rPr>
        <w:t xml:space="preserve"> vb. jeugdgarantie.</w:t>
      </w:r>
    </w:p>
    <w:p w:rsidR="00AE6D1D" w:rsidRPr="00E918DE" w:rsidRDefault="00AE6D1D" w:rsidP="004F2B7B">
      <w:pPr>
        <w:spacing w:after="60" w:line="240" w:lineRule="auto"/>
        <w:jc w:val="both"/>
        <w:rPr>
          <w:rFonts w:ascii="FlandersArtSans-Regular" w:hAnsi="FlandersArtSans-Regular"/>
          <w:sz w:val="24"/>
          <w:szCs w:val="24"/>
        </w:rPr>
      </w:pPr>
      <w:r w:rsidRPr="00E918DE">
        <w:rPr>
          <w:rFonts w:ascii="FlandersArtSans-Regular" w:hAnsi="FlandersArtSans-Regular"/>
          <w:sz w:val="24"/>
          <w:szCs w:val="24"/>
        </w:rPr>
        <w:t xml:space="preserve">De volgende tabel geeft de doorstroom naar dienstverlening &amp; uitstroom weer 12 maand na  instroom, voor anderstalige werkzoekenden die in de periode </w:t>
      </w:r>
      <w:r w:rsidR="002D039E">
        <w:rPr>
          <w:rFonts w:ascii="FlandersArtSans-Regular" w:hAnsi="FlandersArtSans-Regular"/>
          <w:sz w:val="24"/>
          <w:szCs w:val="24"/>
        </w:rPr>
        <w:t>november</w:t>
      </w:r>
      <w:r w:rsidRPr="00E918DE">
        <w:rPr>
          <w:rFonts w:ascii="FlandersArtSans-Regular" w:hAnsi="FlandersArtSans-Regular"/>
          <w:sz w:val="24"/>
          <w:szCs w:val="24"/>
        </w:rPr>
        <w:t xml:space="preserve"> 2015 en </w:t>
      </w:r>
      <w:r w:rsidR="002D039E">
        <w:rPr>
          <w:rFonts w:ascii="FlandersArtSans-Regular" w:hAnsi="FlandersArtSans-Regular"/>
          <w:sz w:val="24"/>
          <w:szCs w:val="24"/>
        </w:rPr>
        <w:t>oktober</w:t>
      </w:r>
      <w:r w:rsidRPr="00E918DE">
        <w:rPr>
          <w:rFonts w:ascii="FlandersArtSans-Regular" w:hAnsi="FlandersArtSans-Regular"/>
          <w:sz w:val="24"/>
          <w:szCs w:val="24"/>
        </w:rPr>
        <w:t xml:space="preserve"> 2016 zijn ingestroomd. 64,</w:t>
      </w:r>
      <w:r w:rsidR="00CC1037">
        <w:rPr>
          <w:rFonts w:ascii="FlandersArtSans-Regular" w:hAnsi="FlandersArtSans-Regular"/>
          <w:sz w:val="24"/>
          <w:szCs w:val="24"/>
        </w:rPr>
        <w:t>9</w:t>
      </w:r>
      <w:r w:rsidRPr="00E918DE">
        <w:rPr>
          <w:rFonts w:ascii="FlandersArtSans-Regular" w:hAnsi="FlandersArtSans-Regular"/>
          <w:sz w:val="24"/>
          <w:szCs w:val="24"/>
        </w:rPr>
        <w:t xml:space="preserve">% van de instroom is bereikt via een actie. Als je dit aandeel berekend op basis van wie nog werkzoekend is op 12 maand en niet langdurig is uitgestroomd in die periode (&gt; 3 maand), dan komt dit aandeel op </w:t>
      </w:r>
      <w:r w:rsidR="00CC1037">
        <w:rPr>
          <w:rFonts w:ascii="FlandersArtSans-Regular" w:hAnsi="FlandersArtSans-Regular"/>
          <w:b/>
          <w:sz w:val="24"/>
          <w:szCs w:val="24"/>
        </w:rPr>
        <w:t>79</w:t>
      </w:r>
      <w:r w:rsidRPr="00E918DE">
        <w:rPr>
          <w:rFonts w:ascii="FlandersArtSans-Regular" w:hAnsi="FlandersArtSans-Regular"/>
          <w:b/>
          <w:sz w:val="24"/>
          <w:szCs w:val="24"/>
        </w:rPr>
        <w:t>%</w:t>
      </w:r>
      <w:r w:rsidRPr="00E918DE">
        <w:rPr>
          <w:rFonts w:ascii="FlandersArtSans-Regular" w:hAnsi="FlandersArtSans-Regular"/>
          <w:sz w:val="24"/>
          <w:szCs w:val="24"/>
        </w:rPr>
        <w:t>.</w:t>
      </w:r>
    </w:p>
    <w:p w:rsidR="002D039E" w:rsidRDefault="002D039E">
      <w:pPr>
        <w:rPr>
          <w:rFonts w:ascii="FlandersArtSans-Regular" w:hAnsi="FlandersArtSans-Regular"/>
          <w:i/>
        </w:rPr>
      </w:pPr>
      <w:r>
        <w:rPr>
          <w:rFonts w:ascii="FlandersArtSans-Regular" w:hAnsi="FlandersArtSans-Regular"/>
          <w:i/>
        </w:rPr>
        <w:br w:type="page"/>
      </w:r>
    </w:p>
    <w:p w:rsidR="00140D44" w:rsidRPr="00140D44" w:rsidRDefault="00140D44" w:rsidP="004F2B7B">
      <w:pPr>
        <w:spacing w:after="60" w:line="240" w:lineRule="auto"/>
        <w:jc w:val="both"/>
        <w:rPr>
          <w:rFonts w:ascii="FlandersArtSans-Regular" w:hAnsi="FlandersArtSans-Regular"/>
          <w:i/>
        </w:rPr>
      </w:pPr>
      <w:r w:rsidRPr="00140D44">
        <w:rPr>
          <w:rFonts w:ascii="FlandersArtSans-Regular" w:hAnsi="FlandersArtSans-Regular"/>
          <w:i/>
        </w:rPr>
        <w:t>Tabel: Bereik van acties 12 maand na instroom</w:t>
      </w:r>
    </w:p>
    <w:tbl>
      <w:tblPr>
        <w:tblW w:w="9087" w:type="dxa"/>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536"/>
        <w:gridCol w:w="2551"/>
      </w:tblGrid>
      <w:tr w:rsidR="00AE6D1D" w:rsidRPr="00AE6D1D" w:rsidTr="00140D44">
        <w:trPr>
          <w:trHeight w:val="300"/>
        </w:trPr>
        <w:tc>
          <w:tcPr>
            <w:tcW w:w="6536" w:type="dxa"/>
            <w:shd w:val="clear" w:color="auto" w:fill="auto"/>
            <w:noWrap/>
            <w:vAlign w:val="bottom"/>
            <w:hideMark/>
          </w:tcPr>
          <w:p w:rsidR="00AE6D1D" w:rsidRPr="00AE6D1D" w:rsidRDefault="00AE6D1D" w:rsidP="00AE6D1D">
            <w:pPr>
              <w:spacing w:after="0" w:line="240" w:lineRule="auto"/>
              <w:rPr>
                <w:rFonts w:ascii="Calibri" w:eastAsia="Times New Roman" w:hAnsi="Calibri" w:cs="Times New Roman"/>
                <w:b/>
                <w:bCs/>
                <w:color w:val="000000"/>
                <w:lang w:eastAsia="nl-BE"/>
              </w:rPr>
            </w:pPr>
            <w:r w:rsidRPr="00AE6D1D">
              <w:rPr>
                <w:rFonts w:ascii="Calibri" w:eastAsia="Times New Roman" w:hAnsi="Calibri" w:cs="Times New Roman"/>
                <w:b/>
                <w:bCs/>
                <w:color w:val="000000"/>
                <w:lang w:eastAsia="nl-BE"/>
              </w:rPr>
              <w:t>Waarden</w:t>
            </w:r>
          </w:p>
        </w:tc>
        <w:tc>
          <w:tcPr>
            <w:tcW w:w="2551" w:type="dxa"/>
            <w:shd w:val="clear" w:color="auto" w:fill="auto"/>
            <w:noWrap/>
            <w:vAlign w:val="bottom"/>
            <w:hideMark/>
          </w:tcPr>
          <w:p w:rsidR="00AE6D1D" w:rsidRPr="00AE6D1D" w:rsidRDefault="00AE6D1D" w:rsidP="00AE6D1D">
            <w:pPr>
              <w:spacing w:after="0" w:line="240" w:lineRule="auto"/>
              <w:jc w:val="center"/>
              <w:rPr>
                <w:rFonts w:ascii="Calibri" w:eastAsia="Times New Roman" w:hAnsi="Calibri" w:cs="Times New Roman"/>
                <w:b/>
                <w:bCs/>
                <w:color w:val="000000"/>
                <w:lang w:eastAsia="nl-BE"/>
              </w:rPr>
            </w:pPr>
            <w:r>
              <w:rPr>
                <w:rFonts w:ascii="Calibri" w:eastAsia="Times New Roman" w:hAnsi="Calibri" w:cs="Times New Roman"/>
                <w:b/>
                <w:bCs/>
                <w:color w:val="000000"/>
                <w:lang w:eastAsia="nl-BE"/>
              </w:rPr>
              <w:t>Dienstverlening 12 maand na instroom</w:t>
            </w:r>
          </w:p>
        </w:tc>
      </w:tr>
      <w:tr w:rsidR="00AE6D1D" w:rsidRPr="00AE6D1D" w:rsidTr="00140D44">
        <w:trPr>
          <w:trHeight w:val="300"/>
        </w:trPr>
        <w:tc>
          <w:tcPr>
            <w:tcW w:w="6536" w:type="dxa"/>
            <w:tcBorders>
              <w:bottom w:val="single" w:sz="4" w:space="0" w:color="auto"/>
            </w:tcBorders>
            <w:shd w:val="clear" w:color="auto" w:fill="auto"/>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Aantal ingestroomde personen met taalachterstand Nederlands</w:t>
            </w:r>
          </w:p>
        </w:tc>
        <w:tc>
          <w:tcPr>
            <w:tcW w:w="2551" w:type="dxa"/>
            <w:tcBorders>
              <w:bottom w:val="single" w:sz="4" w:space="0" w:color="auto"/>
            </w:tcBorders>
            <w:shd w:val="clear" w:color="auto" w:fill="auto"/>
            <w:noWrap/>
            <w:vAlign w:val="bottom"/>
            <w:hideMark/>
          </w:tcPr>
          <w:p w:rsidR="00AE6D1D" w:rsidRPr="00AE6D1D" w:rsidRDefault="00AE6D1D" w:rsidP="00AE6D1D">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28064</w:t>
            </w:r>
          </w:p>
        </w:tc>
      </w:tr>
      <w:tr w:rsidR="00AE6D1D" w:rsidRPr="00AE6D1D" w:rsidTr="00140D44">
        <w:trPr>
          <w:trHeight w:val="300"/>
        </w:trPr>
        <w:tc>
          <w:tcPr>
            <w:tcW w:w="6536" w:type="dxa"/>
            <w:tcBorders>
              <w:bottom w:val="nil"/>
            </w:tcBorders>
            <w:shd w:val="clear" w:color="auto" w:fill="auto"/>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met 'screening'</w:t>
            </w:r>
          </w:p>
        </w:tc>
        <w:tc>
          <w:tcPr>
            <w:tcW w:w="2551" w:type="dxa"/>
            <w:tcBorders>
              <w:bottom w:val="nil"/>
            </w:tcBorders>
            <w:shd w:val="clear" w:color="auto" w:fill="auto"/>
            <w:noWrap/>
            <w:vAlign w:val="bottom"/>
            <w:hideMark/>
          </w:tcPr>
          <w:p w:rsidR="00AE6D1D" w:rsidRPr="00AE6D1D" w:rsidRDefault="00CF3286" w:rsidP="00AE6D1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74</w:t>
            </w:r>
            <w:r w:rsidR="00AE6D1D" w:rsidRPr="00AE6D1D">
              <w:rPr>
                <w:rFonts w:ascii="Calibri" w:eastAsia="Times New Roman" w:hAnsi="Calibri" w:cs="Times New Roman"/>
                <w:color w:val="000000"/>
                <w:lang w:eastAsia="nl-BE"/>
              </w:rPr>
              <w:t>%</w:t>
            </w:r>
          </w:p>
        </w:tc>
      </w:tr>
      <w:tr w:rsidR="00AE6D1D" w:rsidRPr="00AE6D1D" w:rsidTr="00140D44">
        <w:trPr>
          <w:trHeight w:val="300"/>
        </w:trPr>
        <w:tc>
          <w:tcPr>
            <w:tcW w:w="6536" w:type="dxa"/>
            <w:tcBorders>
              <w:top w:val="nil"/>
              <w:bottom w:val="nil"/>
            </w:tcBorders>
            <w:shd w:val="clear" w:color="auto" w:fill="auto"/>
            <w:noWrap/>
            <w:vAlign w:val="bottom"/>
            <w:hideMark/>
          </w:tcPr>
          <w:p w:rsidR="00AE6D1D" w:rsidRPr="00AE6D1D" w:rsidRDefault="00AE6D1D" w:rsidP="002C03B4">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met 'dienstverleningsnood ingeschat'</w:t>
            </w:r>
          </w:p>
        </w:tc>
        <w:tc>
          <w:tcPr>
            <w:tcW w:w="2551" w:type="dxa"/>
            <w:tcBorders>
              <w:top w:val="nil"/>
              <w:bottom w:val="nil"/>
            </w:tcBorders>
            <w:shd w:val="clear" w:color="auto" w:fill="auto"/>
            <w:noWrap/>
            <w:vAlign w:val="bottom"/>
            <w:hideMark/>
          </w:tcPr>
          <w:p w:rsidR="00AE6D1D" w:rsidRPr="00AE6D1D" w:rsidRDefault="00CF3286" w:rsidP="002C03B4">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73</w:t>
            </w:r>
            <w:r w:rsidR="00AE6D1D" w:rsidRPr="00AE6D1D">
              <w:rPr>
                <w:rFonts w:ascii="Calibri" w:eastAsia="Times New Roman" w:hAnsi="Calibri" w:cs="Times New Roman"/>
                <w:color w:val="000000"/>
                <w:lang w:eastAsia="nl-BE"/>
              </w:rPr>
              <w:t>%</w:t>
            </w:r>
          </w:p>
        </w:tc>
      </w:tr>
      <w:tr w:rsidR="00AE6D1D" w:rsidRPr="00AE6D1D" w:rsidTr="00140D44">
        <w:trPr>
          <w:trHeight w:val="300"/>
        </w:trPr>
        <w:tc>
          <w:tcPr>
            <w:tcW w:w="6536" w:type="dxa"/>
            <w:tcBorders>
              <w:top w:val="nil"/>
            </w:tcBorders>
            <w:shd w:val="clear" w:color="auto" w:fill="auto"/>
            <w:noWrap/>
            <w:vAlign w:val="bottom"/>
            <w:hideMark/>
          </w:tcPr>
          <w:p w:rsidR="00AE6D1D" w:rsidRPr="00AE6D1D" w:rsidRDefault="00AE6D1D" w:rsidP="002C03B4">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met specifieke screening (vb. technische screening)</w:t>
            </w:r>
          </w:p>
        </w:tc>
        <w:tc>
          <w:tcPr>
            <w:tcW w:w="2551" w:type="dxa"/>
            <w:tcBorders>
              <w:top w:val="nil"/>
            </w:tcBorders>
            <w:shd w:val="clear" w:color="auto" w:fill="auto"/>
            <w:noWrap/>
            <w:vAlign w:val="bottom"/>
            <w:hideMark/>
          </w:tcPr>
          <w:p w:rsidR="00AE6D1D" w:rsidRPr="00AE6D1D" w:rsidRDefault="00AE6D1D" w:rsidP="002C03B4">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15%</w:t>
            </w:r>
          </w:p>
        </w:tc>
      </w:tr>
      <w:tr w:rsidR="00AE6D1D" w:rsidRPr="00AE6D1D" w:rsidTr="00140D44">
        <w:trPr>
          <w:trHeight w:val="300"/>
        </w:trPr>
        <w:tc>
          <w:tcPr>
            <w:tcW w:w="6536" w:type="dxa"/>
            <w:shd w:val="clear" w:color="auto" w:fill="auto"/>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met loopbaanoriëntatie</w:t>
            </w:r>
          </w:p>
        </w:tc>
        <w:tc>
          <w:tcPr>
            <w:tcW w:w="2551" w:type="dxa"/>
            <w:shd w:val="clear" w:color="auto" w:fill="auto"/>
            <w:noWrap/>
            <w:vAlign w:val="bottom"/>
            <w:hideMark/>
          </w:tcPr>
          <w:p w:rsidR="00AE6D1D" w:rsidRPr="00AE6D1D" w:rsidRDefault="00AE6D1D" w:rsidP="00AE6D1D">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5%</w:t>
            </w:r>
          </w:p>
        </w:tc>
      </w:tr>
      <w:tr w:rsidR="00AE6D1D" w:rsidRPr="00AE6D1D" w:rsidTr="00140D44">
        <w:trPr>
          <w:trHeight w:val="300"/>
        </w:trPr>
        <w:tc>
          <w:tcPr>
            <w:tcW w:w="6536" w:type="dxa"/>
            <w:shd w:val="clear" w:color="auto" w:fill="auto"/>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met diplomagelijkschakeling</w:t>
            </w:r>
          </w:p>
        </w:tc>
        <w:tc>
          <w:tcPr>
            <w:tcW w:w="2551" w:type="dxa"/>
            <w:shd w:val="clear" w:color="auto" w:fill="auto"/>
            <w:noWrap/>
            <w:vAlign w:val="bottom"/>
            <w:hideMark/>
          </w:tcPr>
          <w:p w:rsidR="00AE6D1D" w:rsidRPr="00AE6D1D" w:rsidRDefault="00AE6D1D" w:rsidP="00AE6D1D">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1%</w:t>
            </w:r>
          </w:p>
        </w:tc>
      </w:tr>
      <w:tr w:rsidR="00AE6D1D" w:rsidRPr="00AE6D1D" w:rsidTr="00140D44">
        <w:trPr>
          <w:trHeight w:val="300"/>
        </w:trPr>
        <w:tc>
          <w:tcPr>
            <w:tcW w:w="6536" w:type="dxa"/>
            <w:shd w:val="clear" w:color="auto" w:fill="auto"/>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met 'persoonlijke dienstverlening'</w:t>
            </w:r>
          </w:p>
        </w:tc>
        <w:tc>
          <w:tcPr>
            <w:tcW w:w="2551" w:type="dxa"/>
            <w:shd w:val="clear" w:color="auto" w:fill="auto"/>
            <w:noWrap/>
            <w:vAlign w:val="bottom"/>
            <w:hideMark/>
          </w:tcPr>
          <w:p w:rsidR="00AE6D1D" w:rsidRPr="00AE6D1D" w:rsidRDefault="00AE6D1D" w:rsidP="00CF3286">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6</w:t>
            </w:r>
            <w:r w:rsidR="00CF3286">
              <w:rPr>
                <w:rFonts w:ascii="Calibri" w:eastAsia="Times New Roman" w:hAnsi="Calibri" w:cs="Times New Roman"/>
                <w:color w:val="000000"/>
                <w:lang w:eastAsia="nl-BE"/>
              </w:rPr>
              <w:t>5</w:t>
            </w:r>
            <w:r w:rsidRPr="00AE6D1D">
              <w:rPr>
                <w:rFonts w:ascii="Calibri" w:eastAsia="Times New Roman" w:hAnsi="Calibri" w:cs="Times New Roman"/>
                <w:color w:val="000000"/>
                <w:lang w:eastAsia="nl-BE"/>
              </w:rPr>
              <w:t>%</w:t>
            </w:r>
          </w:p>
        </w:tc>
      </w:tr>
      <w:tr w:rsidR="00AE6D1D" w:rsidRPr="00AE6D1D" w:rsidTr="00140D44">
        <w:trPr>
          <w:trHeight w:val="300"/>
        </w:trPr>
        <w:tc>
          <w:tcPr>
            <w:tcW w:w="6536" w:type="dxa"/>
            <w:shd w:val="clear" w:color="auto" w:fill="auto"/>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met opleiding</w:t>
            </w:r>
            <w:r w:rsidR="00140D44">
              <w:rPr>
                <w:rFonts w:ascii="Calibri" w:eastAsia="Times New Roman" w:hAnsi="Calibri" w:cs="Times New Roman"/>
                <w:color w:val="000000"/>
                <w:lang w:eastAsia="nl-BE"/>
              </w:rPr>
              <w:t>*</w:t>
            </w:r>
          </w:p>
        </w:tc>
        <w:tc>
          <w:tcPr>
            <w:tcW w:w="2551" w:type="dxa"/>
            <w:shd w:val="clear" w:color="auto" w:fill="auto"/>
            <w:noWrap/>
            <w:vAlign w:val="bottom"/>
            <w:hideMark/>
          </w:tcPr>
          <w:p w:rsidR="00AE6D1D" w:rsidRPr="00AE6D1D" w:rsidRDefault="00AE6D1D" w:rsidP="00AE6D1D">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13%</w:t>
            </w:r>
          </w:p>
        </w:tc>
      </w:tr>
      <w:tr w:rsidR="00AE6D1D" w:rsidRPr="00AE6D1D" w:rsidTr="00140D44">
        <w:trPr>
          <w:trHeight w:val="300"/>
        </w:trPr>
        <w:tc>
          <w:tcPr>
            <w:tcW w:w="6536" w:type="dxa"/>
            <w:tcBorders>
              <w:bottom w:val="single" w:sz="4" w:space="0" w:color="auto"/>
            </w:tcBorders>
            <w:shd w:val="clear" w:color="auto" w:fill="auto"/>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met werkplekleren</w:t>
            </w:r>
            <w:r w:rsidR="00140D44">
              <w:rPr>
                <w:rFonts w:ascii="Calibri" w:eastAsia="Times New Roman" w:hAnsi="Calibri" w:cs="Times New Roman"/>
                <w:color w:val="000000"/>
                <w:lang w:eastAsia="nl-BE"/>
              </w:rPr>
              <w:t>**</w:t>
            </w:r>
          </w:p>
        </w:tc>
        <w:tc>
          <w:tcPr>
            <w:tcW w:w="2551" w:type="dxa"/>
            <w:tcBorders>
              <w:bottom w:val="single" w:sz="4" w:space="0" w:color="auto"/>
            </w:tcBorders>
            <w:shd w:val="clear" w:color="auto" w:fill="auto"/>
            <w:noWrap/>
            <w:vAlign w:val="bottom"/>
            <w:hideMark/>
          </w:tcPr>
          <w:p w:rsidR="00AE6D1D" w:rsidRPr="00AE6D1D" w:rsidRDefault="00AE6D1D" w:rsidP="00AE6D1D">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5%</w:t>
            </w:r>
          </w:p>
        </w:tc>
      </w:tr>
      <w:tr w:rsidR="00AE6D1D" w:rsidRPr="00AE6D1D" w:rsidTr="00140D44">
        <w:trPr>
          <w:trHeight w:val="300"/>
        </w:trPr>
        <w:tc>
          <w:tcPr>
            <w:tcW w:w="6536" w:type="dxa"/>
            <w:shd w:val="clear" w:color="auto" w:fill="EEECE1" w:themeFill="background2"/>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uitgestroomd uit de werkloosheid (einde meetmaand)</w:t>
            </w:r>
          </w:p>
        </w:tc>
        <w:tc>
          <w:tcPr>
            <w:tcW w:w="2551" w:type="dxa"/>
            <w:shd w:val="clear" w:color="auto" w:fill="EEECE1" w:themeFill="background2"/>
            <w:noWrap/>
            <w:vAlign w:val="bottom"/>
            <w:hideMark/>
          </w:tcPr>
          <w:p w:rsidR="00AE6D1D" w:rsidRPr="00AE6D1D" w:rsidRDefault="00AE6D1D" w:rsidP="00AE6D1D">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56%</w:t>
            </w:r>
          </w:p>
        </w:tc>
      </w:tr>
      <w:tr w:rsidR="00AE6D1D" w:rsidRPr="00AE6D1D" w:rsidTr="00140D44">
        <w:trPr>
          <w:trHeight w:val="300"/>
        </w:trPr>
        <w:tc>
          <w:tcPr>
            <w:tcW w:w="6536" w:type="dxa"/>
            <w:shd w:val="clear" w:color="auto" w:fill="EEECE1" w:themeFill="background2"/>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uitgestroomd naar werk (einde meetmaand)</w:t>
            </w:r>
          </w:p>
        </w:tc>
        <w:tc>
          <w:tcPr>
            <w:tcW w:w="2551" w:type="dxa"/>
            <w:shd w:val="clear" w:color="auto" w:fill="EEECE1" w:themeFill="background2"/>
            <w:noWrap/>
            <w:vAlign w:val="bottom"/>
            <w:hideMark/>
          </w:tcPr>
          <w:p w:rsidR="00AE6D1D" w:rsidRPr="00AE6D1D" w:rsidRDefault="00AE6D1D" w:rsidP="00AE6D1D">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37%</w:t>
            </w:r>
          </w:p>
        </w:tc>
      </w:tr>
      <w:tr w:rsidR="00AE6D1D" w:rsidRPr="00AE6D1D" w:rsidTr="00140D44">
        <w:trPr>
          <w:trHeight w:val="300"/>
        </w:trPr>
        <w:tc>
          <w:tcPr>
            <w:tcW w:w="6536" w:type="dxa"/>
            <w:shd w:val="clear" w:color="auto" w:fill="auto"/>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met transmissie</w:t>
            </w:r>
          </w:p>
        </w:tc>
        <w:tc>
          <w:tcPr>
            <w:tcW w:w="2551" w:type="dxa"/>
            <w:shd w:val="clear" w:color="auto" w:fill="auto"/>
            <w:noWrap/>
            <w:vAlign w:val="bottom"/>
            <w:hideMark/>
          </w:tcPr>
          <w:p w:rsidR="00AE6D1D" w:rsidRPr="00AE6D1D" w:rsidRDefault="00AE6D1D" w:rsidP="00AE6D1D">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5%</w:t>
            </w:r>
          </w:p>
        </w:tc>
      </w:tr>
      <w:tr w:rsidR="00AE6D1D" w:rsidRPr="00AE6D1D" w:rsidTr="00140D44">
        <w:trPr>
          <w:trHeight w:val="300"/>
        </w:trPr>
        <w:tc>
          <w:tcPr>
            <w:tcW w:w="6536" w:type="dxa"/>
            <w:shd w:val="clear" w:color="auto" w:fill="auto"/>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xml:space="preserve">% met nieuwe </w:t>
            </w:r>
            <w:proofErr w:type="spellStart"/>
            <w:r w:rsidRPr="00AE6D1D">
              <w:rPr>
                <w:rFonts w:ascii="Calibri" w:eastAsia="Times New Roman" w:hAnsi="Calibri" w:cs="Times New Roman"/>
                <w:color w:val="000000"/>
                <w:lang w:eastAsia="nl-BE"/>
              </w:rPr>
              <w:t>eurostat</w:t>
            </w:r>
            <w:proofErr w:type="spellEnd"/>
            <w:r w:rsidRPr="00AE6D1D">
              <w:rPr>
                <w:rFonts w:ascii="Calibri" w:eastAsia="Times New Roman" w:hAnsi="Calibri" w:cs="Times New Roman"/>
                <w:color w:val="000000"/>
                <w:lang w:eastAsia="nl-BE"/>
              </w:rPr>
              <w:t>-datum (einde meetmaand)</w:t>
            </w:r>
          </w:p>
        </w:tc>
        <w:tc>
          <w:tcPr>
            <w:tcW w:w="2551" w:type="dxa"/>
            <w:shd w:val="clear" w:color="auto" w:fill="auto"/>
            <w:noWrap/>
            <w:vAlign w:val="bottom"/>
            <w:hideMark/>
          </w:tcPr>
          <w:p w:rsidR="00AE6D1D" w:rsidRPr="00AE6D1D" w:rsidRDefault="00AE6D1D" w:rsidP="00AE6D1D">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12%</w:t>
            </w:r>
          </w:p>
        </w:tc>
      </w:tr>
      <w:tr w:rsidR="00AE6D1D" w:rsidRPr="00AE6D1D" w:rsidTr="00140D44">
        <w:trPr>
          <w:trHeight w:val="300"/>
        </w:trPr>
        <w:tc>
          <w:tcPr>
            <w:tcW w:w="6536" w:type="dxa"/>
            <w:shd w:val="clear" w:color="auto" w:fill="auto"/>
            <w:noWrap/>
            <w:vAlign w:val="bottom"/>
            <w:hideMark/>
          </w:tcPr>
          <w:p w:rsidR="00AE6D1D" w:rsidRPr="00AE6D1D" w:rsidRDefault="00AE6D1D" w:rsidP="00AE6D1D">
            <w:pPr>
              <w:spacing w:after="0" w:line="240" w:lineRule="auto"/>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 niet-inzetbaar (einde meetmaand)</w:t>
            </w:r>
          </w:p>
        </w:tc>
        <w:tc>
          <w:tcPr>
            <w:tcW w:w="2551" w:type="dxa"/>
            <w:shd w:val="clear" w:color="auto" w:fill="auto"/>
            <w:noWrap/>
            <w:vAlign w:val="bottom"/>
            <w:hideMark/>
          </w:tcPr>
          <w:p w:rsidR="00AE6D1D" w:rsidRPr="00AE6D1D" w:rsidRDefault="00AE6D1D" w:rsidP="00AE6D1D">
            <w:pPr>
              <w:spacing w:after="0" w:line="240" w:lineRule="auto"/>
              <w:jc w:val="center"/>
              <w:rPr>
                <w:rFonts w:ascii="Calibri" w:eastAsia="Times New Roman" w:hAnsi="Calibri" w:cs="Times New Roman"/>
                <w:color w:val="000000"/>
                <w:lang w:eastAsia="nl-BE"/>
              </w:rPr>
            </w:pPr>
            <w:r w:rsidRPr="00AE6D1D">
              <w:rPr>
                <w:rFonts w:ascii="Calibri" w:eastAsia="Times New Roman" w:hAnsi="Calibri" w:cs="Times New Roman"/>
                <w:color w:val="000000"/>
                <w:lang w:eastAsia="nl-BE"/>
              </w:rPr>
              <w:t>2%</w:t>
            </w:r>
          </w:p>
        </w:tc>
      </w:tr>
    </w:tbl>
    <w:p w:rsidR="004F2B7B" w:rsidRPr="00370BC9" w:rsidRDefault="004F2B7B" w:rsidP="004F2B7B">
      <w:pPr>
        <w:spacing w:before="60" w:after="60" w:line="240" w:lineRule="auto"/>
        <w:jc w:val="both"/>
        <w:rPr>
          <w:rFonts w:ascii="FlandersArtSans-Regular" w:hAnsi="FlandersArtSans-Regular"/>
          <w:sz w:val="20"/>
        </w:rPr>
      </w:pPr>
      <w:r w:rsidRPr="00370BC9">
        <w:rPr>
          <w:rFonts w:ascii="FlandersArtSans-Regular" w:hAnsi="FlandersArtSans-Regular"/>
          <w:sz w:val="20"/>
        </w:rPr>
        <w:t>* Oriënterende opleiding, beroepsgerichte (doorstroom)opleiding, algemene arbeidsmarktcompetenties, Nederlands voor anderstaligen</w:t>
      </w:r>
    </w:p>
    <w:p w:rsidR="004F2B7B" w:rsidRPr="00370BC9" w:rsidRDefault="004F2B7B" w:rsidP="004F2B7B">
      <w:pPr>
        <w:spacing w:before="60" w:after="60" w:line="240" w:lineRule="auto"/>
        <w:jc w:val="both"/>
        <w:rPr>
          <w:rFonts w:ascii="FlandersArtSans-Regular" w:hAnsi="FlandersArtSans-Regular"/>
          <w:sz w:val="20"/>
        </w:rPr>
      </w:pPr>
      <w:r w:rsidRPr="00370BC9">
        <w:rPr>
          <w:rFonts w:ascii="FlandersArtSans-Regular" w:hAnsi="FlandersArtSans-Regular"/>
          <w:sz w:val="20"/>
        </w:rPr>
        <w:t xml:space="preserve">** </w:t>
      </w:r>
      <w:proofErr w:type="spellStart"/>
      <w:r w:rsidRPr="00370BC9">
        <w:rPr>
          <w:rFonts w:ascii="FlandersArtSans-Regular" w:hAnsi="FlandersArtSans-Regular"/>
          <w:sz w:val="20"/>
        </w:rPr>
        <w:t>Beroepsverkennende</w:t>
      </w:r>
      <w:proofErr w:type="spellEnd"/>
      <w:r w:rsidRPr="00370BC9">
        <w:rPr>
          <w:rFonts w:ascii="FlandersArtSans-Regular" w:hAnsi="FlandersArtSans-Regular"/>
          <w:sz w:val="20"/>
        </w:rPr>
        <w:t xml:space="preserve"> stage, opleidingsstage, opleidingsproject met bedrijven, IBO, instapstage en BIO</w:t>
      </w:r>
    </w:p>
    <w:p w:rsidR="004810BA" w:rsidRDefault="004810BA" w:rsidP="004810BA">
      <w:pPr>
        <w:spacing w:after="60" w:line="240" w:lineRule="auto"/>
        <w:rPr>
          <w:rFonts w:ascii="FlandersArtSans-Regular" w:hAnsi="FlandersArtSans-Regular"/>
        </w:rPr>
      </w:pPr>
    </w:p>
    <w:p w:rsidR="00200576" w:rsidRDefault="00200576" w:rsidP="00200576">
      <w:pPr>
        <w:spacing w:after="60" w:line="240" w:lineRule="auto"/>
        <w:rPr>
          <w:rFonts w:ascii="FlandersArtSans-Regular" w:hAnsi="FlandersArtSans-Regular"/>
          <w:b/>
          <w:bCs/>
        </w:rPr>
      </w:pPr>
      <w:r>
        <w:rPr>
          <w:rFonts w:ascii="FlandersArtSans-Regular" w:hAnsi="FlandersArtSans-Regular"/>
          <w:b/>
          <w:bCs/>
        </w:rPr>
        <w:t>Monitoring van gebruik ter beschikking gestelde tools</w:t>
      </w:r>
    </w:p>
    <w:p w:rsidR="00200576" w:rsidRPr="0090394C" w:rsidRDefault="0090394C" w:rsidP="00200576">
      <w:pPr>
        <w:spacing w:after="60" w:line="240" w:lineRule="auto"/>
        <w:rPr>
          <w:rFonts w:ascii="FlandersArtSans-Regular" w:hAnsi="FlandersArtSans-Regular"/>
          <w:bCs/>
          <w:i/>
        </w:rPr>
      </w:pPr>
      <w:r w:rsidRPr="0090394C">
        <w:rPr>
          <w:rFonts w:ascii="FlandersArtSans-Regular" w:hAnsi="FlandersArtSans-Regular"/>
          <w:bCs/>
          <w:i/>
        </w:rPr>
        <w:t>Momenteel beperkt zich dit tot de Hi-app. Deze werd proefgedraaid in de provincies Oost-Vlaanderen en Antwerpen. Najaar 2017 krijgt deze een doorstart naar gans Vlaanderen. Daar zal dan een monitoring aan gekoppeld worden,; Dit wordt voorzien in 2018.</w:t>
      </w:r>
    </w:p>
    <w:p w:rsidR="008D4399" w:rsidRDefault="008D4399" w:rsidP="008D4399">
      <w:pPr>
        <w:spacing w:after="60" w:line="240" w:lineRule="auto"/>
        <w:rPr>
          <w:rFonts w:ascii="FlandersArtSans-Regular" w:hAnsi="FlandersArtSans-Regular"/>
          <w:b/>
          <w:bCs/>
          <w:sz w:val="28"/>
          <w:szCs w:val="28"/>
        </w:rPr>
      </w:pPr>
    </w:p>
    <w:p w:rsidR="008D4399" w:rsidRDefault="008D4399" w:rsidP="008D4399">
      <w:pPr>
        <w:spacing w:after="60" w:line="240" w:lineRule="auto"/>
        <w:rPr>
          <w:rFonts w:ascii="FlandersArtSans-Regular" w:hAnsi="FlandersArtSans-Regular"/>
          <w:b/>
          <w:bCs/>
          <w:sz w:val="28"/>
          <w:szCs w:val="28"/>
        </w:rPr>
      </w:pPr>
      <w:r w:rsidRPr="00245425">
        <w:rPr>
          <w:rFonts w:ascii="FlandersArtSans-Regular" w:hAnsi="FlandersArtSans-Regular"/>
          <w:b/>
          <w:bCs/>
          <w:sz w:val="28"/>
          <w:szCs w:val="28"/>
        </w:rPr>
        <w:t xml:space="preserve">Strategische doelstelling </w:t>
      </w:r>
      <w:r>
        <w:rPr>
          <w:rFonts w:ascii="FlandersArtSans-Regular" w:hAnsi="FlandersArtSans-Regular"/>
          <w:b/>
          <w:bCs/>
          <w:sz w:val="28"/>
          <w:szCs w:val="28"/>
        </w:rPr>
        <w:t>2</w:t>
      </w:r>
    </w:p>
    <w:p w:rsidR="008D4399" w:rsidRDefault="008D4399" w:rsidP="008D4399">
      <w:pPr>
        <w:spacing w:after="60" w:line="240" w:lineRule="auto"/>
        <w:rPr>
          <w:rFonts w:ascii="FlandersArtSans-Regular" w:hAnsi="FlandersArtSans-Regular"/>
          <w:b/>
          <w:bCs/>
          <w:sz w:val="28"/>
          <w:szCs w:val="28"/>
        </w:rPr>
      </w:pPr>
      <w:r>
        <w:rPr>
          <w:rFonts w:ascii="FlandersArtSans-Regular" w:hAnsi="FlandersArtSans-Regular"/>
          <w:b/>
          <w:bCs/>
          <w:sz w:val="28"/>
          <w:szCs w:val="28"/>
        </w:rPr>
        <w:t xml:space="preserve">Werkgevers en werkgeversorganisaties bieden maximale tewerkstellings- en opleidingskansen aan personen met en </w:t>
      </w:r>
      <w:proofErr w:type="spellStart"/>
      <w:r>
        <w:rPr>
          <w:rFonts w:ascii="FlandersArtSans-Regular" w:hAnsi="FlandersArtSans-Regular"/>
          <w:b/>
          <w:bCs/>
          <w:sz w:val="28"/>
          <w:szCs w:val="28"/>
        </w:rPr>
        <w:t>migratieachtegrond</w:t>
      </w:r>
      <w:proofErr w:type="spellEnd"/>
    </w:p>
    <w:p w:rsidR="008D4399" w:rsidRDefault="008D4399" w:rsidP="00200576">
      <w:pPr>
        <w:spacing w:after="60" w:line="240" w:lineRule="auto"/>
        <w:rPr>
          <w:rFonts w:ascii="FlandersArtSans-Regular" w:hAnsi="FlandersArtSans-Regular"/>
          <w:b/>
          <w:bCs/>
        </w:rPr>
      </w:pPr>
    </w:p>
    <w:p w:rsidR="008D4399" w:rsidRDefault="008D4399" w:rsidP="00200576">
      <w:pPr>
        <w:spacing w:after="60" w:line="240" w:lineRule="auto"/>
        <w:rPr>
          <w:rFonts w:ascii="FlandersArtSans-Regular" w:hAnsi="FlandersArtSans-Regular"/>
          <w:b/>
          <w:bCs/>
        </w:rPr>
      </w:pPr>
      <w:r>
        <w:rPr>
          <w:rFonts w:ascii="FlandersArtSans-Regular" w:hAnsi="FlandersArtSans-Regular"/>
          <w:b/>
          <w:bCs/>
        </w:rPr>
        <w:t>Aandeel anderstalige werkzoekenden met een migratieachtergrond in werkplekleren</w:t>
      </w:r>
    </w:p>
    <w:p w:rsidR="008D4399" w:rsidRPr="00217866" w:rsidRDefault="00EA73B9" w:rsidP="00200576">
      <w:pPr>
        <w:spacing w:after="60" w:line="240" w:lineRule="auto"/>
        <w:rPr>
          <w:rFonts w:ascii="FlandersArtSans-Regular" w:hAnsi="FlandersArtSans-Regular"/>
          <w:bCs/>
          <w:sz w:val="24"/>
          <w:szCs w:val="24"/>
        </w:rPr>
      </w:pPr>
      <w:r w:rsidRPr="00217866">
        <w:rPr>
          <w:rFonts w:ascii="FlandersArtSans-Regular" w:hAnsi="FlandersArtSans-Regular"/>
          <w:bCs/>
          <w:sz w:val="24"/>
          <w:szCs w:val="24"/>
        </w:rPr>
        <w:t>De belangrijkste vormen van werkplekleren voor deze doelgroep zijn IBO en opleidingsstages. De volgende tabel geeft het aantal ge</w:t>
      </w:r>
      <w:r w:rsidR="00217866">
        <w:rPr>
          <w:rFonts w:ascii="FlandersArtSans-Regular" w:hAnsi="FlandersArtSans-Regular"/>
          <w:bCs/>
          <w:sz w:val="24"/>
          <w:szCs w:val="24"/>
        </w:rPr>
        <w:t>starte werkplekacties per jaar.</w:t>
      </w:r>
      <w:r w:rsidR="00D301A9">
        <w:rPr>
          <w:rFonts w:ascii="FlandersArtSans-Regular" w:hAnsi="FlandersArtSans-Regular"/>
          <w:bCs/>
          <w:sz w:val="24"/>
          <w:szCs w:val="24"/>
        </w:rPr>
        <w:t xml:space="preserve"> Deze data wordt zesmaandelijks gemaakt en kunnen we dus nog niet updaten t.o.v. de vorige kwartaalrapportering.</w:t>
      </w:r>
    </w:p>
    <w:p w:rsidR="00BA6CE3" w:rsidRDefault="00BA6CE3" w:rsidP="00200576">
      <w:pPr>
        <w:spacing w:after="60" w:line="240" w:lineRule="auto"/>
        <w:rPr>
          <w:rFonts w:ascii="FlandersArtSans-Regular" w:hAnsi="FlandersArtSans-Regular"/>
          <w:bCs/>
        </w:rPr>
      </w:pPr>
    </w:p>
    <w:tbl>
      <w:tblPr>
        <w:tblStyle w:val="Tabelraster"/>
        <w:tblW w:w="0" w:type="auto"/>
        <w:tblLook w:val="04A0" w:firstRow="1" w:lastRow="0" w:firstColumn="1" w:lastColumn="0" w:noHBand="0" w:noVBand="1"/>
      </w:tblPr>
      <w:tblGrid>
        <w:gridCol w:w="2303"/>
        <w:gridCol w:w="2303"/>
        <w:gridCol w:w="2303"/>
        <w:gridCol w:w="2303"/>
      </w:tblGrid>
      <w:tr w:rsidR="00EA73B9" w:rsidTr="00AA23FD">
        <w:tc>
          <w:tcPr>
            <w:tcW w:w="2303" w:type="dxa"/>
          </w:tcPr>
          <w:p w:rsidR="00EA73B9" w:rsidRDefault="00BA6CE3" w:rsidP="00200576">
            <w:pPr>
              <w:spacing w:after="60"/>
              <w:rPr>
                <w:rFonts w:ascii="FlandersArtSans-Regular" w:hAnsi="FlandersArtSans-Regular"/>
                <w:bCs/>
              </w:rPr>
            </w:pPr>
            <w:r>
              <w:rPr>
                <w:rFonts w:ascii="FlandersArtSans-Regular" w:hAnsi="FlandersArtSans-Regular"/>
                <w:bCs/>
              </w:rPr>
              <w:t>Startjaar</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IBO</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Opleidingsstages</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Opleiding in bedrijf</w:t>
            </w:r>
          </w:p>
        </w:tc>
      </w:tr>
      <w:tr w:rsidR="00EA73B9" w:rsidTr="00AA23FD">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2015</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1.600</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1.546</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45</w:t>
            </w:r>
          </w:p>
        </w:tc>
      </w:tr>
      <w:tr w:rsidR="00EA73B9" w:rsidTr="00AA23FD">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2016</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1.606</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1.446</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44</w:t>
            </w:r>
          </w:p>
        </w:tc>
      </w:tr>
      <w:tr w:rsidR="00EA73B9" w:rsidTr="00AA23FD">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Januari – juli 2017</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1.055</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786</w:t>
            </w:r>
          </w:p>
        </w:tc>
        <w:tc>
          <w:tcPr>
            <w:tcW w:w="2303" w:type="dxa"/>
          </w:tcPr>
          <w:p w:rsidR="00EA73B9" w:rsidRDefault="00EA73B9" w:rsidP="00200576">
            <w:pPr>
              <w:spacing w:after="60"/>
              <w:rPr>
                <w:rFonts w:ascii="FlandersArtSans-Regular" w:hAnsi="FlandersArtSans-Regular"/>
                <w:bCs/>
              </w:rPr>
            </w:pPr>
            <w:r>
              <w:rPr>
                <w:rFonts w:ascii="FlandersArtSans-Regular" w:hAnsi="FlandersArtSans-Regular"/>
                <w:bCs/>
              </w:rPr>
              <w:t>21</w:t>
            </w:r>
          </w:p>
        </w:tc>
      </w:tr>
    </w:tbl>
    <w:p w:rsidR="00EA73B9" w:rsidRDefault="00EA73B9" w:rsidP="00200576">
      <w:pPr>
        <w:spacing w:after="60" w:line="240" w:lineRule="auto"/>
        <w:rPr>
          <w:rFonts w:ascii="FlandersArtSans-Regular" w:hAnsi="FlandersArtSans-Regular"/>
          <w:bCs/>
        </w:rPr>
      </w:pPr>
    </w:p>
    <w:p w:rsidR="00843D3C" w:rsidRPr="006C74B0" w:rsidRDefault="00843D3C" w:rsidP="00843D3C">
      <w:pPr>
        <w:spacing w:after="60" w:line="240" w:lineRule="auto"/>
        <w:rPr>
          <w:rFonts w:ascii="FlandersArtSans-Regular" w:hAnsi="FlandersArtSans-Regular"/>
          <w:b/>
          <w:bCs/>
          <w:sz w:val="24"/>
          <w:szCs w:val="28"/>
        </w:rPr>
      </w:pPr>
      <w:r>
        <w:rPr>
          <w:rFonts w:ascii="FlandersArtSans-Regular" w:hAnsi="FlandersArtSans-Regular"/>
          <w:b/>
          <w:bCs/>
          <w:sz w:val="24"/>
          <w:szCs w:val="28"/>
        </w:rPr>
        <w:t>Tactische doelstelling 2</w:t>
      </w:r>
      <w:r w:rsidRPr="006C74B0">
        <w:rPr>
          <w:rFonts w:ascii="FlandersArtSans-Regular" w:hAnsi="FlandersArtSans-Regular"/>
          <w:b/>
          <w:bCs/>
          <w:sz w:val="24"/>
          <w:szCs w:val="28"/>
        </w:rPr>
        <w:t>.1</w:t>
      </w:r>
    </w:p>
    <w:p w:rsidR="00843D3C" w:rsidRDefault="00843D3C" w:rsidP="00843D3C">
      <w:pPr>
        <w:spacing w:after="60" w:line="240" w:lineRule="auto"/>
        <w:rPr>
          <w:rFonts w:ascii="FlandersArtSans-Regular" w:hAnsi="FlandersArtSans-Regular"/>
          <w:b/>
          <w:bCs/>
          <w:sz w:val="24"/>
          <w:szCs w:val="28"/>
        </w:rPr>
      </w:pPr>
      <w:r>
        <w:rPr>
          <w:rFonts w:ascii="FlandersArtSans-Regular" w:hAnsi="FlandersArtSans-Regular"/>
          <w:b/>
          <w:bCs/>
          <w:sz w:val="24"/>
          <w:szCs w:val="28"/>
        </w:rPr>
        <w:t>Bedrijven erkennen competenties</w:t>
      </w:r>
    </w:p>
    <w:p w:rsidR="00843D3C" w:rsidRPr="008D4399" w:rsidRDefault="00843D3C" w:rsidP="00200576">
      <w:pPr>
        <w:spacing w:after="60" w:line="240" w:lineRule="auto"/>
        <w:rPr>
          <w:rFonts w:ascii="FlandersArtSans-Regular" w:hAnsi="FlandersArtSans-Regular"/>
          <w:bCs/>
        </w:rPr>
      </w:pPr>
    </w:p>
    <w:p w:rsidR="008D4399" w:rsidRDefault="008D4399" w:rsidP="008D4399">
      <w:pPr>
        <w:spacing w:after="60" w:line="240" w:lineRule="auto"/>
        <w:rPr>
          <w:rFonts w:ascii="FlandersArtSans-Regular" w:hAnsi="FlandersArtSans-Regular"/>
          <w:b/>
          <w:bCs/>
        </w:rPr>
      </w:pPr>
      <w:r>
        <w:rPr>
          <w:rFonts w:ascii="FlandersArtSans-Regular" w:hAnsi="FlandersArtSans-Regular"/>
          <w:b/>
          <w:bCs/>
        </w:rPr>
        <w:t xml:space="preserve">Aantal technische screenings op de opleidings- en werkvloer bij anderstalige werkzoekenden met een </w:t>
      </w:r>
      <w:proofErr w:type="spellStart"/>
      <w:r>
        <w:rPr>
          <w:rFonts w:ascii="FlandersArtSans-Regular" w:hAnsi="FlandersArtSans-Regular"/>
          <w:b/>
          <w:bCs/>
        </w:rPr>
        <w:t>migratieachtegrond</w:t>
      </w:r>
      <w:proofErr w:type="spellEnd"/>
    </w:p>
    <w:p w:rsidR="00843D3C" w:rsidRDefault="00843D3C" w:rsidP="008D4399">
      <w:pPr>
        <w:spacing w:after="60" w:line="240" w:lineRule="auto"/>
        <w:rPr>
          <w:rFonts w:ascii="FlandersArtSans-Regular" w:hAnsi="FlandersArtSans-Regular"/>
          <w:bCs/>
        </w:rPr>
      </w:pPr>
      <w:r w:rsidRPr="00843D3C">
        <w:rPr>
          <w:rFonts w:ascii="FlandersArtSans-Regular" w:hAnsi="FlandersArtSans-Regular"/>
          <w:bCs/>
        </w:rPr>
        <w:t xml:space="preserve">Er </w:t>
      </w:r>
      <w:r>
        <w:rPr>
          <w:rFonts w:ascii="FlandersArtSans-Regular" w:hAnsi="FlandersArtSans-Regular"/>
          <w:bCs/>
        </w:rPr>
        <w:t>is geen sluitend zicht op het aantal technische screenings door diverse registratiemethodes (intern en extern). Enkel de technische screenings door VDAB kunnen sluitend in kaart worden gebracht. De technische screenings door partners zijn vervat in ‘andere screenings’ samen met de screenings uitgevoerd in de werkwinkel.</w:t>
      </w:r>
    </w:p>
    <w:p w:rsidR="00D301A9" w:rsidRDefault="00D301A9" w:rsidP="008D4399">
      <w:pPr>
        <w:spacing w:after="60" w:line="240" w:lineRule="auto"/>
        <w:rPr>
          <w:rFonts w:ascii="FlandersArtSans-Regular" w:hAnsi="FlandersArtSans-Regular"/>
          <w:bCs/>
        </w:rPr>
      </w:pPr>
      <w:r>
        <w:rPr>
          <w:rFonts w:ascii="FlandersArtSans-Regular" w:hAnsi="FlandersArtSans-Regular"/>
          <w:bCs/>
          <w:sz w:val="24"/>
          <w:szCs w:val="24"/>
        </w:rPr>
        <w:t>Deze data wordt zesmaandelijks gemaakt en kunnen we dus nog niet updaten t.o.v. de vorige kwartaalrapportering.</w:t>
      </w:r>
    </w:p>
    <w:p w:rsidR="00BA6CE3" w:rsidRDefault="00BA6CE3" w:rsidP="008D4399">
      <w:pPr>
        <w:spacing w:after="60" w:line="240" w:lineRule="auto"/>
        <w:rPr>
          <w:rFonts w:ascii="FlandersArtSans-Regular" w:hAnsi="FlandersArtSans-Regular"/>
          <w:bCs/>
        </w:rPr>
      </w:pPr>
    </w:p>
    <w:tbl>
      <w:tblPr>
        <w:tblStyle w:val="Tabelraster"/>
        <w:tblW w:w="0" w:type="auto"/>
        <w:tblLook w:val="04A0" w:firstRow="1" w:lastRow="0" w:firstColumn="1" w:lastColumn="0" w:noHBand="0" w:noVBand="1"/>
      </w:tblPr>
      <w:tblGrid>
        <w:gridCol w:w="2303"/>
        <w:gridCol w:w="3297"/>
        <w:gridCol w:w="3297"/>
      </w:tblGrid>
      <w:tr w:rsidR="00BA6CE3" w:rsidTr="00BA6CE3">
        <w:tc>
          <w:tcPr>
            <w:tcW w:w="2303" w:type="dxa"/>
          </w:tcPr>
          <w:p w:rsidR="00BA6CE3" w:rsidRDefault="00BA6CE3" w:rsidP="00AA23FD">
            <w:pPr>
              <w:spacing w:after="60"/>
              <w:rPr>
                <w:rFonts w:ascii="FlandersArtSans-Regular" w:hAnsi="FlandersArtSans-Regular"/>
                <w:bCs/>
              </w:rPr>
            </w:pPr>
            <w:r>
              <w:rPr>
                <w:rFonts w:ascii="FlandersArtSans-Regular" w:hAnsi="FlandersArtSans-Regular"/>
                <w:bCs/>
              </w:rPr>
              <w:t>Startjaar</w:t>
            </w:r>
          </w:p>
        </w:tc>
        <w:tc>
          <w:tcPr>
            <w:tcW w:w="3297" w:type="dxa"/>
          </w:tcPr>
          <w:p w:rsidR="00BA6CE3" w:rsidRDefault="00BA6CE3" w:rsidP="00AA23FD">
            <w:pPr>
              <w:spacing w:after="60"/>
              <w:rPr>
                <w:rFonts w:ascii="FlandersArtSans-Regular" w:hAnsi="FlandersArtSans-Regular"/>
                <w:bCs/>
              </w:rPr>
            </w:pPr>
            <w:r w:rsidRPr="00843D3C">
              <w:rPr>
                <w:rFonts w:ascii="FlandersArtSans-Regular" w:eastAsia="Times New Roman" w:hAnsi="FlandersArtSans-Regular" w:cs="Times New Roman"/>
                <w:color w:val="000000"/>
                <w:lang w:eastAsia="nl-BE"/>
              </w:rPr>
              <w:t>Aantal technische screenings in competentiecentra</w:t>
            </w:r>
          </w:p>
        </w:tc>
        <w:tc>
          <w:tcPr>
            <w:tcW w:w="3297" w:type="dxa"/>
          </w:tcPr>
          <w:p w:rsidR="00BA6CE3" w:rsidRDefault="00BA6CE3" w:rsidP="00AA23FD">
            <w:pPr>
              <w:spacing w:after="60"/>
              <w:rPr>
                <w:rFonts w:ascii="FlandersArtSans-Regular" w:hAnsi="FlandersArtSans-Regular"/>
                <w:bCs/>
              </w:rPr>
            </w:pPr>
            <w:r>
              <w:rPr>
                <w:rFonts w:ascii="FlandersArtSans-Regular" w:eastAsia="Times New Roman" w:hAnsi="FlandersArtSans-Regular" w:cs="Times New Roman"/>
                <w:color w:val="000000"/>
                <w:lang w:eastAsia="nl-BE"/>
              </w:rPr>
              <w:t>Aantal andere screenings</w:t>
            </w:r>
          </w:p>
        </w:tc>
      </w:tr>
      <w:tr w:rsidR="00BA6CE3" w:rsidTr="00BA6CE3">
        <w:tc>
          <w:tcPr>
            <w:tcW w:w="2303" w:type="dxa"/>
          </w:tcPr>
          <w:p w:rsidR="00BA6CE3" w:rsidRDefault="00BA6CE3" w:rsidP="00AA23FD">
            <w:pPr>
              <w:spacing w:after="60"/>
              <w:rPr>
                <w:rFonts w:ascii="FlandersArtSans-Regular" w:hAnsi="FlandersArtSans-Regular"/>
                <w:bCs/>
              </w:rPr>
            </w:pPr>
            <w:r>
              <w:rPr>
                <w:rFonts w:ascii="FlandersArtSans-Regular" w:hAnsi="FlandersArtSans-Regular"/>
                <w:bCs/>
              </w:rPr>
              <w:t>2015</w:t>
            </w:r>
          </w:p>
        </w:tc>
        <w:tc>
          <w:tcPr>
            <w:tcW w:w="3297" w:type="dxa"/>
          </w:tcPr>
          <w:p w:rsidR="00BA6CE3" w:rsidRDefault="00BA6CE3" w:rsidP="00AA23FD">
            <w:pPr>
              <w:spacing w:after="60"/>
              <w:rPr>
                <w:rFonts w:ascii="FlandersArtSans-Regular" w:hAnsi="FlandersArtSans-Regular"/>
                <w:bCs/>
              </w:rPr>
            </w:pPr>
            <w:r>
              <w:rPr>
                <w:rFonts w:ascii="FlandersArtSans-Regular" w:hAnsi="FlandersArtSans-Regular"/>
                <w:bCs/>
              </w:rPr>
              <w:t>453</w:t>
            </w:r>
          </w:p>
        </w:tc>
        <w:tc>
          <w:tcPr>
            <w:tcW w:w="3297" w:type="dxa"/>
          </w:tcPr>
          <w:p w:rsidR="00BA6CE3" w:rsidRDefault="00BA6CE3" w:rsidP="00AA23FD">
            <w:pPr>
              <w:spacing w:after="60"/>
              <w:rPr>
                <w:rFonts w:ascii="FlandersArtSans-Regular" w:hAnsi="FlandersArtSans-Regular"/>
                <w:bCs/>
              </w:rPr>
            </w:pPr>
            <w:r>
              <w:rPr>
                <w:rFonts w:ascii="FlandersArtSans-Regular" w:hAnsi="FlandersArtSans-Regular"/>
                <w:bCs/>
              </w:rPr>
              <w:t>6.843</w:t>
            </w:r>
          </w:p>
        </w:tc>
      </w:tr>
      <w:tr w:rsidR="00BA6CE3" w:rsidTr="00BA6CE3">
        <w:tc>
          <w:tcPr>
            <w:tcW w:w="2303" w:type="dxa"/>
          </w:tcPr>
          <w:p w:rsidR="00BA6CE3" w:rsidRDefault="00BA6CE3" w:rsidP="00AA23FD">
            <w:pPr>
              <w:spacing w:after="60"/>
              <w:rPr>
                <w:rFonts w:ascii="FlandersArtSans-Regular" w:hAnsi="FlandersArtSans-Regular"/>
                <w:bCs/>
              </w:rPr>
            </w:pPr>
            <w:r>
              <w:rPr>
                <w:rFonts w:ascii="FlandersArtSans-Regular" w:hAnsi="FlandersArtSans-Regular"/>
                <w:bCs/>
              </w:rPr>
              <w:t>2016</w:t>
            </w:r>
          </w:p>
        </w:tc>
        <w:tc>
          <w:tcPr>
            <w:tcW w:w="3297" w:type="dxa"/>
          </w:tcPr>
          <w:p w:rsidR="00BA6CE3" w:rsidRDefault="00BA6CE3" w:rsidP="00AA23FD">
            <w:pPr>
              <w:spacing w:after="60"/>
              <w:rPr>
                <w:rFonts w:ascii="FlandersArtSans-Regular" w:hAnsi="FlandersArtSans-Regular"/>
                <w:bCs/>
              </w:rPr>
            </w:pPr>
            <w:r>
              <w:rPr>
                <w:rFonts w:ascii="FlandersArtSans-Regular" w:hAnsi="FlandersArtSans-Regular"/>
                <w:bCs/>
              </w:rPr>
              <w:t>517</w:t>
            </w:r>
          </w:p>
        </w:tc>
        <w:tc>
          <w:tcPr>
            <w:tcW w:w="3297" w:type="dxa"/>
          </w:tcPr>
          <w:p w:rsidR="00BA6CE3" w:rsidRDefault="00BA6CE3" w:rsidP="00AA23FD">
            <w:pPr>
              <w:spacing w:after="60"/>
              <w:rPr>
                <w:rFonts w:ascii="FlandersArtSans-Regular" w:hAnsi="FlandersArtSans-Regular"/>
                <w:bCs/>
              </w:rPr>
            </w:pPr>
            <w:r>
              <w:rPr>
                <w:rFonts w:ascii="FlandersArtSans-Regular" w:hAnsi="FlandersArtSans-Regular"/>
                <w:bCs/>
              </w:rPr>
              <w:t>5.462</w:t>
            </w:r>
          </w:p>
        </w:tc>
      </w:tr>
      <w:tr w:rsidR="00BA6CE3" w:rsidTr="00BA6CE3">
        <w:tc>
          <w:tcPr>
            <w:tcW w:w="2303" w:type="dxa"/>
          </w:tcPr>
          <w:p w:rsidR="00BA6CE3" w:rsidRDefault="00BA6CE3" w:rsidP="00AA23FD">
            <w:pPr>
              <w:spacing w:after="60"/>
              <w:rPr>
                <w:rFonts w:ascii="FlandersArtSans-Regular" w:hAnsi="FlandersArtSans-Regular"/>
                <w:bCs/>
              </w:rPr>
            </w:pPr>
            <w:r>
              <w:rPr>
                <w:rFonts w:ascii="FlandersArtSans-Regular" w:hAnsi="FlandersArtSans-Regular"/>
                <w:bCs/>
              </w:rPr>
              <w:t>Januari – juli 2017</w:t>
            </w:r>
          </w:p>
        </w:tc>
        <w:tc>
          <w:tcPr>
            <w:tcW w:w="3297" w:type="dxa"/>
          </w:tcPr>
          <w:p w:rsidR="00BA6CE3" w:rsidRDefault="00BA6CE3" w:rsidP="00AA23FD">
            <w:pPr>
              <w:spacing w:after="60"/>
              <w:rPr>
                <w:rFonts w:ascii="FlandersArtSans-Regular" w:hAnsi="FlandersArtSans-Regular"/>
                <w:bCs/>
              </w:rPr>
            </w:pPr>
            <w:r>
              <w:rPr>
                <w:rFonts w:ascii="FlandersArtSans-Regular" w:hAnsi="FlandersArtSans-Regular"/>
                <w:bCs/>
              </w:rPr>
              <w:t>301</w:t>
            </w:r>
          </w:p>
        </w:tc>
        <w:tc>
          <w:tcPr>
            <w:tcW w:w="3297" w:type="dxa"/>
          </w:tcPr>
          <w:p w:rsidR="00BA6CE3" w:rsidRDefault="00BA6CE3" w:rsidP="00AA23FD">
            <w:pPr>
              <w:spacing w:after="60"/>
              <w:rPr>
                <w:rFonts w:ascii="FlandersArtSans-Regular" w:hAnsi="FlandersArtSans-Regular"/>
                <w:bCs/>
              </w:rPr>
            </w:pPr>
            <w:r>
              <w:rPr>
                <w:rFonts w:ascii="FlandersArtSans-Regular" w:hAnsi="FlandersArtSans-Regular"/>
                <w:bCs/>
              </w:rPr>
              <w:t>2.380</w:t>
            </w:r>
          </w:p>
        </w:tc>
      </w:tr>
    </w:tbl>
    <w:p w:rsidR="00BA6CE3" w:rsidRPr="00843D3C" w:rsidRDefault="00BA6CE3" w:rsidP="008D4399">
      <w:pPr>
        <w:spacing w:after="60" w:line="240" w:lineRule="auto"/>
        <w:rPr>
          <w:rFonts w:ascii="FlandersArtSans-Regular" w:hAnsi="FlandersArtSans-Regular"/>
          <w:bCs/>
        </w:rPr>
      </w:pPr>
    </w:p>
    <w:p w:rsidR="008D4399" w:rsidRPr="00FB16DD" w:rsidRDefault="008D4399" w:rsidP="00FB16DD"/>
    <w:p w:rsidR="00843D3C" w:rsidRPr="006C74B0" w:rsidRDefault="00843D3C" w:rsidP="00843D3C">
      <w:pPr>
        <w:spacing w:after="60" w:line="240" w:lineRule="auto"/>
        <w:rPr>
          <w:rFonts w:ascii="FlandersArtSans-Regular" w:hAnsi="FlandersArtSans-Regular"/>
          <w:b/>
          <w:bCs/>
          <w:sz w:val="24"/>
          <w:szCs w:val="28"/>
        </w:rPr>
      </w:pPr>
      <w:r>
        <w:rPr>
          <w:rFonts w:ascii="FlandersArtSans-Regular" w:hAnsi="FlandersArtSans-Regular"/>
          <w:b/>
          <w:bCs/>
          <w:sz w:val="24"/>
          <w:szCs w:val="28"/>
        </w:rPr>
        <w:t>Tactische doelstelling 2.2</w:t>
      </w:r>
    </w:p>
    <w:p w:rsidR="00843D3C" w:rsidRDefault="00843D3C" w:rsidP="00843D3C">
      <w:pPr>
        <w:spacing w:after="60" w:line="240" w:lineRule="auto"/>
        <w:rPr>
          <w:rFonts w:ascii="FlandersArtSans-Regular" w:hAnsi="FlandersArtSans-Regular"/>
          <w:b/>
          <w:bCs/>
          <w:sz w:val="24"/>
          <w:szCs w:val="28"/>
        </w:rPr>
      </w:pPr>
      <w:r>
        <w:rPr>
          <w:rFonts w:ascii="FlandersArtSans-Regular" w:hAnsi="FlandersArtSans-Regular"/>
          <w:b/>
          <w:bCs/>
          <w:sz w:val="24"/>
          <w:szCs w:val="28"/>
        </w:rPr>
        <w:t xml:space="preserve">We informeren werkgevers maximaal over de wetgeving en ondersteunen in mogelijkheden voor </w:t>
      </w:r>
      <w:r w:rsidR="0039267A">
        <w:rPr>
          <w:rFonts w:ascii="FlandersArtSans-Regular" w:hAnsi="FlandersArtSans-Regular"/>
          <w:b/>
          <w:bCs/>
          <w:sz w:val="24"/>
          <w:szCs w:val="28"/>
        </w:rPr>
        <w:t>tewerkstelling van anderstalige werkzoekenden met een migratieachtergrond.</w:t>
      </w:r>
    </w:p>
    <w:p w:rsidR="008D4399" w:rsidRPr="00200576" w:rsidRDefault="008D4399" w:rsidP="00200576">
      <w:pPr>
        <w:spacing w:after="60" w:line="240" w:lineRule="auto"/>
        <w:rPr>
          <w:rFonts w:ascii="FlandersArtSans-Regular" w:hAnsi="FlandersArtSans-Regular"/>
        </w:rPr>
      </w:pPr>
    </w:p>
    <w:p w:rsidR="00843D3C" w:rsidRDefault="00843D3C" w:rsidP="00843D3C">
      <w:pPr>
        <w:spacing w:after="60" w:line="240" w:lineRule="auto"/>
        <w:rPr>
          <w:rFonts w:ascii="FlandersArtSans-Regular" w:hAnsi="FlandersArtSans-Regular"/>
          <w:b/>
          <w:bCs/>
        </w:rPr>
      </w:pPr>
      <w:r>
        <w:rPr>
          <w:rFonts w:ascii="FlandersArtSans-Regular" w:hAnsi="FlandersArtSans-Regular"/>
          <w:b/>
          <w:bCs/>
        </w:rPr>
        <w:t>Aantal acties/campagnes op jaarbasis</w:t>
      </w:r>
    </w:p>
    <w:p w:rsidR="00333F7C" w:rsidRDefault="0039267A" w:rsidP="00843D3C">
      <w:pPr>
        <w:spacing w:after="60" w:line="240" w:lineRule="auto"/>
        <w:rPr>
          <w:rFonts w:ascii="FlandersArtSans-Regular" w:hAnsi="FlandersArtSans-Regular"/>
          <w:bCs/>
        </w:rPr>
      </w:pPr>
      <w:r>
        <w:rPr>
          <w:rFonts w:ascii="FlandersArtSans-Regular" w:hAnsi="FlandersArtSans-Regular"/>
          <w:bCs/>
        </w:rPr>
        <w:t xml:space="preserve">Pagina op </w:t>
      </w:r>
      <w:proofErr w:type="spellStart"/>
      <w:r>
        <w:rPr>
          <w:rFonts w:ascii="FlandersArtSans-Regular" w:hAnsi="FlandersArtSans-Regular"/>
          <w:bCs/>
        </w:rPr>
        <w:t>websiste</w:t>
      </w:r>
      <w:proofErr w:type="spellEnd"/>
      <w:r>
        <w:rPr>
          <w:rFonts w:ascii="FlandersArtSans-Regular" w:hAnsi="FlandersArtSans-Regular"/>
          <w:bCs/>
        </w:rPr>
        <w:t xml:space="preserve"> VDAB: </w:t>
      </w:r>
      <w:hyperlink r:id="rId16" w:history="1">
        <w:r w:rsidRPr="003A49E4">
          <w:rPr>
            <w:rStyle w:val="Hyperlink"/>
            <w:rFonts w:ascii="FlandersArtSans-Regular" w:hAnsi="FlandersArtSans-Regular"/>
            <w:bCs/>
          </w:rPr>
          <w:t>www.vdab.be/vluchtelingen</w:t>
        </w:r>
      </w:hyperlink>
    </w:p>
    <w:p w:rsidR="0039267A" w:rsidRDefault="0039267A" w:rsidP="00843D3C">
      <w:pPr>
        <w:spacing w:after="60" w:line="240" w:lineRule="auto"/>
        <w:rPr>
          <w:rFonts w:ascii="FlandersArtSans-Regular" w:hAnsi="FlandersArtSans-Regular"/>
          <w:bCs/>
        </w:rPr>
      </w:pPr>
      <w:r>
        <w:rPr>
          <w:rFonts w:ascii="FlandersArtSans-Regular" w:hAnsi="FlandersArtSans-Regular"/>
          <w:bCs/>
        </w:rPr>
        <w:t>Ondersteuning aan de VBO-gids voor werkgevers</w:t>
      </w:r>
    </w:p>
    <w:p w:rsidR="0039267A" w:rsidRPr="00333F7C" w:rsidRDefault="0039267A" w:rsidP="00843D3C">
      <w:pPr>
        <w:spacing w:after="60" w:line="240" w:lineRule="auto"/>
        <w:rPr>
          <w:rFonts w:ascii="FlandersArtSans-Regular" w:hAnsi="FlandersArtSans-Regular"/>
          <w:bCs/>
          <w:i/>
        </w:rPr>
      </w:pPr>
      <w:proofErr w:type="spellStart"/>
      <w:r>
        <w:rPr>
          <w:rFonts w:ascii="FlandersArtSans-Regular" w:hAnsi="FlandersArtSans-Regular"/>
          <w:bCs/>
        </w:rPr>
        <w:t>Jobdates</w:t>
      </w:r>
      <w:proofErr w:type="spellEnd"/>
      <w:r>
        <w:rPr>
          <w:rFonts w:ascii="FlandersArtSans-Regular" w:hAnsi="FlandersArtSans-Regular"/>
          <w:bCs/>
        </w:rPr>
        <w:t xml:space="preserve"> en </w:t>
      </w:r>
      <w:proofErr w:type="spellStart"/>
      <w:r>
        <w:rPr>
          <w:rFonts w:ascii="FlandersArtSans-Regular" w:hAnsi="FlandersArtSans-Regular"/>
          <w:bCs/>
        </w:rPr>
        <w:t>jobmatchings</w:t>
      </w:r>
      <w:proofErr w:type="spellEnd"/>
      <w:r>
        <w:rPr>
          <w:rFonts w:ascii="FlandersArtSans-Regular" w:hAnsi="FlandersArtSans-Regular"/>
          <w:bCs/>
        </w:rPr>
        <w:t xml:space="preserve"> voor anderstaligen: </w:t>
      </w:r>
      <w:r w:rsidRPr="00333F7C">
        <w:rPr>
          <w:rFonts w:ascii="FlandersArtSans-Regular" w:hAnsi="FlandersArtSans-Regular"/>
          <w:bCs/>
          <w:i/>
        </w:rPr>
        <w:t>wordt in kaart gebracht tegen kwartaalrapportage van december 2017.</w:t>
      </w:r>
    </w:p>
    <w:p w:rsidR="0039267A" w:rsidRDefault="0039267A" w:rsidP="00843D3C">
      <w:pPr>
        <w:spacing w:after="60" w:line="240" w:lineRule="auto"/>
        <w:rPr>
          <w:rFonts w:ascii="FlandersArtSans-Regular" w:hAnsi="FlandersArtSans-Regular"/>
          <w:bCs/>
        </w:rPr>
      </w:pPr>
      <w:r>
        <w:rPr>
          <w:rFonts w:ascii="FlandersArtSans-Regular" w:hAnsi="FlandersArtSans-Regular"/>
          <w:bCs/>
        </w:rPr>
        <w:t xml:space="preserve">Participatie Ronde tafel met werkgevers / Organisatie </w:t>
      </w:r>
      <w:r w:rsidR="00333F7C">
        <w:rPr>
          <w:rFonts w:ascii="FlandersArtSans-Regular" w:hAnsi="FlandersArtSans-Regular"/>
          <w:bCs/>
        </w:rPr>
        <w:t xml:space="preserve">IOM (Internationale organisatie voor migratie) – project </w:t>
      </w:r>
      <w:r>
        <w:rPr>
          <w:rFonts w:ascii="FlandersArtSans-Regular" w:hAnsi="FlandersArtSans-Regular"/>
          <w:bCs/>
        </w:rPr>
        <w:t xml:space="preserve">Skills2work: </w:t>
      </w:r>
      <w:r w:rsidR="00333F7C">
        <w:rPr>
          <w:rFonts w:ascii="FlandersArtSans-Regular" w:hAnsi="FlandersArtSans-Regular"/>
          <w:bCs/>
        </w:rPr>
        <w:t xml:space="preserve">Thema: </w:t>
      </w:r>
      <w:proofErr w:type="spellStart"/>
      <w:r w:rsidR="00333F7C">
        <w:rPr>
          <w:rFonts w:ascii="FlandersArtSans-Regular" w:hAnsi="FlandersArtSans-Regular"/>
          <w:bCs/>
        </w:rPr>
        <w:t>Good</w:t>
      </w:r>
      <w:proofErr w:type="spellEnd"/>
      <w:r w:rsidR="00333F7C">
        <w:rPr>
          <w:rFonts w:ascii="FlandersArtSans-Regular" w:hAnsi="FlandersArtSans-Regular"/>
          <w:bCs/>
        </w:rPr>
        <w:t xml:space="preserve"> </w:t>
      </w:r>
      <w:proofErr w:type="spellStart"/>
      <w:r w:rsidR="00333F7C">
        <w:rPr>
          <w:rFonts w:ascii="FlandersArtSans-Regular" w:hAnsi="FlandersArtSans-Regular"/>
          <w:bCs/>
        </w:rPr>
        <w:t>practices</w:t>
      </w:r>
      <w:proofErr w:type="spellEnd"/>
      <w:r w:rsidR="00333F7C">
        <w:rPr>
          <w:rFonts w:ascii="FlandersArtSans-Regular" w:hAnsi="FlandersArtSans-Regular"/>
          <w:bCs/>
        </w:rPr>
        <w:t xml:space="preserve"> en obstakels op de arbeidsmarkt.</w:t>
      </w:r>
    </w:p>
    <w:p w:rsidR="00333F7C" w:rsidRDefault="00333F7C" w:rsidP="00843D3C">
      <w:pPr>
        <w:spacing w:after="60" w:line="240" w:lineRule="auto"/>
        <w:rPr>
          <w:rFonts w:ascii="FlandersArtSans-Regular" w:hAnsi="FlandersArtSans-Regular"/>
          <w:bCs/>
        </w:rPr>
      </w:pPr>
      <w:r>
        <w:rPr>
          <w:rFonts w:ascii="FlandersArtSans-Regular" w:hAnsi="FlandersArtSans-Regular"/>
          <w:bCs/>
        </w:rPr>
        <w:t xml:space="preserve">Participatie in project met sociale economie en dienstensector (onder aansturing van de VBO-taskforce). Experiment in West-Vlaanderen en </w:t>
      </w:r>
      <w:proofErr w:type="spellStart"/>
      <w:r>
        <w:rPr>
          <w:rFonts w:ascii="FlandersArtSans-Regular" w:hAnsi="FlandersArtSans-Regular"/>
          <w:bCs/>
        </w:rPr>
        <w:t>antwerpen</w:t>
      </w:r>
      <w:proofErr w:type="spellEnd"/>
      <w:r>
        <w:rPr>
          <w:rFonts w:ascii="FlandersArtSans-Regular" w:hAnsi="FlandersArtSans-Regular"/>
          <w:bCs/>
        </w:rPr>
        <w:t>.</w:t>
      </w:r>
    </w:p>
    <w:p w:rsidR="00333F7C" w:rsidRDefault="00333F7C" w:rsidP="00843D3C">
      <w:pPr>
        <w:spacing w:after="60" w:line="240" w:lineRule="auto"/>
        <w:rPr>
          <w:rFonts w:ascii="FlandersArtSans-Regular" w:hAnsi="FlandersArtSans-Regular"/>
          <w:bCs/>
        </w:rPr>
      </w:pPr>
      <w:r>
        <w:rPr>
          <w:rFonts w:ascii="FlandersArtSans-Regular" w:hAnsi="FlandersArtSans-Regular"/>
          <w:bCs/>
        </w:rPr>
        <w:t xml:space="preserve">Participatie in een project met VIVO (): ‘Elk Talent telt’ </w:t>
      </w:r>
      <w:r w:rsidR="00C617B4">
        <w:rPr>
          <w:rFonts w:ascii="FlandersArtSans-Regular" w:hAnsi="FlandersArtSans-Regular"/>
          <w:bCs/>
        </w:rPr>
        <w:t>experiment met een instelling binnen de jeugdzorg. Toeleiding van anderstalige werkzoekenden met een migratieachtergrond naar werkplekleren op vacatures.</w:t>
      </w:r>
    </w:p>
    <w:p w:rsidR="00333F7C" w:rsidRDefault="00333F7C" w:rsidP="00843D3C">
      <w:pPr>
        <w:spacing w:after="60" w:line="240" w:lineRule="auto"/>
        <w:rPr>
          <w:rFonts w:ascii="FlandersArtSans-Regular" w:hAnsi="FlandersArtSans-Regular"/>
          <w:bCs/>
        </w:rPr>
      </w:pPr>
    </w:p>
    <w:p w:rsidR="00C25EBD" w:rsidRPr="00217F15" w:rsidRDefault="00C25EBD" w:rsidP="00217F15">
      <w:pPr>
        <w:spacing w:after="60" w:line="240" w:lineRule="auto"/>
        <w:rPr>
          <w:sz w:val="24"/>
          <w:szCs w:val="24"/>
        </w:rPr>
      </w:pPr>
    </w:p>
    <w:p w:rsidR="00843D3C" w:rsidRDefault="00843D3C" w:rsidP="00843D3C">
      <w:pPr>
        <w:spacing w:after="60" w:line="240" w:lineRule="auto"/>
        <w:rPr>
          <w:rFonts w:ascii="FlandersArtSans-Regular" w:hAnsi="FlandersArtSans-Regular"/>
          <w:b/>
          <w:bCs/>
        </w:rPr>
      </w:pPr>
      <w:r>
        <w:rPr>
          <w:rFonts w:ascii="FlandersArtSans-Regular" w:hAnsi="FlandersArtSans-Regular"/>
          <w:b/>
          <w:bCs/>
        </w:rPr>
        <w:t>Potentieel bereik van de acties/campagnes in indien mogelijk impactmeting</w:t>
      </w:r>
    </w:p>
    <w:p w:rsidR="00843D3C" w:rsidRPr="00C617B4" w:rsidRDefault="00333F7C" w:rsidP="00843D3C">
      <w:pPr>
        <w:spacing w:after="60" w:line="240" w:lineRule="auto"/>
        <w:rPr>
          <w:rFonts w:ascii="FlandersArtSans-Regular" w:hAnsi="FlandersArtSans-Regular"/>
          <w:bCs/>
          <w:i/>
        </w:rPr>
      </w:pPr>
      <w:r w:rsidRPr="00C617B4">
        <w:rPr>
          <w:rFonts w:ascii="FlandersArtSans-Regular" w:hAnsi="FlandersArtSans-Regular"/>
          <w:bCs/>
          <w:i/>
        </w:rPr>
        <w:t>Wordt in kaart gebracht tegen kwartaalrapportage van december 2017.</w:t>
      </w:r>
    </w:p>
    <w:p w:rsidR="003A57E5" w:rsidRDefault="003A57E5" w:rsidP="00200576">
      <w:pPr>
        <w:shd w:val="clear" w:color="auto" w:fill="FFFFFF" w:themeFill="background1"/>
        <w:spacing w:after="60" w:line="240" w:lineRule="auto"/>
        <w:jc w:val="both"/>
        <w:rPr>
          <w:sz w:val="24"/>
          <w:szCs w:val="24"/>
        </w:rPr>
      </w:pPr>
    </w:p>
    <w:p w:rsidR="00843D3C" w:rsidRDefault="00843D3C" w:rsidP="00843D3C">
      <w:pPr>
        <w:spacing w:after="60" w:line="240" w:lineRule="auto"/>
        <w:rPr>
          <w:rFonts w:ascii="FlandersArtSans-Regular" w:hAnsi="FlandersArtSans-Regular"/>
          <w:b/>
          <w:bCs/>
          <w:sz w:val="28"/>
          <w:szCs w:val="28"/>
        </w:rPr>
      </w:pPr>
      <w:r w:rsidRPr="00245425">
        <w:rPr>
          <w:rFonts w:ascii="FlandersArtSans-Regular" w:hAnsi="FlandersArtSans-Regular"/>
          <w:b/>
          <w:bCs/>
          <w:sz w:val="28"/>
          <w:szCs w:val="28"/>
        </w:rPr>
        <w:t xml:space="preserve">Strategische doelstelling </w:t>
      </w:r>
      <w:r>
        <w:rPr>
          <w:rFonts w:ascii="FlandersArtSans-Regular" w:hAnsi="FlandersArtSans-Regular"/>
          <w:b/>
          <w:bCs/>
          <w:sz w:val="28"/>
          <w:szCs w:val="28"/>
        </w:rPr>
        <w:t>3</w:t>
      </w:r>
    </w:p>
    <w:p w:rsidR="00843D3C" w:rsidRDefault="00843D3C" w:rsidP="00843D3C">
      <w:pPr>
        <w:spacing w:after="60" w:line="240" w:lineRule="auto"/>
        <w:rPr>
          <w:rFonts w:ascii="FlandersArtSans-Regular" w:hAnsi="FlandersArtSans-Regular"/>
          <w:b/>
          <w:bCs/>
          <w:sz w:val="28"/>
          <w:szCs w:val="28"/>
        </w:rPr>
      </w:pPr>
      <w:r>
        <w:rPr>
          <w:rFonts w:ascii="FlandersArtSans-Regular" w:hAnsi="FlandersArtSans-Regular"/>
          <w:b/>
          <w:bCs/>
          <w:sz w:val="28"/>
          <w:szCs w:val="28"/>
        </w:rPr>
        <w:t>We dragen bij tot een positieve maatschappelijke beeldvorming (t.a.v. personen met een migratieachtergrond)</w:t>
      </w:r>
    </w:p>
    <w:p w:rsidR="00843D3C" w:rsidRDefault="00843D3C" w:rsidP="00843D3C">
      <w:pPr>
        <w:spacing w:after="60" w:line="240" w:lineRule="auto"/>
        <w:rPr>
          <w:rFonts w:ascii="FlandersArtSans-Regular" w:hAnsi="FlandersArtSans-Regular"/>
          <w:b/>
          <w:bCs/>
        </w:rPr>
      </w:pPr>
    </w:p>
    <w:p w:rsidR="00843D3C" w:rsidRDefault="00843D3C" w:rsidP="00843D3C">
      <w:pPr>
        <w:spacing w:after="60" w:line="240" w:lineRule="auto"/>
        <w:rPr>
          <w:rFonts w:ascii="FlandersArtSans-Regular" w:hAnsi="FlandersArtSans-Regular"/>
          <w:b/>
          <w:bCs/>
        </w:rPr>
      </w:pPr>
      <w:r>
        <w:rPr>
          <w:rFonts w:ascii="FlandersArtSans-Regular" w:hAnsi="FlandersArtSans-Regular"/>
          <w:b/>
          <w:bCs/>
        </w:rPr>
        <w:t>Evolutie in de maatschappelijke beeldvorming</w:t>
      </w:r>
    </w:p>
    <w:p w:rsidR="00843D3C" w:rsidRPr="00333F7C" w:rsidRDefault="00843D3C" w:rsidP="00843D3C">
      <w:pPr>
        <w:spacing w:after="60" w:line="240" w:lineRule="auto"/>
        <w:rPr>
          <w:rFonts w:ascii="FlandersArtSans-Regular" w:hAnsi="FlandersArtSans-Regular"/>
          <w:bCs/>
          <w:i/>
        </w:rPr>
      </w:pPr>
      <w:r w:rsidRPr="00333F7C">
        <w:rPr>
          <w:rFonts w:ascii="FlandersArtSans-Regular" w:hAnsi="FlandersArtSans-Regular"/>
          <w:bCs/>
          <w:i/>
        </w:rPr>
        <w:t>Dit is te exploreren, en is ook opgenomen in het samenwerkingsovereenkomst met AII.</w:t>
      </w:r>
    </w:p>
    <w:p w:rsidR="00843D3C" w:rsidRDefault="00843D3C" w:rsidP="00843D3C">
      <w:pPr>
        <w:spacing w:after="60" w:line="240" w:lineRule="auto"/>
        <w:rPr>
          <w:rFonts w:ascii="FlandersArtSans-Regular" w:hAnsi="FlandersArtSans-Regular"/>
          <w:b/>
          <w:bCs/>
          <w:sz w:val="28"/>
          <w:szCs w:val="28"/>
        </w:rPr>
      </w:pPr>
    </w:p>
    <w:p w:rsidR="00843D3C" w:rsidRPr="006C74B0" w:rsidRDefault="00843D3C" w:rsidP="00843D3C">
      <w:pPr>
        <w:spacing w:after="60" w:line="240" w:lineRule="auto"/>
        <w:rPr>
          <w:rFonts w:ascii="FlandersArtSans-Regular" w:hAnsi="FlandersArtSans-Regular"/>
          <w:b/>
          <w:bCs/>
          <w:sz w:val="24"/>
          <w:szCs w:val="28"/>
        </w:rPr>
      </w:pPr>
      <w:r>
        <w:rPr>
          <w:rFonts w:ascii="FlandersArtSans-Regular" w:hAnsi="FlandersArtSans-Regular"/>
          <w:b/>
          <w:bCs/>
          <w:sz w:val="24"/>
          <w:szCs w:val="28"/>
        </w:rPr>
        <w:t>Tactische doelstelling 3.1.</w:t>
      </w:r>
    </w:p>
    <w:p w:rsidR="00843D3C" w:rsidRDefault="00843D3C" w:rsidP="00843D3C">
      <w:pPr>
        <w:spacing w:after="60" w:line="240" w:lineRule="auto"/>
        <w:rPr>
          <w:rFonts w:ascii="FlandersArtSans-Regular" w:hAnsi="FlandersArtSans-Regular"/>
          <w:b/>
          <w:bCs/>
          <w:sz w:val="24"/>
          <w:szCs w:val="28"/>
        </w:rPr>
      </w:pPr>
      <w:r>
        <w:rPr>
          <w:rFonts w:ascii="FlandersArtSans-Regular" w:hAnsi="FlandersArtSans-Regular"/>
          <w:b/>
          <w:bCs/>
          <w:sz w:val="24"/>
          <w:szCs w:val="28"/>
        </w:rPr>
        <w:t>Krachtdadige aanpak van discriminatie op de arbeidsmarkt</w:t>
      </w:r>
    </w:p>
    <w:p w:rsidR="00843D3C" w:rsidRDefault="00843D3C" w:rsidP="00843D3C">
      <w:pPr>
        <w:spacing w:after="60" w:line="240" w:lineRule="auto"/>
        <w:rPr>
          <w:rFonts w:ascii="FlandersArtSans-Regular" w:hAnsi="FlandersArtSans-Regular"/>
          <w:b/>
          <w:bCs/>
        </w:rPr>
      </w:pPr>
    </w:p>
    <w:p w:rsidR="00843D3C" w:rsidRDefault="00843D3C" w:rsidP="00843D3C">
      <w:pPr>
        <w:spacing w:after="60" w:line="240" w:lineRule="auto"/>
        <w:rPr>
          <w:rFonts w:ascii="FlandersArtSans-Regular" w:hAnsi="FlandersArtSans-Regular"/>
          <w:b/>
          <w:bCs/>
        </w:rPr>
      </w:pPr>
      <w:r>
        <w:rPr>
          <w:rFonts w:ascii="FlandersArtSans-Regular" w:hAnsi="FlandersArtSans-Regular"/>
          <w:b/>
          <w:bCs/>
        </w:rPr>
        <w:t>Aantal acties/campagnes op jaarbasis</w:t>
      </w:r>
    </w:p>
    <w:p w:rsidR="00843D3C" w:rsidRDefault="00333F7C" w:rsidP="00843D3C">
      <w:pPr>
        <w:spacing w:after="60" w:line="240" w:lineRule="auto"/>
        <w:rPr>
          <w:rFonts w:ascii="FlandersArtSans-Regular" w:hAnsi="FlandersArtSans-Regular"/>
          <w:bCs/>
        </w:rPr>
      </w:pPr>
      <w:r>
        <w:rPr>
          <w:rFonts w:ascii="FlandersArtSans-Regular" w:hAnsi="FlandersArtSans-Regular"/>
          <w:bCs/>
        </w:rPr>
        <w:t>Momenteel houden we het bij de reguliere klachtenprocedure van VDAB. Dit kan via de sectorale werkwinkel,  online of via de servicelijn.</w:t>
      </w:r>
    </w:p>
    <w:p w:rsidR="00333F7C" w:rsidRDefault="00333F7C" w:rsidP="00843D3C">
      <w:pPr>
        <w:spacing w:after="60" w:line="240" w:lineRule="auto"/>
        <w:rPr>
          <w:rFonts w:ascii="FlandersArtSans-Regular" w:hAnsi="FlandersArtSans-Regular"/>
          <w:bCs/>
        </w:rPr>
      </w:pPr>
      <w:r>
        <w:rPr>
          <w:rFonts w:ascii="FlandersArtSans-Regular" w:hAnsi="FlandersArtSans-Regular"/>
          <w:bCs/>
        </w:rPr>
        <w:t>Verder is er ook de opvolging van de vacatures.</w:t>
      </w:r>
    </w:p>
    <w:p w:rsidR="00C617B4" w:rsidRDefault="00C617B4" w:rsidP="00843D3C">
      <w:pPr>
        <w:spacing w:after="60" w:line="240" w:lineRule="auto"/>
        <w:rPr>
          <w:rFonts w:ascii="FlandersArtSans-Regular" w:hAnsi="FlandersArtSans-Regular"/>
          <w:bCs/>
        </w:rPr>
      </w:pPr>
      <w:r>
        <w:rPr>
          <w:rFonts w:ascii="FlandersArtSans-Regular" w:hAnsi="FlandersArtSans-Regular"/>
          <w:bCs/>
        </w:rPr>
        <w:t>We onderzoeken de mogelijkheid tot ee</w:t>
      </w:r>
      <w:r w:rsidR="000240FD">
        <w:rPr>
          <w:rFonts w:ascii="FlandersArtSans-Regular" w:hAnsi="FlandersArtSans-Regular"/>
          <w:bCs/>
        </w:rPr>
        <w:t>n</w:t>
      </w:r>
      <w:r>
        <w:rPr>
          <w:rFonts w:ascii="FlandersArtSans-Regular" w:hAnsi="FlandersArtSans-Regular"/>
          <w:bCs/>
        </w:rPr>
        <w:t xml:space="preserve"> partnerplatform, waar signalen kunnen gebundeld worden.</w:t>
      </w:r>
    </w:p>
    <w:p w:rsidR="00843D3C" w:rsidRPr="00217F15" w:rsidRDefault="00843D3C" w:rsidP="00843D3C">
      <w:pPr>
        <w:spacing w:after="60" w:line="240" w:lineRule="auto"/>
        <w:rPr>
          <w:sz w:val="24"/>
          <w:szCs w:val="24"/>
        </w:rPr>
      </w:pPr>
    </w:p>
    <w:p w:rsidR="00843D3C" w:rsidRDefault="00843D3C" w:rsidP="00843D3C">
      <w:pPr>
        <w:spacing w:after="60" w:line="240" w:lineRule="auto"/>
        <w:rPr>
          <w:rFonts w:ascii="FlandersArtSans-Regular" w:hAnsi="FlandersArtSans-Regular"/>
          <w:b/>
          <w:bCs/>
        </w:rPr>
      </w:pPr>
      <w:r>
        <w:rPr>
          <w:rFonts w:ascii="FlandersArtSans-Regular" w:hAnsi="FlandersArtSans-Regular"/>
          <w:b/>
          <w:bCs/>
        </w:rPr>
        <w:t>Potentieel bereik van de acties/campagnes in indien mogelijk impactmeting</w:t>
      </w:r>
    </w:p>
    <w:p w:rsidR="00C617B4" w:rsidRPr="00C617B4" w:rsidRDefault="00C617B4" w:rsidP="00843D3C">
      <w:pPr>
        <w:spacing w:after="60" w:line="240" w:lineRule="auto"/>
        <w:rPr>
          <w:rFonts w:ascii="FlandersArtSans-Regular" w:hAnsi="FlandersArtSans-Regular"/>
          <w:bCs/>
          <w:i/>
        </w:rPr>
      </w:pPr>
      <w:r w:rsidRPr="00C617B4">
        <w:rPr>
          <w:rFonts w:ascii="FlandersArtSans-Regular" w:hAnsi="FlandersArtSans-Regular"/>
          <w:bCs/>
          <w:i/>
        </w:rPr>
        <w:t>Operaties zijn hier nog in ontwikkeling; Deadline Eerste kwartaal 2018.</w:t>
      </w:r>
    </w:p>
    <w:p w:rsidR="00843D3C" w:rsidRDefault="00843D3C" w:rsidP="00843D3C">
      <w:pPr>
        <w:spacing w:after="60" w:line="240" w:lineRule="auto"/>
        <w:rPr>
          <w:rFonts w:ascii="FlandersArtSans-Regular" w:hAnsi="FlandersArtSans-Regular"/>
          <w:bCs/>
        </w:rPr>
      </w:pPr>
    </w:p>
    <w:p w:rsidR="00843D3C" w:rsidRDefault="00843D3C" w:rsidP="00843D3C">
      <w:pPr>
        <w:shd w:val="clear" w:color="auto" w:fill="FFFFFF" w:themeFill="background1"/>
        <w:spacing w:after="60" w:line="240" w:lineRule="auto"/>
        <w:jc w:val="both"/>
        <w:rPr>
          <w:sz w:val="24"/>
          <w:szCs w:val="24"/>
        </w:rPr>
      </w:pPr>
    </w:p>
    <w:p w:rsidR="00843D3C" w:rsidRPr="006C74B0" w:rsidRDefault="00843D3C" w:rsidP="00843D3C">
      <w:pPr>
        <w:spacing w:after="60" w:line="240" w:lineRule="auto"/>
        <w:rPr>
          <w:rFonts w:ascii="FlandersArtSans-Regular" w:hAnsi="FlandersArtSans-Regular"/>
          <w:b/>
          <w:bCs/>
          <w:sz w:val="24"/>
          <w:szCs w:val="28"/>
        </w:rPr>
      </w:pPr>
      <w:r>
        <w:rPr>
          <w:rFonts w:ascii="FlandersArtSans-Regular" w:hAnsi="FlandersArtSans-Regular"/>
          <w:b/>
          <w:bCs/>
          <w:sz w:val="24"/>
          <w:szCs w:val="28"/>
        </w:rPr>
        <w:t>Tactische doelstelling 3.2.</w:t>
      </w:r>
    </w:p>
    <w:p w:rsidR="00843D3C" w:rsidRDefault="004C70B2" w:rsidP="00843D3C">
      <w:pPr>
        <w:spacing w:after="60" w:line="240" w:lineRule="auto"/>
        <w:rPr>
          <w:rFonts w:ascii="FlandersArtSans-Regular" w:hAnsi="FlandersArtSans-Regular"/>
          <w:b/>
          <w:bCs/>
          <w:sz w:val="24"/>
          <w:szCs w:val="28"/>
        </w:rPr>
      </w:pPr>
      <w:r>
        <w:rPr>
          <w:rFonts w:ascii="FlandersArtSans-Regular" w:hAnsi="FlandersArtSans-Regular"/>
          <w:b/>
          <w:bCs/>
          <w:sz w:val="24"/>
          <w:szCs w:val="28"/>
        </w:rPr>
        <w:t>We investeren in een breed draagblad binnen heel de samenleving</w:t>
      </w:r>
    </w:p>
    <w:p w:rsidR="004C70B2" w:rsidRDefault="004C70B2" w:rsidP="00843D3C">
      <w:pPr>
        <w:spacing w:after="60" w:line="240" w:lineRule="auto"/>
        <w:rPr>
          <w:rFonts w:ascii="FlandersArtSans-Regular" w:hAnsi="FlandersArtSans-Regular"/>
          <w:b/>
          <w:bCs/>
          <w:sz w:val="24"/>
          <w:szCs w:val="28"/>
        </w:rPr>
      </w:pPr>
    </w:p>
    <w:p w:rsidR="004C70B2" w:rsidRPr="00D03306" w:rsidRDefault="004C70B2" w:rsidP="00843D3C">
      <w:pPr>
        <w:spacing w:after="60" w:line="240" w:lineRule="auto"/>
        <w:rPr>
          <w:rFonts w:ascii="FlandersArtSans-Regular" w:hAnsi="FlandersArtSans-Regular"/>
          <w:b/>
          <w:bCs/>
        </w:rPr>
      </w:pPr>
      <w:r w:rsidRPr="00D03306">
        <w:rPr>
          <w:rFonts w:ascii="FlandersArtSans-Regular" w:hAnsi="FlandersArtSans-Regular"/>
          <w:b/>
          <w:bCs/>
        </w:rPr>
        <w:t xml:space="preserve">Aantal acties </w:t>
      </w:r>
      <w:proofErr w:type="spellStart"/>
      <w:r w:rsidRPr="00D03306">
        <w:rPr>
          <w:rFonts w:ascii="FlandersArtSans-Regular" w:hAnsi="FlandersArtSans-Regular"/>
          <w:b/>
          <w:bCs/>
        </w:rPr>
        <w:t>mentoring</w:t>
      </w:r>
      <w:proofErr w:type="spellEnd"/>
      <w:r w:rsidRPr="00D03306">
        <w:rPr>
          <w:rFonts w:ascii="FlandersArtSans-Regular" w:hAnsi="FlandersArtSans-Regular"/>
          <w:b/>
          <w:bCs/>
        </w:rPr>
        <w:t xml:space="preserve"> anderstalige werkzoekenden met een migratieachtergrond</w:t>
      </w:r>
    </w:p>
    <w:p w:rsidR="00D03306" w:rsidRDefault="00FB16DD" w:rsidP="00843D3C">
      <w:pPr>
        <w:spacing w:after="60" w:line="240" w:lineRule="auto"/>
        <w:rPr>
          <w:rFonts w:ascii="FlandersArtSans-Regular" w:hAnsi="FlandersArtSans-Regular"/>
          <w:bCs/>
        </w:rPr>
      </w:pPr>
      <w:proofErr w:type="spellStart"/>
      <w:r>
        <w:rPr>
          <w:rFonts w:ascii="FlandersArtSans-Regular" w:hAnsi="FlandersArtSans-Regular"/>
          <w:bCs/>
        </w:rPr>
        <w:t>Mentoring</w:t>
      </w:r>
      <w:proofErr w:type="spellEnd"/>
      <w:r>
        <w:rPr>
          <w:rFonts w:ascii="FlandersArtSans-Regular" w:hAnsi="FlandersArtSans-Regular"/>
          <w:bCs/>
        </w:rPr>
        <w:t xml:space="preserve"> is in het AMIF-project voor het eerst toegepast. Van de 564 deelnemers in het AMIF-project sinds de opstart tot juni 2017 hebben </w:t>
      </w:r>
      <w:r w:rsidRPr="00FB16DD">
        <w:rPr>
          <w:rFonts w:ascii="FlandersArtSans-Regular" w:hAnsi="FlandersArtSans-Regular"/>
          <w:b/>
          <w:bCs/>
        </w:rPr>
        <w:t>100 anderstalige</w:t>
      </w:r>
      <w:r>
        <w:rPr>
          <w:rFonts w:ascii="FlandersArtSans-Regular" w:hAnsi="FlandersArtSans-Regular"/>
          <w:b/>
          <w:bCs/>
        </w:rPr>
        <w:t xml:space="preserve"> werkzoekenden</w:t>
      </w:r>
      <w:r>
        <w:rPr>
          <w:rFonts w:ascii="FlandersArtSans-Regular" w:hAnsi="FlandersArtSans-Regular"/>
          <w:bCs/>
        </w:rPr>
        <w:t xml:space="preserve"> een </w:t>
      </w:r>
      <w:proofErr w:type="spellStart"/>
      <w:r>
        <w:rPr>
          <w:rFonts w:ascii="FlandersArtSans-Regular" w:hAnsi="FlandersArtSans-Regular"/>
          <w:bCs/>
        </w:rPr>
        <w:t>mentoringactie</w:t>
      </w:r>
      <w:proofErr w:type="spellEnd"/>
      <w:r>
        <w:rPr>
          <w:rFonts w:ascii="FlandersArtSans-Regular" w:hAnsi="FlandersArtSans-Regular"/>
          <w:bCs/>
        </w:rPr>
        <w:t xml:space="preserve"> gekregen.</w:t>
      </w:r>
    </w:p>
    <w:p w:rsidR="00D03306" w:rsidRPr="00266BC8" w:rsidRDefault="00D03306" w:rsidP="00843D3C">
      <w:pPr>
        <w:spacing w:after="60" w:line="240" w:lineRule="auto"/>
        <w:rPr>
          <w:rFonts w:ascii="FlandersArtSans-Regular" w:hAnsi="FlandersArtSans-Regular"/>
          <w:bCs/>
        </w:rPr>
      </w:pPr>
    </w:p>
    <w:p w:rsidR="00D03306" w:rsidRDefault="00D03306">
      <w:pPr>
        <w:rPr>
          <w:rFonts w:ascii="FlandersArtSans-Regular" w:hAnsi="FlandersArtSans-Regular"/>
          <w:b/>
          <w:bCs/>
          <w:sz w:val="28"/>
          <w:szCs w:val="28"/>
        </w:rPr>
      </w:pPr>
      <w:r>
        <w:rPr>
          <w:rFonts w:ascii="FlandersArtSans-Regular" w:hAnsi="FlandersArtSans-Regular"/>
          <w:b/>
          <w:bCs/>
          <w:sz w:val="28"/>
          <w:szCs w:val="28"/>
        </w:rPr>
        <w:br w:type="page"/>
      </w:r>
    </w:p>
    <w:p w:rsidR="00D03306" w:rsidRDefault="00D03306" w:rsidP="00D03306">
      <w:pPr>
        <w:spacing w:after="60" w:line="240" w:lineRule="auto"/>
        <w:rPr>
          <w:rFonts w:ascii="FlandersArtSans-Regular" w:hAnsi="FlandersArtSans-Regular"/>
          <w:b/>
          <w:bCs/>
          <w:sz w:val="28"/>
          <w:szCs w:val="28"/>
        </w:rPr>
      </w:pPr>
      <w:r w:rsidRPr="00245425">
        <w:rPr>
          <w:rFonts w:ascii="FlandersArtSans-Regular" w:hAnsi="FlandersArtSans-Regular"/>
          <w:b/>
          <w:bCs/>
          <w:sz w:val="28"/>
          <w:szCs w:val="28"/>
        </w:rPr>
        <w:t xml:space="preserve">Strategische doelstelling </w:t>
      </w:r>
      <w:r>
        <w:rPr>
          <w:rFonts w:ascii="FlandersArtSans-Regular" w:hAnsi="FlandersArtSans-Regular"/>
          <w:b/>
          <w:bCs/>
          <w:sz w:val="28"/>
          <w:szCs w:val="28"/>
        </w:rPr>
        <w:t>4</w:t>
      </w:r>
    </w:p>
    <w:p w:rsidR="00D03306" w:rsidRDefault="00D03306" w:rsidP="00D03306">
      <w:pPr>
        <w:spacing w:after="60" w:line="240" w:lineRule="auto"/>
        <w:rPr>
          <w:rFonts w:ascii="FlandersArtSans-Regular" w:hAnsi="FlandersArtSans-Regular"/>
          <w:b/>
          <w:bCs/>
          <w:sz w:val="28"/>
          <w:szCs w:val="28"/>
        </w:rPr>
      </w:pPr>
      <w:r>
        <w:rPr>
          <w:rFonts w:ascii="FlandersArtSans-Regular" w:hAnsi="FlandersArtSans-Regular"/>
          <w:b/>
          <w:bCs/>
          <w:sz w:val="28"/>
          <w:szCs w:val="28"/>
        </w:rPr>
        <w:t>De gemeenschappelijke klantprocessen zijn optimaal klantgericht</w:t>
      </w:r>
    </w:p>
    <w:p w:rsidR="00D03306" w:rsidRDefault="00D03306" w:rsidP="00D03306">
      <w:pPr>
        <w:spacing w:after="60" w:line="240" w:lineRule="auto"/>
        <w:rPr>
          <w:rFonts w:ascii="FlandersArtSans-Regular" w:hAnsi="FlandersArtSans-Regular"/>
          <w:b/>
          <w:bCs/>
          <w:sz w:val="28"/>
          <w:szCs w:val="28"/>
        </w:rPr>
      </w:pPr>
    </w:p>
    <w:p w:rsidR="00D03306" w:rsidRPr="006C74B0" w:rsidRDefault="00D03306" w:rsidP="00D03306">
      <w:pPr>
        <w:spacing w:after="60" w:line="240" w:lineRule="auto"/>
        <w:rPr>
          <w:rFonts w:ascii="FlandersArtSans-Regular" w:hAnsi="FlandersArtSans-Regular"/>
          <w:b/>
          <w:bCs/>
          <w:sz w:val="24"/>
          <w:szCs w:val="28"/>
        </w:rPr>
      </w:pPr>
      <w:r>
        <w:rPr>
          <w:rFonts w:ascii="FlandersArtSans-Regular" w:hAnsi="FlandersArtSans-Regular"/>
          <w:b/>
          <w:bCs/>
          <w:sz w:val="24"/>
          <w:szCs w:val="28"/>
        </w:rPr>
        <w:t>Tactische doelstelling 4.1.</w:t>
      </w:r>
    </w:p>
    <w:p w:rsidR="00D03306" w:rsidRDefault="00D03306" w:rsidP="00D03306">
      <w:pPr>
        <w:spacing w:after="60" w:line="240" w:lineRule="auto"/>
        <w:rPr>
          <w:rFonts w:ascii="FlandersArtSans-Regular" w:hAnsi="FlandersArtSans-Regular"/>
          <w:b/>
          <w:bCs/>
          <w:sz w:val="24"/>
          <w:szCs w:val="28"/>
        </w:rPr>
      </w:pPr>
      <w:r>
        <w:rPr>
          <w:rFonts w:ascii="FlandersArtSans-Regular" w:hAnsi="FlandersArtSans-Regular"/>
          <w:b/>
          <w:bCs/>
          <w:sz w:val="24"/>
          <w:szCs w:val="28"/>
        </w:rPr>
        <w:t>Er is een gecoördineerde en gestructureerde aanpak over beleidsdomeinen en –niveaus heen, dat zich vertaalt in sterke partnerschappen op het terrein</w:t>
      </w:r>
    </w:p>
    <w:p w:rsidR="00D03306" w:rsidRDefault="00D03306" w:rsidP="00D03306">
      <w:pPr>
        <w:spacing w:after="60" w:line="240" w:lineRule="auto"/>
        <w:rPr>
          <w:rFonts w:ascii="FlandersArtSans-Regular" w:hAnsi="FlandersArtSans-Regular"/>
          <w:b/>
          <w:bCs/>
          <w:sz w:val="24"/>
          <w:szCs w:val="28"/>
        </w:rPr>
      </w:pPr>
    </w:p>
    <w:p w:rsidR="00D03306" w:rsidRPr="00F90868" w:rsidRDefault="00D03306" w:rsidP="00D03306">
      <w:pPr>
        <w:spacing w:after="60" w:line="240" w:lineRule="auto"/>
        <w:rPr>
          <w:rFonts w:ascii="FlandersArtSans-Regular" w:hAnsi="FlandersArtSans-Regular"/>
          <w:b/>
          <w:bCs/>
        </w:rPr>
      </w:pPr>
      <w:r w:rsidRPr="00D03306">
        <w:rPr>
          <w:rFonts w:ascii="FlandersArtSans-Regular" w:hAnsi="FlandersArtSans-Regular"/>
          <w:b/>
          <w:bCs/>
        </w:rPr>
        <w:t>Realisatie van de samenwerkingsovereenkomsten</w:t>
      </w:r>
    </w:p>
    <w:p w:rsidR="00D03306" w:rsidRDefault="00D03306" w:rsidP="00D03306">
      <w:pPr>
        <w:spacing w:after="60" w:line="240" w:lineRule="auto"/>
        <w:rPr>
          <w:rFonts w:ascii="FlandersArtSans-Regular" w:hAnsi="FlandersArtSans-Regular"/>
          <w:b/>
          <w:bCs/>
          <w:sz w:val="24"/>
          <w:szCs w:val="28"/>
        </w:rPr>
      </w:pPr>
    </w:p>
    <w:p w:rsidR="00433A4F" w:rsidRDefault="00D03306" w:rsidP="00433A4F">
      <w:pPr>
        <w:spacing w:after="60" w:line="240" w:lineRule="auto"/>
        <w:jc w:val="both"/>
        <w:rPr>
          <w:rFonts w:ascii="FlandersArtSans-Regular" w:hAnsi="FlandersArtSans-Regular"/>
          <w:bCs/>
          <w:sz w:val="24"/>
          <w:szCs w:val="28"/>
        </w:rPr>
      </w:pPr>
      <w:r>
        <w:rPr>
          <w:rFonts w:ascii="FlandersArtSans-Regular" w:hAnsi="FlandersArtSans-Regular"/>
          <w:bCs/>
          <w:sz w:val="24"/>
          <w:szCs w:val="28"/>
        </w:rPr>
        <w:t xml:space="preserve">Wat betreft het samenwerkingsovereenkomst is een werkgroep monitoring opgestart die over de gezamenlijke doelstellingen cijfermatig zal rapporteren. AII en VDAB </w:t>
      </w:r>
      <w:r w:rsidR="003F3657">
        <w:rPr>
          <w:rFonts w:ascii="FlandersArtSans-Regular" w:hAnsi="FlandersArtSans-Regular"/>
          <w:bCs/>
          <w:sz w:val="24"/>
          <w:szCs w:val="28"/>
        </w:rPr>
        <w:t xml:space="preserve">hebben hiertoe een </w:t>
      </w:r>
      <w:r>
        <w:rPr>
          <w:rFonts w:ascii="FlandersArtSans-Regular" w:hAnsi="FlandersArtSans-Regular"/>
          <w:bCs/>
          <w:sz w:val="24"/>
          <w:szCs w:val="28"/>
        </w:rPr>
        <w:t xml:space="preserve">dataset </w:t>
      </w:r>
      <w:r w:rsidR="003F3657">
        <w:rPr>
          <w:rFonts w:ascii="FlandersArtSans-Regular" w:hAnsi="FlandersArtSans-Regular"/>
          <w:bCs/>
          <w:sz w:val="24"/>
          <w:szCs w:val="28"/>
        </w:rPr>
        <w:t>gemaakt</w:t>
      </w:r>
      <w:r>
        <w:rPr>
          <w:rFonts w:ascii="FlandersArtSans-Regular" w:hAnsi="FlandersArtSans-Regular"/>
          <w:bCs/>
          <w:sz w:val="24"/>
          <w:szCs w:val="28"/>
        </w:rPr>
        <w:t xml:space="preserve"> met de gemeenschappelijke klanten en hun dienstverlening</w:t>
      </w:r>
      <w:r w:rsidR="003F3657">
        <w:rPr>
          <w:rFonts w:ascii="FlandersArtSans-Regular" w:hAnsi="FlandersArtSans-Regular"/>
          <w:bCs/>
          <w:sz w:val="24"/>
          <w:szCs w:val="28"/>
        </w:rPr>
        <w:t xml:space="preserve"> bij zowel AII als VDAB. </w:t>
      </w:r>
    </w:p>
    <w:p w:rsidR="00433A4F" w:rsidRDefault="003F3657" w:rsidP="00433A4F">
      <w:pPr>
        <w:spacing w:after="60" w:line="240" w:lineRule="auto"/>
        <w:jc w:val="both"/>
        <w:rPr>
          <w:rFonts w:ascii="FlandersArtSans-Regular" w:hAnsi="FlandersArtSans-Regular"/>
          <w:bCs/>
          <w:sz w:val="24"/>
          <w:szCs w:val="28"/>
        </w:rPr>
      </w:pPr>
      <w:r>
        <w:rPr>
          <w:rFonts w:ascii="FlandersArtSans-Regular" w:hAnsi="FlandersArtSans-Regular"/>
          <w:bCs/>
          <w:sz w:val="24"/>
          <w:szCs w:val="28"/>
        </w:rPr>
        <w:t xml:space="preserve">De </w:t>
      </w:r>
      <w:r w:rsidR="00433A4F">
        <w:rPr>
          <w:rFonts w:ascii="FlandersArtSans-Regular" w:hAnsi="FlandersArtSans-Regular"/>
          <w:bCs/>
          <w:sz w:val="24"/>
          <w:szCs w:val="28"/>
        </w:rPr>
        <w:t xml:space="preserve">eerste </w:t>
      </w:r>
      <w:r>
        <w:rPr>
          <w:rFonts w:ascii="FlandersArtSans-Regular" w:hAnsi="FlandersArtSans-Regular"/>
          <w:bCs/>
          <w:sz w:val="24"/>
          <w:szCs w:val="28"/>
        </w:rPr>
        <w:t>resultaten van de procesanalyse</w:t>
      </w:r>
      <w:r w:rsidR="00433A4F">
        <w:rPr>
          <w:rFonts w:ascii="FlandersArtSans-Regular" w:hAnsi="FlandersArtSans-Regular"/>
          <w:bCs/>
          <w:sz w:val="24"/>
          <w:szCs w:val="28"/>
        </w:rPr>
        <w:t xml:space="preserve"> zijn besproken binnen de werkgroep. We kwamen tot de constatatie dat de potentiële gemeenschappelijke groep groter is dan de inburgeraars die een professioneel perspectief kregen. Daarom werd besloten om de scope te verruimen </w:t>
      </w:r>
      <w:r w:rsidR="00433A4F" w:rsidRPr="00433A4F">
        <w:rPr>
          <w:rFonts w:ascii="FlandersArtSans-Regular" w:hAnsi="FlandersArtSans-Regular"/>
          <w:bCs/>
          <w:sz w:val="24"/>
          <w:szCs w:val="28"/>
        </w:rPr>
        <w:t xml:space="preserve">nl. alle personen die in 2015 of 2016 klant geworden zijn in KBI (inburgering en/of NT2). Deze scope werd goedgekeurd op het strategisch overlegplatform van 31 augustus. </w:t>
      </w:r>
    </w:p>
    <w:p w:rsidR="00433A4F" w:rsidRDefault="00433A4F" w:rsidP="00433A4F">
      <w:pPr>
        <w:spacing w:after="60" w:line="240" w:lineRule="auto"/>
        <w:jc w:val="both"/>
        <w:rPr>
          <w:rFonts w:ascii="FlandersArtSans-Regular" w:hAnsi="FlandersArtSans-Regular"/>
          <w:bCs/>
          <w:sz w:val="24"/>
          <w:szCs w:val="28"/>
        </w:rPr>
      </w:pPr>
      <w:r w:rsidRPr="00433A4F">
        <w:rPr>
          <w:rFonts w:ascii="FlandersArtSans-Regular" w:hAnsi="FlandersArtSans-Regular"/>
          <w:bCs/>
          <w:sz w:val="24"/>
          <w:szCs w:val="28"/>
        </w:rPr>
        <w:t xml:space="preserve">We merken intussen dat er heel wat klanten zijn met een ander perspectief die ook bij VDAB gekend zijn, de verruiming was dus terecht. </w:t>
      </w:r>
      <w:r>
        <w:rPr>
          <w:rFonts w:ascii="FlandersArtSans-Regular" w:hAnsi="FlandersArtSans-Regular"/>
          <w:bCs/>
          <w:sz w:val="24"/>
          <w:szCs w:val="28"/>
        </w:rPr>
        <w:t>Een herwerking van de procesanalyse is nu bezig om begin december opnieuw te bespreken met zowel technische als inhoudelijke experten van VDAB en AII. De resultaten zullen dus pas vanaf een volgende kwartaalrapportering beschikbaar zijn.</w:t>
      </w:r>
    </w:p>
    <w:p w:rsidR="00433A4F" w:rsidRDefault="00433A4F" w:rsidP="00433A4F">
      <w:pPr>
        <w:spacing w:after="60" w:line="240" w:lineRule="auto"/>
        <w:rPr>
          <w:rFonts w:ascii="FlandersArtSans-Regular" w:hAnsi="FlandersArtSans-Regular"/>
          <w:bCs/>
          <w:sz w:val="24"/>
          <w:szCs w:val="28"/>
        </w:rPr>
      </w:pPr>
    </w:p>
    <w:p w:rsidR="00F90868" w:rsidRDefault="00F90868" w:rsidP="00D03306">
      <w:pPr>
        <w:spacing w:after="60" w:line="240" w:lineRule="auto"/>
        <w:rPr>
          <w:rFonts w:ascii="FlandersArtSans-Regular" w:hAnsi="FlandersArtSans-Regular"/>
          <w:bCs/>
          <w:sz w:val="24"/>
          <w:szCs w:val="28"/>
        </w:rPr>
      </w:pPr>
      <w:r>
        <w:rPr>
          <w:rFonts w:ascii="FlandersArtSans-Regular" w:hAnsi="FlandersArtSans-Regular"/>
          <w:bCs/>
          <w:sz w:val="24"/>
          <w:szCs w:val="28"/>
        </w:rPr>
        <w:t xml:space="preserve">In het kader van de samenwerkingsovereenkomst met </w:t>
      </w:r>
      <w:proofErr w:type="spellStart"/>
      <w:r>
        <w:rPr>
          <w:rFonts w:ascii="FlandersArtSans-Regular" w:hAnsi="FlandersArtSans-Regular"/>
          <w:bCs/>
          <w:sz w:val="24"/>
          <w:szCs w:val="28"/>
        </w:rPr>
        <w:t>Fedasil</w:t>
      </w:r>
      <w:proofErr w:type="spellEnd"/>
      <w:r>
        <w:rPr>
          <w:rFonts w:ascii="FlandersArtSans-Regular" w:hAnsi="FlandersArtSans-Regular"/>
          <w:bCs/>
          <w:sz w:val="24"/>
          <w:szCs w:val="28"/>
        </w:rPr>
        <w:t xml:space="preserve"> vond er een eerste werkgroep monitoring plaats. Daar werden de nodige afspraken gemaakt met betrekking tot opdracht en samenstelling. In september 2017 vindt een eerste volwaardige werkgroep monitoring plaats. We verwachten </w:t>
      </w:r>
      <w:proofErr w:type="spellStart"/>
      <w:r>
        <w:rPr>
          <w:rFonts w:ascii="FlandersArtSans-Regular" w:hAnsi="FlandersArtSans-Regular"/>
          <w:bCs/>
          <w:sz w:val="24"/>
          <w:szCs w:val="28"/>
        </w:rPr>
        <w:t>cijferresulaten</w:t>
      </w:r>
      <w:proofErr w:type="spellEnd"/>
      <w:r>
        <w:rPr>
          <w:rFonts w:ascii="FlandersArtSans-Regular" w:hAnsi="FlandersArtSans-Regular"/>
          <w:bCs/>
          <w:sz w:val="24"/>
          <w:szCs w:val="28"/>
        </w:rPr>
        <w:t xml:space="preserve"> tegen de volgende kwartaalrapportage.</w:t>
      </w:r>
    </w:p>
    <w:p w:rsidR="00D03306" w:rsidRDefault="00D03306" w:rsidP="00D03306">
      <w:pPr>
        <w:spacing w:after="60" w:line="240" w:lineRule="auto"/>
        <w:rPr>
          <w:rFonts w:ascii="FlandersArtSans-Regular" w:hAnsi="FlandersArtSans-Regular"/>
          <w:bCs/>
          <w:sz w:val="24"/>
          <w:szCs w:val="28"/>
        </w:rPr>
      </w:pPr>
    </w:p>
    <w:p w:rsidR="00D03306" w:rsidRPr="006C74B0" w:rsidRDefault="00D03306" w:rsidP="00D03306">
      <w:pPr>
        <w:spacing w:after="60" w:line="240" w:lineRule="auto"/>
        <w:rPr>
          <w:rFonts w:ascii="FlandersArtSans-Regular" w:hAnsi="FlandersArtSans-Regular"/>
          <w:b/>
          <w:bCs/>
          <w:sz w:val="24"/>
          <w:szCs w:val="28"/>
        </w:rPr>
      </w:pPr>
      <w:r>
        <w:rPr>
          <w:rFonts w:ascii="FlandersArtSans-Regular" w:hAnsi="FlandersArtSans-Regular"/>
          <w:b/>
          <w:bCs/>
          <w:sz w:val="24"/>
          <w:szCs w:val="28"/>
        </w:rPr>
        <w:t>Tactische doelstelling 4.2.</w:t>
      </w:r>
    </w:p>
    <w:p w:rsidR="00D03306" w:rsidRDefault="00D03306" w:rsidP="00D03306">
      <w:pPr>
        <w:spacing w:after="60" w:line="240" w:lineRule="auto"/>
        <w:rPr>
          <w:rFonts w:ascii="FlandersArtSans-Regular" w:hAnsi="FlandersArtSans-Regular"/>
          <w:b/>
          <w:bCs/>
          <w:sz w:val="24"/>
          <w:szCs w:val="28"/>
        </w:rPr>
      </w:pPr>
      <w:r>
        <w:rPr>
          <w:rFonts w:ascii="FlandersArtSans-Regular" w:hAnsi="FlandersArtSans-Regular"/>
          <w:b/>
          <w:bCs/>
          <w:sz w:val="24"/>
          <w:szCs w:val="28"/>
        </w:rPr>
        <w:t>Er is een aangepast aanbod voor (laaggeschoolde) jongeren en in het bijzonder ook de ongekwalificeerde doorstroom van niet begeleide minderjarige jongeren, van onderwijs naar VDAB</w:t>
      </w:r>
    </w:p>
    <w:p w:rsidR="00D03306" w:rsidRPr="00F90868" w:rsidRDefault="00D03306" w:rsidP="00D03306">
      <w:pPr>
        <w:spacing w:after="60" w:line="240" w:lineRule="auto"/>
        <w:rPr>
          <w:rFonts w:ascii="FlandersArtSans-Regular" w:hAnsi="FlandersArtSans-Regular"/>
          <w:bCs/>
          <w:i/>
          <w:sz w:val="24"/>
          <w:szCs w:val="28"/>
        </w:rPr>
      </w:pPr>
      <w:r w:rsidRPr="00F90868">
        <w:rPr>
          <w:rFonts w:ascii="FlandersArtSans-Regular" w:hAnsi="FlandersArtSans-Regular"/>
          <w:bCs/>
          <w:i/>
          <w:sz w:val="24"/>
          <w:szCs w:val="28"/>
        </w:rPr>
        <w:t>Deze monitoring is nog in opmaak.</w:t>
      </w:r>
    </w:p>
    <w:p w:rsidR="00D03306" w:rsidRDefault="00D03306" w:rsidP="00D03306">
      <w:pPr>
        <w:spacing w:after="60" w:line="240" w:lineRule="auto"/>
        <w:rPr>
          <w:rFonts w:ascii="FlandersArtSans-Regular" w:hAnsi="FlandersArtSans-Regular"/>
          <w:bCs/>
          <w:sz w:val="24"/>
          <w:szCs w:val="28"/>
        </w:rPr>
      </w:pPr>
    </w:p>
    <w:p w:rsidR="00D03306" w:rsidRPr="00D03306" w:rsidRDefault="00D03306" w:rsidP="00D03306">
      <w:pPr>
        <w:spacing w:after="60" w:line="240" w:lineRule="auto"/>
        <w:rPr>
          <w:rFonts w:ascii="FlandersArtSans-Regular" w:hAnsi="FlandersArtSans-Regular"/>
          <w:b/>
          <w:bCs/>
          <w:sz w:val="24"/>
          <w:szCs w:val="28"/>
        </w:rPr>
      </w:pPr>
      <w:r w:rsidRPr="00D03306">
        <w:rPr>
          <w:rFonts w:ascii="FlandersArtSans-Regular" w:hAnsi="FlandersArtSans-Regular"/>
          <w:b/>
          <w:bCs/>
          <w:sz w:val="24"/>
          <w:szCs w:val="28"/>
        </w:rPr>
        <w:t>Tactische doelstelling 4.3.</w:t>
      </w:r>
    </w:p>
    <w:p w:rsidR="00D03306" w:rsidRPr="00D03306" w:rsidRDefault="00D03306" w:rsidP="00D03306">
      <w:pPr>
        <w:spacing w:after="60" w:line="240" w:lineRule="auto"/>
        <w:rPr>
          <w:rFonts w:ascii="FlandersArtSans-Regular" w:hAnsi="FlandersArtSans-Regular"/>
          <w:b/>
          <w:bCs/>
          <w:sz w:val="24"/>
          <w:szCs w:val="28"/>
        </w:rPr>
      </w:pPr>
      <w:r w:rsidRPr="00D03306">
        <w:rPr>
          <w:rFonts w:ascii="FlandersArtSans-Regular" w:hAnsi="FlandersArtSans-Regular"/>
          <w:b/>
          <w:bCs/>
          <w:sz w:val="24"/>
          <w:szCs w:val="28"/>
        </w:rPr>
        <w:t>We werken drempels die de toegang tot het ondernemerschap belemmeren weg</w:t>
      </w:r>
    </w:p>
    <w:p w:rsidR="00D03306" w:rsidRPr="00F90868" w:rsidRDefault="00D03306" w:rsidP="00D03306">
      <w:pPr>
        <w:spacing w:after="60" w:line="240" w:lineRule="auto"/>
        <w:rPr>
          <w:rFonts w:ascii="FlandersArtSans-Regular" w:hAnsi="FlandersArtSans-Regular"/>
          <w:bCs/>
          <w:i/>
          <w:sz w:val="24"/>
          <w:szCs w:val="28"/>
        </w:rPr>
      </w:pPr>
      <w:r w:rsidRPr="00F90868">
        <w:rPr>
          <w:rFonts w:ascii="FlandersArtSans-Regular" w:hAnsi="FlandersArtSans-Regular"/>
          <w:bCs/>
          <w:i/>
          <w:sz w:val="24"/>
          <w:szCs w:val="28"/>
        </w:rPr>
        <w:t>Deze monitoring is nog in opmaak.</w:t>
      </w:r>
    </w:p>
    <w:p w:rsidR="00D03306" w:rsidRDefault="00D03306" w:rsidP="00D03306">
      <w:pPr>
        <w:spacing w:after="60" w:line="240" w:lineRule="auto"/>
        <w:rPr>
          <w:rFonts w:ascii="FlandersArtSans-Regular" w:hAnsi="FlandersArtSans-Regular"/>
          <w:bCs/>
          <w:sz w:val="24"/>
          <w:szCs w:val="28"/>
        </w:rPr>
      </w:pPr>
    </w:p>
    <w:p w:rsidR="00D03306" w:rsidRPr="00D03306" w:rsidRDefault="00D03306" w:rsidP="00D03306">
      <w:pPr>
        <w:spacing w:after="60" w:line="240" w:lineRule="auto"/>
        <w:rPr>
          <w:rFonts w:ascii="FlandersArtSans-Regular" w:hAnsi="FlandersArtSans-Regular"/>
          <w:b/>
          <w:bCs/>
          <w:sz w:val="24"/>
          <w:szCs w:val="28"/>
        </w:rPr>
      </w:pPr>
      <w:r w:rsidRPr="00D03306">
        <w:rPr>
          <w:rFonts w:ascii="FlandersArtSans-Regular" w:hAnsi="FlandersArtSans-Regular"/>
          <w:b/>
          <w:bCs/>
          <w:sz w:val="24"/>
          <w:szCs w:val="28"/>
        </w:rPr>
        <w:t xml:space="preserve">Tactische doelstelling 4.4. </w:t>
      </w:r>
    </w:p>
    <w:p w:rsidR="00D03306" w:rsidRDefault="00D03306" w:rsidP="00D03306">
      <w:pPr>
        <w:spacing w:after="60" w:line="240" w:lineRule="auto"/>
        <w:rPr>
          <w:rFonts w:ascii="FlandersArtSans-Regular" w:hAnsi="FlandersArtSans-Regular"/>
          <w:b/>
          <w:bCs/>
          <w:sz w:val="24"/>
          <w:szCs w:val="28"/>
        </w:rPr>
      </w:pPr>
      <w:r w:rsidRPr="00D03306">
        <w:rPr>
          <w:rFonts w:ascii="FlandersArtSans-Regular" w:hAnsi="FlandersArtSans-Regular"/>
          <w:b/>
          <w:bCs/>
          <w:sz w:val="24"/>
          <w:szCs w:val="28"/>
        </w:rPr>
        <w:t>We passen de principes van taalhoffelijkheid in onze begeleidings- en bemiddelingsacties toe en bouwen een ge</w:t>
      </w:r>
      <w:r>
        <w:rPr>
          <w:rFonts w:ascii="FlandersArtSans-Regular" w:hAnsi="FlandersArtSans-Regular"/>
          <w:b/>
          <w:bCs/>
          <w:sz w:val="24"/>
          <w:szCs w:val="28"/>
        </w:rPr>
        <w:t>ïntegreerd taalbeleid uit</w:t>
      </w:r>
    </w:p>
    <w:p w:rsidR="00D03306" w:rsidRPr="00D03306" w:rsidRDefault="00D03306" w:rsidP="00D03306">
      <w:pPr>
        <w:spacing w:after="60" w:line="240" w:lineRule="auto"/>
        <w:rPr>
          <w:rFonts w:ascii="FlandersArtSans-Regular" w:hAnsi="FlandersArtSans-Regular"/>
          <w:b/>
          <w:bCs/>
        </w:rPr>
      </w:pPr>
      <w:r w:rsidRPr="00D03306">
        <w:rPr>
          <w:rFonts w:ascii="FlandersArtSans-Regular" w:hAnsi="FlandersArtSans-Regular"/>
          <w:b/>
          <w:bCs/>
        </w:rPr>
        <w:t>Tolkengebruik</w:t>
      </w:r>
    </w:p>
    <w:p w:rsidR="00D03306" w:rsidRDefault="00F90868" w:rsidP="00EF5644">
      <w:pPr>
        <w:spacing w:after="0" w:line="240" w:lineRule="auto"/>
        <w:rPr>
          <w:rFonts w:ascii="FlandersArtSans-Regular" w:hAnsi="FlandersArtSans-Regular"/>
          <w:bCs/>
        </w:rPr>
      </w:pPr>
      <w:r>
        <w:rPr>
          <w:rFonts w:ascii="FlandersArtSans-Regular" w:hAnsi="FlandersArtSans-Regular"/>
          <w:bCs/>
        </w:rPr>
        <w:t>In het kader van het eerste Vlaams Strategisch overlegplatform Agentschappen Integratie en Inburgering en VDAB van 31/08/2017 worden nieuwe afspraken gemaakt rond tolkenaanvraag – registratie en facturatie. Dit zal centraal opgenomen worden</w:t>
      </w:r>
      <w:r w:rsidRPr="00F90868">
        <w:rPr>
          <w:rFonts w:ascii="FlandersArtSans-Regular" w:hAnsi="FlandersArtSans-Regular"/>
          <w:bCs/>
          <w:i/>
        </w:rPr>
        <w:t>. Op basis van deze afspraken zal een nieuwe monitoring uitgewerkt worden.</w:t>
      </w:r>
      <w:r>
        <w:rPr>
          <w:rFonts w:ascii="FlandersArtSans-Regular" w:hAnsi="FlandersArtSans-Regular"/>
          <w:bCs/>
        </w:rPr>
        <w:t xml:space="preserve"> We verwachten dit rond te hebben het eerste kwartaal van 2018.</w:t>
      </w:r>
    </w:p>
    <w:p w:rsidR="00D03306" w:rsidRDefault="00D03306" w:rsidP="00EF5644">
      <w:pPr>
        <w:spacing w:after="0" w:line="240" w:lineRule="auto"/>
        <w:rPr>
          <w:rFonts w:ascii="FlandersArtSans-Regular" w:hAnsi="FlandersArtSans-Regular"/>
          <w:bCs/>
          <w:sz w:val="24"/>
          <w:szCs w:val="28"/>
        </w:rPr>
      </w:pPr>
    </w:p>
    <w:p w:rsidR="00D03306" w:rsidRPr="00D03306" w:rsidRDefault="00D03306" w:rsidP="00EF5644">
      <w:pPr>
        <w:spacing w:after="0" w:line="240" w:lineRule="auto"/>
        <w:rPr>
          <w:rFonts w:ascii="FlandersArtSans-Regular" w:hAnsi="FlandersArtSans-Regular"/>
          <w:b/>
          <w:bCs/>
        </w:rPr>
      </w:pPr>
      <w:r w:rsidRPr="00D03306">
        <w:rPr>
          <w:rFonts w:ascii="FlandersArtSans-Regular" w:hAnsi="FlandersArtSans-Regular"/>
          <w:b/>
          <w:bCs/>
        </w:rPr>
        <w:t>Aantal geïntegreerde taaltrajecten bij CVO en CBE</w:t>
      </w:r>
    </w:p>
    <w:p w:rsidR="00D03306" w:rsidRPr="00F90868" w:rsidRDefault="00D03306" w:rsidP="00EF5644">
      <w:pPr>
        <w:spacing w:after="0" w:line="240" w:lineRule="auto"/>
        <w:rPr>
          <w:rFonts w:ascii="FlandersArtSans-Regular" w:hAnsi="FlandersArtSans-Regular"/>
          <w:bCs/>
          <w:i/>
          <w:sz w:val="24"/>
          <w:szCs w:val="28"/>
        </w:rPr>
      </w:pPr>
      <w:r w:rsidRPr="00F90868">
        <w:rPr>
          <w:rFonts w:ascii="FlandersArtSans-Regular" w:hAnsi="FlandersArtSans-Regular"/>
          <w:bCs/>
          <w:i/>
          <w:sz w:val="24"/>
          <w:szCs w:val="28"/>
        </w:rPr>
        <w:t>Deze monitoring is nog in opmaak.</w:t>
      </w:r>
      <w:r w:rsidR="00A54641">
        <w:rPr>
          <w:rFonts w:ascii="FlandersArtSans-Regular" w:hAnsi="FlandersArtSans-Regular"/>
          <w:bCs/>
          <w:i/>
          <w:sz w:val="24"/>
          <w:szCs w:val="28"/>
        </w:rPr>
        <w:t xml:space="preserve"> Hangt samen met de uitwisseling met </w:t>
      </w:r>
      <w:r w:rsidR="004A24AC">
        <w:rPr>
          <w:rFonts w:ascii="FlandersArtSans-Regular" w:hAnsi="FlandersArtSans-Regular"/>
          <w:bCs/>
          <w:i/>
          <w:sz w:val="24"/>
          <w:szCs w:val="28"/>
        </w:rPr>
        <w:t>de Agentschappen Integratie en I</w:t>
      </w:r>
      <w:r w:rsidR="00A54641">
        <w:rPr>
          <w:rFonts w:ascii="FlandersArtSans-Regular" w:hAnsi="FlandersArtSans-Regular"/>
          <w:bCs/>
          <w:i/>
          <w:sz w:val="24"/>
          <w:szCs w:val="28"/>
        </w:rPr>
        <w:t>nburgering.</w:t>
      </w:r>
    </w:p>
    <w:p w:rsidR="00D03306" w:rsidRDefault="00D03306" w:rsidP="00EF5644">
      <w:pPr>
        <w:spacing w:after="0" w:line="240" w:lineRule="auto"/>
        <w:rPr>
          <w:rFonts w:ascii="FlandersArtSans-Regular" w:hAnsi="FlandersArtSans-Regular"/>
          <w:bCs/>
          <w:sz w:val="24"/>
          <w:szCs w:val="28"/>
        </w:rPr>
      </w:pPr>
    </w:p>
    <w:p w:rsidR="00D03306" w:rsidRPr="00D03306" w:rsidRDefault="00D03306" w:rsidP="00D03306">
      <w:pPr>
        <w:spacing w:after="60" w:line="240" w:lineRule="auto"/>
        <w:rPr>
          <w:rFonts w:ascii="FlandersArtSans-Regular" w:hAnsi="FlandersArtSans-Regular"/>
          <w:b/>
          <w:bCs/>
          <w:sz w:val="24"/>
          <w:szCs w:val="28"/>
        </w:rPr>
      </w:pPr>
      <w:r w:rsidRPr="00D03306">
        <w:rPr>
          <w:rFonts w:ascii="FlandersArtSans-Regular" w:hAnsi="FlandersArtSans-Regular"/>
          <w:b/>
          <w:bCs/>
          <w:sz w:val="24"/>
          <w:szCs w:val="28"/>
        </w:rPr>
        <w:t xml:space="preserve">Tactische doelstelling 4.4. </w:t>
      </w:r>
    </w:p>
    <w:p w:rsidR="00D03306" w:rsidRDefault="00D03306" w:rsidP="00D03306">
      <w:pPr>
        <w:spacing w:after="60" w:line="240" w:lineRule="auto"/>
        <w:rPr>
          <w:rFonts w:ascii="FlandersArtSans-Regular" w:hAnsi="FlandersArtSans-Regular"/>
          <w:b/>
          <w:bCs/>
          <w:sz w:val="24"/>
          <w:szCs w:val="28"/>
        </w:rPr>
      </w:pPr>
      <w:r w:rsidRPr="00D03306">
        <w:rPr>
          <w:rFonts w:ascii="FlandersArtSans-Regular" w:hAnsi="FlandersArtSans-Regular"/>
          <w:b/>
          <w:bCs/>
          <w:sz w:val="24"/>
          <w:szCs w:val="28"/>
        </w:rPr>
        <w:t>We passen de principes van taalhoffelijkheid in onze begeleidings- en bemiddelingsacties toe en bouwen een geïntegreerd taalbeleid uit</w:t>
      </w:r>
    </w:p>
    <w:p w:rsidR="00F90868" w:rsidRDefault="00F90868" w:rsidP="00D03306">
      <w:pPr>
        <w:spacing w:after="60" w:line="240" w:lineRule="auto"/>
        <w:rPr>
          <w:rFonts w:ascii="FlandersArtSans-Regular" w:hAnsi="FlandersArtSans-Regular"/>
          <w:bCs/>
          <w:i/>
        </w:rPr>
      </w:pPr>
      <w:r w:rsidRPr="00F90868">
        <w:rPr>
          <w:rFonts w:ascii="FlandersArtSans-Regular" w:hAnsi="FlandersArtSans-Regular"/>
          <w:bCs/>
          <w:i/>
        </w:rPr>
        <w:t>Het principe van de taalhoffelijkheid wordt toegepast in de dienstverlening van VDAB. De richtlijnen zijn duidelijk en werden gepubliceerd op het intranet.</w:t>
      </w:r>
      <w:r>
        <w:rPr>
          <w:rFonts w:ascii="FlandersArtSans-Regular" w:hAnsi="FlandersArtSans-Regular"/>
          <w:bCs/>
          <w:i/>
        </w:rPr>
        <w:t>.</w:t>
      </w:r>
      <w:r w:rsidR="00A54641">
        <w:rPr>
          <w:rFonts w:ascii="FlandersArtSans-Regular" w:hAnsi="FlandersArtSans-Regular"/>
          <w:bCs/>
          <w:i/>
        </w:rPr>
        <w:t xml:space="preserve"> Alles gebeurt conform de voorschriften in het kader van de taalwetgeving.</w:t>
      </w:r>
    </w:p>
    <w:p w:rsidR="00F90868" w:rsidRPr="00F90868" w:rsidRDefault="00F90868" w:rsidP="00886923">
      <w:pPr>
        <w:spacing w:after="0" w:line="240" w:lineRule="auto"/>
        <w:rPr>
          <w:rFonts w:ascii="FlandersArtSans-Regular" w:hAnsi="FlandersArtSans-Regular"/>
          <w:bCs/>
          <w:i/>
        </w:rPr>
      </w:pPr>
      <w:r>
        <w:rPr>
          <w:rFonts w:ascii="FlandersArtSans-Regular" w:hAnsi="FlandersArtSans-Regular"/>
          <w:bCs/>
          <w:i/>
        </w:rPr>
        <w:t>Dit is moeilijk meetbaar.</w:t>
      </w:r>
    </w:p>
    <w:p w:rsidR="00D03306" w:rsidRPr="00F90868" w:rsidRDefault="00D03306" w:rsidP="00886923">
      <w:pPr>
        <w:spacing w:after="0" w:line="240" w:lineRule="auto"/>
        <w:rPr>
          <w:rFonts w:ascii="FlandersArtSans-Regular" w:hAnsi="FlandersArtSans-Regular"/>
          <w:b/>
          <w:bCs/>
        </w:rPr>
      </w:pPr>
    </w:p>
    <w:p w:rsidR="00D03306" w:rsidRDefault="00D03306" w:rsidP="00886923">
      <w:pPr>
        <w:spacing w:after="0" w:line="240" w:lineRule="auto"/>
        <w:rPr>
          <w:rFonts w:ascii="FlandersArtSans-Regular" w:hAnsi="FlandersArtSans-Regular"/>
          <w:b/>
          <w:bCs/>
        </w:rPr>
      </w:pPr>
      <w:r w:rsidRPr="00D03306">
        <w:rPr>
          <w:rFonts w:ascii="FlandersArtSans-Regular" w:hAnsi="FlandersArtSans-Regular"/>
          <w:b/>
          <w:bCs/>
        </w:rPr>
        <w:t>Specifiek opleidingen voor werknemers</w:t>
      </w:r>
    </w:p>
    <w:p w:rsidR="003C754D" w:rsidRDefault="00D244B4" w:rsidP="00886923">
      <w:pPr>
        <w:spacing w:after="0" w:line="240" w:lineRule="auto"/>
        <w:rPr>
          <w:rFonts w:ascii="FlandersArtSans-Regular" w:hAnsi="FlandersArtSans-Regular"/>
          <w:bCs/>
        </w:rPr>
      </w:pPr>
      <w:r w:rsidRPr="00810D35">
        <w:rPr>
          <w:rFonts w:ascii="FlandersArtSans-Regular" w:hAnsi="FlandersArtSans-Regular"/>
          <w:bCs/>
        </w:rPr>
        <w:t xml:space="preserve">Spoor 21, het opleidingscentrum van VDAB, voorziet een </w:t>
      </w:r>
      <w:r w:rsidR="00810D35" w:rsidRPr="00810D35">
        <w:rPr>
          <w:rFonts w:ascii="FlandersArtSans-Regular" w:hAnsi="FlandersArtSans-Regular"/>
          <w:bCs/>
        </w:rPr>
        <w:t xml:space="preserve">halfjaarlijks </w:t>
      </w:r>
      <w:r w:rsidRPr="00810D35">
        <w:rPr>
          <w:rFonts w:ascii="FlandersArtSans-Regular" w:hAnsi="FlandersArtSans-Regular"/>
          <w:bCs/>
        </w:rPr>
        <w:t xml:space="preserve">overzicht van acties tegen de kwartaalrapportage van </w:t>
      </w:r>
      <w:r w:rsidR="00625391" w:rsidRPr="00810D35">
        <w:rPr>
          <w:rFonts w:ascii="FlandersArtSans-Regular" w:hAnsi="FlandersArtSans-Regular"/>
          <w:bCs/>
        </w:rPr>
        <w:t>december 2017</w:t>
      </w:r>
      <w:r w:rsidR="00810D35" w:rsidRPr="00810D35">
        <w:rPr>
          <w:rFonts w:ascii="FlandersArtSans-Regular" w:hAnsi="FlandersArtSans-Regular"/>
          <w:bCs/>
        </w:rPr>
        <w:t xml:space="preserve"> en April 2018</w:t>
      </w:r>
      <w:r w:rsidR="00625391" w:rsidRPr="00810D35">
        <w:rPr>
          <w:rFonts w:ascii="FlandersArtSans-Regular" w:hAnsi="FlandersArtSans-Regular"/>
          <w:bCs/>
        </w:rPr>
        <w:t>.</w:t>
      </w:r>
    </w:p>
    <w:p w:rsidR="00810D35" w:rsidRPr="00810D35" w:rsidRDefault="00810D35" w:rsidP="00886923">
      <w:pPr>
        <w:spacing w:after="0" w:line="240" w:lineRule="auto"/>
        <w:rPr>
          <w:rFonts w:ascii="FlandersArtSans-Regular" w:hAnsi="FlandersArtSans-Regular"/>
          <w:bCs/>
        </w:rPr>
      </w:pPr>
    </w:p>
    <w:tbl>
      <w:tblPr>
        <w:tblStyle w:val="Tabelraster"/>
        <w:tblW w:w="0" w:type="auto"/>
        <w:tblLook w:val="04A0" w:firstRow="1" w:lastRow="0" w:firstColumn="1" w:lastColumn="0" w:noHBand="0" w:noVBand="1"/>
      </w:tblPr>
      <w:tblGrid>
        <w:gridCol w:w="3817"/>
        <w:gridCol w:w="1721"/>
        <w:gridCol w:w="2577"/>
      </w:tblGrid>
      <w:tr w:rsidR="00810D35" w:rsidTr="00810D35">
        <w:tc>
          <w:tcPr>
            <w:tcW w:w="0" w:type="auto"/>
            <w:vAlign w:val="center"/>
          </w:tcPr>
          <w:p w:rsidR="00810D35" w:rsidRPr="00EF5644" w:rsidRDefault="00810D35" w:rsidP="00886923">
            <w:pPr>
              <w:rPr>
                <w:rFonts w:ascii="FlandersArtSans-Regular" w:hAnsi="FlandersArtSans-Regular"/>
                <w:b/>
              </w:rPr>
            </w:pPr>
            <w:r w:rsidRPr="00EF5644">
              <w:rPr>
                <w:rFonts w:ascii="FlandersArtSans-Regular" w:hAnsi="FlandersArtSans-Regular"/>
                <w:b/>
              </w:rPr>
              <w:t>Opleidingen</w:t>
            </w:r>
          </w:p>
        </w:tc>
        <w:tc>
          <w:tcPr>
            <w:tcW w:w="0" w:type="auto"/>
            <w:vAlign w:val="center"/>
          </w:tcPr>
          <w:p w:rsidR="00810D35" w:rsidRPr="00EF5644" w:rsidRDefault="00810D35" w:rsidP="00886923">
            <w:pPr>
              <w:jc w:val="center"/>
              <w:rPr>
                <w:rFonts w:ascii="FlandersArtSans-Regular" w:hAnsi="FlandersArtSans-Regular"/>
                <w:b/>
              </w:rPr>
            </w:pPr>
            <w:r w:rsidRPr="00EF5644">
              <w:rPr>
                <w:rFonts w:ascii="FlandersArtSans-Regular" w:hAnsi="FlandersArtSans-Regular"/>
                <w:b/>
              </w:rPr>
              <w:t>Deelnemers 2016</w:t>
            </w:r>
          </w:p>
        </w:tc>
        <w:tc>
          <w:tcPr>
            <w:tcW w:w="0" w:type="auto"/>
            <w:vAlign w:val="center"/>
          </w:tcPr>
          <w:p w:rsidR="00810D35" w:rsidRPr="00EF5644" w:rsidRDefault="00810D35" w:rsidP="00886923">
            <w:pPr>
              <w:jc w:val="center"/>
              <w:rPr>
                <w:rFonts w:ascii="FlandersArtSans-Regular" w:hAnsi="FlandersArtSans-Regular"/>
                <w:b/>
              </w:rPr>
            </w:pPr>
            <w:r w:rsidRPr="00EF5644">
              <w:rPr>
                <w:rFonts w:ascii="FlandersArtSans-Regular" w:hAnsi="FlandersArtSans-Regular"/>
                <w:b/>
              </w:rPr>
              <w:t xml:space="preserve">Deelnemers </w:t>
            </w:r>
            <w:r w:rsidR="00AF1649" w:rsidRPr="00EF5644">
              <w:rPr>
                <w:rFonts w:ascii="FlandersArtSans-Regular" w:hAnsi="FlandersArtSans-Regular"/>
                <w:b/>
              </w:rPr>
              <w:t>2017 (tot juni</w:t>
            </w:r>
            <w:r w:rsidRPr="00EF5644">
              <w:rPr>
                <w:rFonts w:ascii="FlandersArtSans-Regular" w:hAnsi="FlandersArtSans-Regular"/>
                <w:b/>
              </w:rPr>
              <w:t>)</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Armoede</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42</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Buitenlands diploma</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54</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10</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De vernieuwde soc. economie</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182</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178</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Gekleurde armoede</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30</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IBO in de praktijk</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97</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47</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IBO voor gevorderden</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14</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Jongeren met probleemgedrag</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90</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30</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Omgaan met agressie</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127</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124</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Psychische processen bij</w:t>
            </w:r>
          </w:p>
          <w:p w:rsidR="00810D35" w:rsidRDefault="00810D35" w:rsidP="00810D35">
            <w:pPr>
              <w:spacing w:after="60"/>
              <w:rPr>
                <w:rFonts w:ascii="FlandersArtSans-Regular" w:hAnsi="FlandersArtSans-Regular"/>
              </w:rPr>
            </w:pPr>
            <w:r>
              <w:rPr>
                <w:rFonts w:ascii="FlandersArtSans-Regular" w:hAnsi="FlandersArtSans-Regular"/>
              </w:rPr>
              <w:t>Vluchtelingen</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72</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Superdiversiteit</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360</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34</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Vreemde arbeidskrachten basis</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148</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54</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Vreemde arbeidskrachten gevorderden</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61</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Wat als de klant ‘neen’ zegt?</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81</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125</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Werk en psychische problemen</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220</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46</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Integratie door werk</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53</w:t>
            </w:r>
          </w:p>
        </w:tc>
      </w:tr>
      <w:tr w:rsidR="00810D35" w:rsidTr="00810D35">
        <w:tc>
          <w:tcPr>
            <w:tcW w:w="0" w:type="auto"/>
            <w:vAlign w:val="center"/>
          </w:tcPr>
          <w:p w:rsidR="00810D35" w:rsidRDefault="00810D35" w:rsidP="00810D35">
            <w:pPr>
              <w:spacing w:after="60"/>
              <w:rPr>
                <w:rFonts w:ascii="FlandersArtSans-Regular" w:hAnsi="FlandersArtSans-Regular"/>
              </w:rPr>
            </w:pPr>
            <w:r>
              <w:rPr>
                <w:rFonts w:ascii="FlandersArtSans-Regular" w:hAnsi="FlandersArtSans-Regular"/>
              </w:rPr>
              <w:t>Islam, cultuur en radicalisering</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w:t>
            </w:r>
          </w:p>
        </w:tc>
        <w:tc>
          <w:tcPr>
            <w:tcW w:w="0" w:type="auto"/>
            <w:vAlign w:val="center"/>
          </w:tcPr>
          <w:p w:rsidR="00810D35" w:rsidRDefault="00AF1649" w:rsidP="00810D35">
            <w:pPr>
              <w:spacing w:after="60"/>
              <w:jc w:val="center"/>
              <w:rPr>
                <w:rFonts w:ascii="FlandersArtSans-Regular" w:hAnsi="FlandersArtSans-Regular"/>
              </w:rPr>
            </w:pPr>
            <w:r>
              <w:rPr>
                <w:rFonts w:ascii="FlandersArtSans-Regular" w:hAnsi="FlandersArtSans-Regular"/>
              </w:rPr>
              <w:t>98</w:t>
            </w:r>
          </w:p>
        </w:tc>
      </w:tr>
      <w:tr w:rsidR="00886923" w:rsidTr="00810D35">
        <w:tc>
          <w:tcPr>
            <w:tcW w:w="0" w:type="auto"/>
            <w:vAlign w:val="center"/>
          </w:tcPr>
          <w:p w:rsidR="00886923" w:rsidRPr="00886923" w:rsidRDefault="00886923" w:rsidP="00810D35">
            <w:pPr>
              <w:spacing w:after="60"/>
              <w:rPr>
                <w:rFonts w:ascii="FlandersArtSans-Regular" w:hAnsi="FlandersArtSans-Regular"/>
                <w:b/>
              </w:rPr>
            </w:pPr>
            <w:r w:rsidRPr="00886923">
              <w:rPr>
                <w:rFonts w:ascii="FlandersArtSans-Regular" w:hAnsi="FlandersArtSans-Regular"/>
                <w:b/>
              </w:rPr>
              <w:t>Totaal</w:t>
            </w:r>
          </w:p>
        </w:tc>
        <w:tc>
          <w:tcPr>
            <w:tcW w:w="0" w:type="auto"/>
            <w:vAlign w:val="center"/>
          </w:tcPr>
          <w:p w:rsidR="00886923" w:rsidRPr="00886923" w:rsidRDefault="005E1D38" w:rsidP="00810D35">
            <w:pPr>
              <w:spacing w:after="60"/>
              <w:jc w:val="center"/>
              <w:rPr>
                <w:rFonts w:ascii="FlandersArtSans-Regular" w:hAnsi="FlandersArtSans-Regular"/>
                <w:b/>
              </w:rPr>
            </w:pPr>
            <w:r>
              <w:rPr>
                <w:rFonts w:ascii="FlandersArtSans-Regular" w:hAnsi="FlandersArtSans-Regular"/>
                <w:b/>
              </w:rPr>
              <w:t>1.617</w:t>
            </w:r>
          </w:p>
        </w:tc>
        <w:tc>
          <w:tcPr>
            <w:tcW w:w="0" w:type="auto"/>
            <w:vAlign w:val="center"/>
          </w:tcPr>
          <w:p w:rsidR="00886923" w:rsidRPr="00886923" w:rsidRDefault="005E1D38" w:rsidP="00810D35">
            <w:pPr>
              <w:spacing w:after="60"/>
              <w:jc w:val="center"/>
              <w:rPr>
                <w:rFonts w:ascii="FlandersArtSans-Regular" w:hAnsi="FlandersArtSans-Regular"/>
                <w:b/>
              </w:rPr>
            </w:pPr>
            <w:r>
              <w:rPr>
                <w:rFonts w:ascii="FlandersArtSans-Regular" w:hAnsi="FlandersArtSans-Regular"/>
                <w:b/>
              </w:rPr>
              <w:t>799</w:t>
            </w:r>
          </w:p>
        </w:tc>
      </w:tr>
    </w:tbl>
    <w:p w:rsidR="003C754D" w:rsidRDefault="003C754D" w:rsidP="003C754D">
      <w:pPr>
        <w:spacing w:after="60" w:line="240" w:lineRule="auto"/>
        <w:rPr>
          <w:rFonts w:ascii="FlandersArtSans-Regular" w:hAnsi="FlandersArtSans-Regular"/>
        </w:rPr>
      </w:pPr>
    </w:p>
    <w:p w:rsidR="00AF1649" w:rsidRDefault="00AF1649" w:rsidP="00EF5644">
      <w:pPr>
        <w:spacing w:after="0" w:line="240" w:lineRule="auto"/>
        <w:rPr>
          <w:rFonts w:ascii="FlandersArtSans-Regular" w:hAnsi="FlandersArtSans-Regular"/>
        </w:rPr>
      </w:pPr>
      <w:r>
        <w:rPr>
          <w:rFonts w:ascii="FlandersArtSans-Regular" w:hAnsi="FlandersArtSans-Regular"/>
        </w:rPr>
        <w:t>Het aanbod hier in kaart gebracht=</w:t>
      </w:r>
      <w:r w:rsidR="000C508C">
        <w:rPr>
          <w:rFonts w:ascii="FlandersArtSans-Regular" w:hAnsi="FlandersArtSans-Regular"/>
        </w:rPr>
        <w:t xml:space="preserve"> specifiek aanbod dat gelinkt</w:t>
      </w:r>
      <w:r>
        <w:rPr>
          <w:rFonts w:ascii="FlandersArtSans-Regular" w:hAnsi="FlandersArtSans-Regular"/>
        </w:rPr>
        <w:t xml:space="preserve"> is aan noden en behoeften m.b.t. de doelgroep.</w:t>
      </w:r>
    </w:p>
    <w:p w:rsidR="00810D35" w:rsidRDefault="00AF1649" w:rsidP="00EF5644">
      <w:pPr>
        <w:spacing w:after="0" w:line="240" w:lineRule="auto"/>
        <w:rPr>
          <w:rFonts w:ascii="FlandersArtSans-Regular" w:hAnsi="FlandersArtSans-Regular"/>
        </w:rPr>
      </w:pPr>
      <w:r>
        <w:rPr>
          <w:rFonts w:ascii="FlandersArtSans-Regular" w:hAnsi="FlandersArtSans-Regular"/>
        </w:rPr>
        <w:t>Het aanbod speelt in op noden en vragen.</w:t>
      </w:r>
    </w:p>
    <w:p w:rsidR="00EF5644" w:rsidRDefault="00EF5644" w:rsidP="00EF5644">
      <w:pPr>
        <w:spacing w:after="0" w:line="240" w:lineRule="auto"/>
        <w:rPr>
          <w:rFonts w:ascii="FlandersArtSans-Regular" w:hAnsi="FlandersArtSans-Regular"/>
        </w:rPr>
      </w:pPr>
      <w:r>
        <w:rPr>
          <w:rFonts w:ascii="FlandersArtSans-Regular" w:hAnsi="FlandersArtSans-Regular"/>
        </w:rPr>
        <w:t>De opleidingen ‘Integratie door werk’ en ‘Islam, cultuur en radicalisering’ zijn nieuw aanbod 2017.</w:t>
      </w:r>
    </w:p>
    <w:p w:rsidR="003A57E5" w:rsidRDefault="00AF1649" w:rsidP="00EF5644">
      <w:pPr>
        <w:spacing w:after="0" w:line="240" w:lineRule="auto"/>
        <w:rPr>
          <w:rFonts w:ascii="FlandersArtSans-Regular" w:hAnsi="FlandersArtSans-Regular"/>
        </w:rPr>
      </w:pPr>
      <w:r>
        <w:rPr>
          <w:rFonts w:ascii="FlandersArtSans-Regular" w:hAnsi="FlandersArtSans-Regular"/>
        </w:rPr>
        <w:t>Uiteraard volgden reeds heel wat personeelsleden bepaald aanbod voor 2016.</w:t>
      </w:r>
    </w:p>
    <w:sectPr w:rsidR="003A57E5" w:rsidSect="00A67C86">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70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B3E" w:rsidRDefault="00B23B3E" w:rsidP="000954D8">
      <w:pPr>
        <w:spacing w:after="0" w:line="240" w:lineRule="auto"/>
      </w:pPr>
      <w:r>
        <w:separator/>
      </w:r>
    </w:p>
  </w:endnote>
  <w:endnote w:type="continuationSeparator" w:id="0">
    <w:p w:rsidR="00B23B3E" w:rsidRDefault="00B23B3E" w:rsidP="00095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059" w:rsidRDefault="000F505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23089"/>
      <w:docPartObj>
        <w:docPartGallery w:val="Page Numbers (Bottom of Page)"/>
        <w:docPartUnique/>
      </w:docPartObj>
    </w:sdtPr>
    <w:sdtEndPr/>
    <w:sdtContent>
      <w:p w:rsidR="000F5059" w:rsidRDefault="000F5059" w:rsidP="00B8467E">
        <w:pPr>
          <w:pStyle w:val="Voettekst"/>
          <w:jc w:val="right"/>
        </w:pPr>
        <w:r>
          <w:fldChar w:fldCharType="begin"/>
        </w:r>
        <w:r>
          <w:instrText>PAGE   \* MERGEFORMAT</w:instrText>
        </w:r>
        <w:r>
          <w:fldChar w:fldCharType="separate"/>
        </w:r>
        <w:r w:rsidR="00EF6AE5" w:rsidRPr="00EF6AE5">
          <w:rPr>
            <w:noProof/>
            <w:lang w:val="nl-NL"/>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059" w:rsidRDefault="000F505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B3E" w:rsidRDefault="00B23B3E" w:rsidP="000954D8">
      <w:pPr>
        <w:spacing w:after="0" w:line="240" w:lineRule="auto"/>
      </w:pPr>
      <w:r>
        <w:separator/>
      </w:r>
    </w:p>
  </w:footnote>
  <w:footnote w:type="continuationSeparator" w:id="0">
    <w:p w:rsidR="00B23B3E" w:rsidRDefault="00B23B3E" w:rsidP="000954D8">
      <w:pPr>
        <w:spacing w:after="0" w:line="240" w:lineRule="auto"/>
      </w:pPr>
      <w:r>
        <w:continuationSeparator/>
      </w:r>
    </w:p>
  </w:footnote>
  <w:footnote w:id="1">
    <w:p w:rsidR="000F5059" w:rsidRPr="00B8467E" w:rsidRDefault="000F5059" w:rsidP="00B8467E">
      <w:pPr>
        <w:pStyle w:val="Voetnoottekst"/>
        <w:jc w:val="both"/>
        <w:rPr>
          <w:rFonts w:ascii="FlandersArtSans-Regular" w:hAnsi="FlandersArtSans-Regular"/>
        </w:rPr>
      </w:pPr>
      <w:r w:rsidRPr="00B8467E">
        <w:rPr>
          <w:rStyle w:val="Voetnootmarkering"/>
          <w:rFonts w:ascii="FlandersArtSans-Regular" w:hAnsi="FlandersArtSans-Regular"/>
        </w:rPr>
        <w:footnoteRef/>
      </w:r>
      <w:r w:rsidRPr="00B8467E">
        <w:rPr>
          <w:rFonts w:ascii="FlandersArtSans-Regular" w:hAnsi="FlandersArtSans-Regular"/>
        </w:rPr>
        <w:t xml:space="preserve"> Deze categorie wordt gebruikt voor jongeren met een arbeidshandicap die maximaal het getuigschrift BUSO OV2 hebben. Zij worden in deze categorie ingeschreven </w:t>
      </w:r>
      <w:proofErr w:type="spellStart"/>
      <w:r w:rsidRPr="00B8467E">
        <w:rPr>
          <w:rFonts w:ascii="FlandersArtSans-Regular" w:hAnsi="FlandersArtSans-Regular"/>
        </w:rPr>
        <w:t>i</w:t>
      </w:r>
      <w:r>
        <w:rPr>
          <w:rFonts w:ascii="FlandersArtSans-Regular" w:hAnsi="FlandersArtSans-Regular"/>
        </w:rPr>
        <w:t>.</w:t>
      </w:r>
      <w:r w:rsidRPr="00B8467E">
        <w:rPr>
          <w:rFonts w:ascii="FlandersArtSans-Regular" w:hAnsi="FlandersArtSans-Regular"/>
        </w:rPr>
        <w:t>f</w:t>
      </w:r>
      <w:r>
        <w:rPr>
          <w:rFonts w:ascii="FlandersArtSans-Regular" w:hAnsi="FlandersArtSans-Regular"/>
        </w:rPr>
        <w:t>.</w:t>
      </w:r>
      <w:r w:rsidRPr="00B8467E">
        <w:rPr>
          <w:rFonts w:ascii="FlandersArtSans-Regular" w:hAnsi="FlandersArtSans-Regular"/>
        </w:rPr>
        <w:t>v</w:t>
      </w:r>
      <w:proofErr w:type="spellEnd"/>
      <w:r>
        <w:rPr>
          <w:rFonts w:ascii="FlandersArtSans-Regular" w:hAnsi="FlandersArtSans-Regular"/>
        </w:rPr>
        <w:t>.</w:t>
      </w:r>
      <w:r w:rsidRPr="00B8467E">
        <w:rPr>
          <w:rFonts w:ascii="FlandersArtSans-Regular" w:hAnsi="FlandersArtSans-Regular"/>
        </w:rPr>
        <w:t xml:space="preserve"> begeleiding naar een tewerkstelling in de beschermde werkplaatsen. Deze jongeren hebben geen recht op een wachtuitkering of een uitkering van het OCMW.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059" w:rsidRDefault="000F505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059" w:rsidRDefault="000F5059">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059" w:rsidRDefault="000F505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7BBD"/>
    <w:multiLevelType w:val="multilevel"/>
    <w:tmpl w:val="AC54AE66"/>
    <w:styleLink w:val="OPVOLGING"/>
    <w:lvl w:ilvl="0">
      <w:start w:val="1"/>
      <w:numFmt w:val="bullet"/>
      <w:pStyle w:val="opvolging0"/>
      <w:lvlText w:val="»"/>
      <w:lvlJc w:val="left"/>
      <w:pPr>
        <w:ind w:left="267" w:hanging="267"/>
      </w:pPr>
      <w:rPr>
        <w:rFonts w:ascii="Calibri" w:hAnsi="Calibri" w:hint="default"/>
        <w:b/>
        <w:i w:val="0"/>
        <w:color w:val="4F81BD" w:themeColor="accent1"/>
        <w:position w:val="-2"/>
        <w:sz w:val="34"/>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nsid w:val="053146FE"/>
    <w:multiLevelType w:val="multilevel"/>
    <w:tmpl w:val="60F890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745245F"/>
    <w:multiLevelType w:val="hybridMultilevel"/>
    <w:tmpl w:val="FE1884C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8624ED2"/>
    <w:multiLevelType w:val="hybridMultilevel"/>
    <w:tmpl w:val="EBE8DD04"/>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2492E26"/>
    <w:multiLevelType w:val="hybridMultilevel"/>
    <w:tmpl w:val="76BA1FDA"/>
    <w:lvl w:ilvl="0" w:tplc="4AEA80EC">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2DE08E6"/>
    <w:multiLevelType w:val="multilevel"/>
    <w:tmpl w:val="AC54AE66"/>
    <w:numStyleLink w:val="OPVOLGING"/>
  </w:abstractNum>
  <w:abstractNum w:abstractNumId="6">
    <w:nsid w:val="17E857AB"/>
    <w:multiLevelType w:val="multilevel"/>
    <w:tmpl w:val="1C5658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8AE0B04"/>
    <w:multiLevelType w:val="multilevel"/>
    <w:tmpl w:val="95DEEB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06D3C6A"/>
    <w:multiLevelType w:val="hybridMultilevel"/>
    <w:tmpl w:val="03E6FD6E"/>
    <w:lvl w:ilvl="0" w:tplc="32403036">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nsid w:val="25100AA0"/>
    <w:multiLevelType w:val="multilevel"/>
    <w:tmpl w:val="B0702B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74D5EA6"/>
    <w:multiLevelType w:val="hybridMultilevel"/>
    <w:tmpl w:val="C42A1AF2"/>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725" w:hanging="645"/>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C8F1EB6"/>
    <w:multiLevelType w:val="hybridMultilevel"/>
    <w:tmpl w:val="66D6A5D8"/>
    <w:lvl w:ilvl="0" w:tplc="1C949CB6">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D7645C0"/>
    <w:multiLevelType w:val="multilevel"/>
    <w:tmpl w:val="5364BB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3112413E"/>
    <w:multiLevelType w:val="hybridMultilevel"/>
    <w:tmpl w:val="26D2A4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7305CAC"/>
    <w:multiLevelType w:val="hybridMultilevel"/>
    <w:tmpl w:val="B91CDD0E"/>
    <w:lvl w:ilvl="0" w:tplc="E6025D10">
      <w:start w:val="1"/>
      <w:numFmt w:val="decimal"/>
      <w:lvlText w:val="%1)"/>
      <w:lvlJc w:val="left"/>
      <w:pPr>
        <w:ind w:left="885" w:hanging="52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1CE33D3"/>
    <w:multiLevelType w:val="hybridMultilevel"/>
    <w:tmpl w:val="BC72D99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48582C8C"/>
    <w:multiLevelType w:val="hybridMultilevel"/>
    <w:tmpl w:val="685634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98C3DAC"/>
    <w:multiLevelType w:val="multilevel"/>
    <w:tmpl w:val="7B6C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8F7FB8"/>
    <w:multiLevelType w:val="hybridMultilevel"/>
    <w:tmpl w:val="F95E52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1FD19BA"/>
    <w:multiLevelType w:val="multilevel"/>
    <w:tmpl w:val="3670D3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5AC63988"/>
    <w:multiLevelType w:val="hybridMultilevel"/>
    <w:tmpl w:val="A3CE9ED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nsid w:val="5ACB6EFD"/>
    <w:multiLevelType w:val="hybridMultilevel"/>
    <w:tmpl w:val="5B94BD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DD757ED"/>
    <w:multiLevelType w:val="hybridMultilevel"/>
    <w:tmpl w:val="EC24C722"/>
    <w:lvl w:ilvl="0" w:tplc="4A20396A">
      <w:start w:val="2"/>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3">
    <w:nsid w:val="672540E4"/>
    <w:multiLevelType w:val="hybridMultilevel"/>
    <w:tmpl w:val="059EFB32"/>
    <w:lvl w:ilvl="0" w:tplc="A41E915E">
      <w:start w:val="2"/>
      <w:numFmt w:val="bullet"/>
      <w:lvlText w:val="-"/>
      <w:lvlJc w:val="left"/>
      <w:pPr>
        <w:ind w:left="360" w:hanging="360"/>
      </w:pPr>
      <w:rPr>
        <w:rFonts w:ascii="FlandersArtSans-Regular" w:eastAsiaTheme="minorHAnsi" w:hAnsi="FlandersArtSans-Regular"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nsid w:val="69570B98"/>
    <w:multiLevelType w:val="hybridMultilevel"/>
    <w:tmpl w:val="933600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BF02A1F"/>
    <w:multiLevelType w:val="multilevel"/>
    <w:tmpl w:val="673038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6DD3793F"/>
    <w:multiLevelType w:val="multilevel"/>
    <w:tmpl w:val="4992D08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6EBE39DA"/>
    <w:multiLevelType w:val="hybridMultilevel"/>
    <w:tmpl w:val="907C4DE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F75217B"/>
    <w:multiLevelType w:val="hybridMultilevel"/>
    <w:tmpl w:val="64965FE2"/>
    <w:lvl w:ilvl="0" w:tplc="08130001">
      <w:start w:val="1"/>
      <w:numFmt w:val="bullet"/>
      <w:lvlText w:val=""/>
      <w:lvlJc w:val="left"/>
      <w:pPr>
        <w:ind w:left="720" w:hanging="360"/>
      </w:pPr>
      <w:rPr>
        <w:rFonts w:ascii="Symbol" w:hAnsi="Symbol" w:hint="default"/>
      </w:rPr>
    </w:lvl>
    <w:lvl w:ilvl="1" w:tplc="DF903558">
      <w:numFmt w:val="bullet"/>
      <w:lvlText w:val="-"/>
      <w:lvlJc w:val="left"/>
      <w:pPr>
        <w:ind w:left="1725" w:hanging="645"/>
      </w:pPr>
      <w:rPr>
        <w:rFonts w:ascii="FlandersArtSans-Regular" w:eastAsiaTheme="minorHAnsi" w:hAnsi="FlandersArtSans-Regular" w:cstheme="minorBid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70595C3E"/>
    <w:multiLevelType w:val="hybridMultilevel"/>
    <w:tmpl w:val="5DF01282"/>
    <w:lvl w:ilvl="0" w:tplc="308A9FF8">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27"/>
  </w:num>
  <w:num w:numId="2">
    <w:abstractNumId w:val="11"/>
  </w:num>
  <w:num w:numId="3">
    <w:abstractNumId w:val="17"/>
  </w:num>
  <w:num w:numId="4">
    <w:abstractNumId w:val="26"/>
  </w:num>
  <w:num w:numId="5">
    <w:abstractNumId w:val="4"/>
  </w:num>
  <w:num w:numId="6">
    <w:abstractNumId w:val="15"/>
  </w:num>
  <w:num w:numId="7">
    <w:abstractNumId w:val="14"/>
  </w:num>
  <w:num w:numId="8">
    <w:abstractNumId w:val="8"/>
  </w:num>
  <w:num w:numId="9">
    <w:abstractNumId w:val="29"/>
  </w:num>
  <w:num w:numId="10">
    <w:abstractNumId w:val="21"/>
  </w:num>
  <w:num w:numId="11">
    <w:abstractNumId w:val="24"/>
  </w:num>
  <w:num w:numId="12">
    <w:abstractNumId w:val="0"/>
  </w:num>
  <w:num w:numId="13">
    <w:abstractNumId w:val="5"/>
  </w:num>
  <w:num w:numId="14">
    <w:abstractNumId w:val="20"/>
  </w:num>
  <w:num w:numId="15">
    <w:abstractNumId w:val="13"/>
  </w:num>
  <w:num w:numId="16">
    <w:abstractNumId w:val="1"/>
  </w:num>
  <w:num w:numId="17">
    <w:abstractNumId w:val="12"/>
  </w:num>
  <w:num w:numId="18">
    <w:abstractNumId w:val="6"/>
  </w:num>
  <w:num w:numId="19">
    <w:abstractNumId w:val="25"/>
  </w:num>
  <w:num w:numId="20">
    <w:abstractNumId w:val="7"/>
  </w:num>
  <w:num w:numId="21">
    <w:abstractNumId w:val="9"/>
  </w:num>
  <w:num w:numId="22">
    <w:abstractNumId w:val="19"/>
  </w:num>
  <w:num w:numId="23">
    <w:abstractNumId w:val="22"/>
  </w:num>
  <w:num w:numId="24">
    <w:abstractNumId w:val="3"/>
  </w:num>
  <w:num w:numId="25">
    <w:abstractNumId w:val="18"/>
  </w:num>
  <w:num w:numId="26">
    <w:abstractNumId w:val="23"/>
  </w:num>
  <w:num w:numId="27">
    <w:abstractNumId w:val="2"/>
  </w:num>
  <w:num w:numId="28">
    <w:abstractNumId w:val="16"/>
  </w:num>
  <w:num w:numId="29">
    <w:abstractNumId w:val="2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F6F"/>
    <w:rsid w:val="00000963"/>
    <w:rsid w:val="00013E98"/>
    <w:rsid w:val="00021C3F"/>
    <w:rsid w:val="000240FD"/>
    <w:rsid w:val="00030E50"/>
    <w:rsid w:val="000556BC"/>
    <w:rsid w:val="00056DA0"/>
    <w:rsid w:val="00064AEE"/>
    <w:rsid w:val="00070A35"/>
    <w:rsid w:val="00080A83"/>
    <w:rsid w:val="000839AD"/>
    <w:rsid w:val="00085A3A"/>
    <w:rsid w:val="000952AE"/>
    <w:rsid w:val="000954D8"/>
    <w:rsid w:val="000B6614"/>
    <w:rsid w:val="000C508C"/>
    <w:rsid w:val="000D0717"/>
    <w:rsid w:val="000D1824"/>
    <w:rsid w:val="000D6A0A"/>
    <w:rsid w:val="000D6FD5"/>
    <w:rsid w:val="000E351E"/>
    <w:rsid w:val="000E4850"/>
    <w:rsid w:val="000E48D8"/>
    <w:rsid w:val="000F5059"/>
    <w:rsid w:val="000F5DE1"/>
    <w:rsid w:val="00100689"/>
    <w:rsid w:val="0010177C"/>
    <w:rsid w:val="00106470"/>
    <w:rsid w:val="00113790"/>
    <w:rsid w:val="0011576D"/>
    <w:rsid w:val="00124127"/>
    <w:rsid w:val="0013281E"/>
    <w:rsid w:val="00140D44"/>
    <w:rsid w:val="001459C3"/>
    <w:rsid w:val="001563C6"/>
    <w:rsid w:val="00156620"/>
    <w:rsid w:val="001705DF"/>
    <w:rsid w:val="001776CA"/>
    <w:rsid w:val="001A005D"/>
    <w:rsid w:val="001A2F48"/>
    <w:rsid w:val="001A5A39"/>
    <w:rsid w:val="001D108A"/>
    <w:rsid w:val="001D6EAB"/>
    <w:rsid w:val="001E0402"/>
    <w:rsid w:val="001E0AB3"/>
    <w:rsid w:val="001E740E"/>
    <w:rsid w:val="001F0630"/>
    <w:rsid w:val="001F164C"/>
    <w:rsid w:val="00200576"/>
    <w:rsid w:val="00207E1B"/>
    <w:rsid w:val="00217866"/>
    <w:rsid w:val="00217F15"/>
    <w:rsid w:val="00231951"/>
    <w:rsid w:val="002341FA"/>
    <w:rsid w:val="00245425"/>
    <w:rsid w:val="00251F7D"/>
    <w:rsid w:val="002521D2"/>
    <w:rsid w:val="00266BC8"/>
    <w:rsid w:val="00291454"/>
    <w:rsid w:val="0029250D"/>
    <w:rsid w:val="00294746"/>
    <w:rsid w:val="00296A87"/>
    <w:rsid w:val="002B4F13"/>
    <w:rsid w:val="002C03B4"/>
    <w:rsid w:val="002C1179"/>
    <w:rsid w:val="002C1404"/>
    <w:rsid w:val="002D039E"/>
    <w:rsid w:val="002D2E1C"/>
    <w:rsid w:val="002D70D2"/>
    <w:rsid w:val="002E13B8"/>
    <w:rsid w:val="002F2A35"/>
    <w:rsid w:val="00303077"/>
    <w:rsid w:val="00306FD4"/>
    <w:rsid w:val="003130B3"/>
    <w:rsid w:val="0031702F"/>
    <w:rsid w:val="00327878"/>
    <w:rsid w:val="00333F7C"/>
    <w:rsid w:val="00347BAA"/>
    <w:rsid w:val="003519F4"/>
    <w:rsid w:val="0035295C"/>
    <w:rsid w:val="00355A48"/>
    <w:rsid w:val="003629F3"/>
    <w:rsid w:val="00370BC9"/>
    <w:rsid w:val="00372EFF"/>
    <w:rsid w:val="003761E1"/>
    <w:rsid w:val="0037737E"/>
    <w:rsid w:val="00382DE7"/>
    <w:rsid w:val="00383511"/>
    <w:rsid w:val="00383582"/>
    <w:rsid w:val="0039267A"/>
    <w:rsid w:val="0039380D"/>
    <w:rsid w:val="003A57E5"/>
    <w:rsid w:val="003C0CE9"/>
    <w:rsid w:val="003C6664"/>
    <w:rsid w:val="003C754D"/>
    <w:rsid w:val="003F3657"/>
    <w:rsid w:val="00406E49"/>
    <w:rsid w:val="00410128"/>
    <w:rsid w:val="0041296A"/>
    <w:rsid w:val="004202E9"/>
    <w:rsid w:val="00433A4F"/>
    <w:rsid w:val="00450031"/>
    <w:rsid w:val="00454EA5"/>
    <w:rsid w:val="004810BA"/>
    <w:rsid w:val="00484674"/>
    <w:rsid w:val="00485184"/>
    <w:rsid w:val="00486845"/>
    <w:rsid w:val="00493A19"/>
    <w:rsid w:val="004964BA"/>
    <w:rsid w:val="004A24AC"/>
    <w:rsid w:val="004B5CCF"/>
    <w:rsid w:val="004C70B2"/>
    <w:rsid w:val="004D2CFB"/>
    <w:rsid w:val="004D4EBB"/>
    <w:rsid w:val="004D5921"/>
    <w:rsid w:val="004E2D0E"/>
    <w:rsid w:val="004E682F"/>
    <w:rsid w:val="004F2B7B"/>
    <w:rsid w:val="004F7A43"/>
    <w:rsid w:val="005157E0"/>
    <w:rsid w:val="00517E29"/>
    <w:rsid w:val="00521ED2"/>
    <w:rsid w:val="00524580"/>
    <w:rsid w:val="005277D4"/>
    <w:rsid w:val="00533E38"/>
    <w:rsid w:val="00534986"/>
    <w:rsid w:val="0053671F"/>
    <w:rsid w:val="00537EF3"/>
    <w:rsid w:val="00552765"/>
    <w:rsid w:val="00562ECA"/>
    <w:rsid w:val="005657F7"/>
    <w:rsid w:val="0057272B"/>
    <w:rsid w:val="00591A7F"/>
    <w:rsid w:val="005979AF"/>
    <w:rsid w:val="005A7522"/>
    <w:rsid w:val="005D08F0"/>
    <w:rsid w:val="005E1D38"/>
    <w:rsid w:val="005E398D"/>
    <w:rsid w:val="005F0042"/>
    <w:rsid w:val="00613EF0"/>
    <w:rsid w:val="00617241"/>
    <w:rsid w:val="00625391"/>
    <w:rsid w:val="006426ED"/>
    <w:rsid w:val="00650825"/>
    <w:rsid w:val="006579B7"/>
    <w:rsid w:val="00674A06"/>
    <w:rsid w:val="006854D5"/>
    <w:rsid w:val="00690855"/>
    <w:rsid w:val="006913D3"/>
    <w:rsid w:val="006A171D"/>
    <w:rsid w:val="006A5143"/>
    <w:rsid w:val="006C29B7"/>
    <w:rsid w:val="006C74B0"/>
    <w:rsid w:val="006D7170"/>
    <w:rsid w:val="007136BA"/>
    <w:rsid w:val="00715A2F"/>
    <w:rsid w:val="0071776D"/>
    <w:rsid w:val="00721A63"/>
    <w:rsid w:val="00732BC1"/>
    <w:rsid w:val="0073773F"/>
    <w:rsid w:val="00742AE2"/>
    <w:rsid w:val="0075720E"/>
    <w:rsid w:val="0076314D"/>
    <w:rsid w:val="00766DBF"/>
    <w:rsid w:val="007738B9"/>
    <w:rsid w:val="0079128A"/>
    <w:rsid w:val="00796BA6"/>
    <w:rsid w:val="007A3916"/>
    <w:rsid w:val="007A425E"/>
    <w:rsid w:val="007A4610"/>
    <w:rsid w:val="007C21BE"/>
    <w:rsid w:val="007C64CF"/>
    <w:rsid w:val="007D2B8A"/>
    <w:rsid w:val="007F642B"/>
    <w:rsid w:val="008050ED"/>
    <w:rsid w:val="00810D35"/>
    <w:rsid w:val="00820536"/>
    <w:rsid w:val="008210C6"/>
    <w:rsid w:val="00843D3C"/>
    <w:rsid w:val="00847085"/>
    <w:rsid w:val="0085350B"/>
    <w:rsid w:val="0085418A"/>
    <w:rsid w:val="008555B3"/>
    <w:rsid w:val="00864CD1"/>
    <w:rsid w:val="00877283"/>
    <w:rsid w:val="00886923"/>
    <w:rsid w:val="00887DD3"/>
    <w:rsid w:val="00893527"/>
    <w:rsid w:val="00894618"/>
    <w:rsid w:val="008958E5"/>
    <w:rsid w:val="008C40DA"/>
    <w:rsid w:val="008D4399"/>
    <w:rsid w:val="008D4589"/>
    <w:rsid w:val="008E2063"/>
    <w:rsid w:val="008E26BB"/>
    <w:rsid w:val="008F782A"/>
    <w:rsid w:val="0090394C"/>
    <w:rsid w:val="00905B75"/>
    <w:rsid w:val="00913EDA"/>
    <w:rsid w:val="00915B15"/>
    <w:rsid w:val="00916436"/>
    <w:rsid w:val="00920718"/>
    <w:rsid w:val="00922D9E"/>
    <w:rsid w:val="00923ADB"/>
    <w:rsid w:val="00930347"/>
    <w:rsid w:val="00932568"/>
    <w:rsid w:val="0093678A"/>
    <w:rsid w:val="00940733"/>
    <w:rsid w:val="00976405"/>
    <w:rsid w:val="00980B6B"/>
    <w:rsid w:val="00982360"/>
    <w:rsid w:val="009852E1"/>
    <w:rsid w:val="009922F8"/>
    <w:rsid w:val="009A4D28"/>
    <w:rsid w:val="009B3527"/>
    <w:rsid w:val="009B6601"/>
    <w:rsid w:val="009B7A33"/>
    <w:rsid w:val="009C28B1"/>
    <w:rsid w:val="009D3BD5"/>
    <w:rsid w:val="009E37BD"/>
    <w:rsid w:val="00A029B9"/>
    <w:rsid w:val="00A10C5B"/>
    <w:rsid w:val="00A323DD"/>
    <w:rsid w:val="00A34E0C"/>
    <w:rsid w:val="00A478C9"/>
    <w:rsid w:val="00A513A8"/>
    <w:rsid w:val="00A54641"/>
    <w:rsid w:val="00A54D5B"/>
    <w:rsid w:val="00A67C86"/>
    <w:rsid w:val="00A70EE8"/>
    <w:rsid w:val="00A76454"/>
    <w:rsid w:val="00A7676B"/>
    <w:rsid w:val="00A829A1"/>
    <w:rsid w:val="00A82A2E"/>
    <w:rsid w:val="00A90855"/>
    <w:rsid w:val="00AA23FD"/>
    <w:rsid w:val="00AA710B"/>
    <w:rsid w:val="00AB570B"/>
    <w:rsid w:val="00AC6377"/>
    <w:rsid w:val="00AE011D"/>
    <w:rsid w:val="00AE4090"/>
    <w:rsid w:val="00AE6D1D"/>
    <w:rsid w:val="00AF1649"/>
    <w:rsid w:val="00AF1832"/>
    <w:rsid w:val="00AF7EDA"/>
    <w:rsid w:val="00B04B33"/>
    <w:rsid w:val="00B21C92"/>
    <w:rsid w:val="00B23B3E"/>
    <w:rsid w:val="00B42CCD"/>
    <w:rsid w:val="00B52667"/>
    <w:rsid w:val="00B71C13"/>
    <w:rsid w:val="00B82D7B"/>
    <w:rsid w:val="00B8467E"/>
    <w:rsid w:val="00B97324"/>
    <w:rsid w:val="00BA044C"/>
    <w:rsid w:val="00BA4804"/>
    <w:rsid w:val="00BA5B25"/>
    <w:rsid w:val="00BA6CE3"/>
    <w:rsid w:val="00BB2B3B"/>
    <w:rsid w:val="00BB4287"/>
    <w:rsid w:val="00BC4B69"/>
    <w:rsid w:val="00BE1244"/>
    <w:rsid w:val="00BE35C8"/>
    <w:rsid w:val="00C069AF"/>
    <w:rsid w:val="00C10BD9"/>
    <w:rsid w:val="00C13A2C"/>
    <w:rsid w:val="00C152BF"/>
    <w:rsid w:val="00C25EBD"/>
    <w:rsid w:val="00C40C3B"/>
    <w:rsid w:val="00C4429B"/>
    <w:rsid w:val="00C45611"/>
    <w:rsid w:val="00C53A90"/>
    <w:rsid w:val="00C617B4"/>
    <w:rsid w:val="00C65907"/>
    <w:rsid w:val="00C661DD"/>
    <w:rsid w:val="00C72065"/>
    <w:rsid w:val="00C87C72"/>
    <w:rsid w:val="00C87F25"/>
    <w:rsid w:val="00C92ACF"/>
    <w:rsid w:val="00C94140"/>
    <w:rsid w:val="00C96F6F"/>
    <w:rsid w:val="00CA32FB"/>
    <w:rsid w:val="00CA77DA"/>
    <w:rsid w:val="00CC06A2"/>
    <w:rsid w:val="00CC1037"/>
    <w:rsid w:val="00CC245F"/>
    <w:rsid w:val="00CC2B48"/>
    <w:rsid w:val="00CD170C"/>
    <w:rsid w:val="00CD7D00"/>
    <w:rsid w:val="00CE20C6"/>
    <w:rsid w:val="00CE2C97"/>
    <w:rsid w:val="00CE3F77"/>
    <w:rsid w:val="00CF3286"/>
    <w:rsid w:val="00CF5A2F"/>
    <w:rsid w:val="00D00F8B"/>
    <w:rsid w:val="00D01FD2"/>
    <w:rsid w:val="00D03306"/>
    <w:rsid w:val="00D0479B"/>
    <w:rsid w:val="00D04BA5"/>
    <w:rsid w:val="00D05F18"/>
    <w:rsid w:val="00D16FD3"/>
    <w:rsid w:val="00D2243E"/>
    <w:rsid w:val="00D22EE2"/>
    <w:rsid w:val="00D244B4"/>
    <w:rsid w:val="00D24832"/>
    <w:rsid w:val="00D27558"/>
    <w:rsid w:val="00D301A9"/>
    <w:rsid w:val="00D339A2"/>
    <w:rsid w:val="00D41EFD"/>
    <w:rsid w:val="00D75FE0"/>
    <w:rsid w:val="00D83E6B"/>
    <w:rsid w:val="00D94ECF"/>
    <w:rsid w:val="00DA1C98"/>
    <w:rsid w:val="00DA2415"/>
    <w:rsid w:val="00DA7103"/>
    <w:rsid w:val="00DD487C"/>
    <w:rsid w:val="00DF1726"/>
    <w:rsid w:val="00E00BF1"/>
    <w:rsid w:val="00E04952"/>
    <w:rsid w:val="00E04F72"/>
    <w:rsid w:val="00E04FF6"/>
    <w:rsid w:val="00E14317"/>
    <w:rsid w:val="00E3743F"/>
    <w:rsid w:val="00E40395"/>
    <w:rsid w:val="00E51D82"/>
    <w:rsid w:val="00E60E05"/>
    <w:rsid w:val="00E67785"/>
    <w:rsid w:val="00E734D3"/>
    <w:rsid w:val="00E73BCB"/>
    <w:rsid w:val="00E808EE"/>
    <w:rsid w:val="00E862AE"/>
    <w:rsid w:val="00E914AF"/>
    <w:rsid w:val="00E918DE"/>
    <w:rsid w:val="00EA1AFC"/>
    <w:rsid w:val="00EA25AC"/>
    <w:rsid w:val="00EA73B9"/>
    <w:rsid w:val="00EA744B"/>
    <w:rsid w:val="00EA74A0"/>
    <w:rsid w:val="00EB1A9A"/>
    <w:rsid w:val="00EB2808"/>
    <w:rsid w:val="00EB5898"/>
    <w:rsid w:val="00EB7966"/>
    <w:rsid w:val="00EC09C0"/>
    <w:rsid w:val="00EC5144"/>
    <w:rsid w:val="00ED08C7"/>
    <w:rsid w:val="00ED5A12"/>
    <w:rsid w:val="00ED5CC8"/>
    <w:rsid w:val="00ED7E41"/>
    <w:rsid w:val="00EE722D"/>
    <w:rsid w:val="00EF5644"/>
    <w:rsid w:val="00EF6AE5"/>
    <w:rsid w:val="00F00B34"/>
    <w:rsid w:val="00F0446C"/>
    <w:rsid w:val="00F12FEB"/>
    <w:rsid w:val="00F13CD9"/>
    <w:rsid w:val="00F20D02"/>
    <w:rsid w:val="00F31879"/>
    <w:rsid w:val="00F338B2"/>
    <w:rsid w:val="00F42CD3"/>
    <w:rsid w:val="00F479AE"/>
    <w:rsid w:val="00F52802"/>
    <w:rsid w:val="00F65425"/>
    <w:rsid w:val="00F7471F"/>
    <w:rsid w:val="00F77F4E"/>
    <w:rsid w:val="00F8483A"/>
    <w:rsid w:val="00F90868"/>
    <w:rsid w:val="00FB16DD"/>
    <w:rsid w:val="00FC01F9"/>
    <w:rsid w:val="00FD568C"/>
    <w:rsid w:val="00FE0031"/>
    <w:rsid w:val="00FE35CB"/>
    <w:rsid w:val="00FE5CB1"/>
    <w:rsid w:val="00FE5EB8"/>
    <w:rsid w:val="00FE6B50"/>
    <w:rsid w:val="00FF15B6"/>
    <w:rsid w:val="00FF1AAC"/>
    <w:rsid w:val="00FF30E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D56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96F6F"/>
    <w:pPr>
      <w:ind w:left="720"/>
      <w:contextualSpacing/>
    </w:pPr>
  </w:style>
  <w:style w:type="paragraph" w:styleId="Ballontekst">
    <w:name w:val="Balloon Text"/>
    <w:basedOn w:val="Standaard"/>
    <w:link w:val="BallontekstChar"/>
    <w:uiPriority w:val="99"/>
    <w:semiHidden/>
    <w:unhideWhenUsed/>
    <w:rsid w:val="00C96F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6F6F"/>
    <w:rPr>
      <w:rFonts w:ascii="Tahoma" w:hAnsi="Tahoma" w:cs="Tahoma"/>
      <w:sz w:val="16"/>
      <w:szCs w:val="16"/>
    </w:rPr>
  </w:style>
  <w:style w:type="paragraph" w:styleId="Koptekst">
    <w:name w:val="header"/>
    <w:basedOn w:val="Standaard"/>
    <w:link w:val="KoptekstChar"/>
    <w:uiPriority w:val="99"/>
    <w:unhideWhenUsed/>
    <w:rsid w:val="000954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54D8"/>
  </w:style>
  <w:style w:type="paragraph" w:styleId="Voettekst">
    <w:name w:val="footer"/>
    <w:basedOn w:val="Standaard"/>
    <w:link w:val="VoettekstChar"/>
    <w:uiPriority w:val="99"/>
    <w:unhideWhenUsed/>
    <w:rsid w:val="000954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54D8"/>
  </w:style>
  <w:style w:type="character" w:styleId="Hyperlink">
    <w:name w:val="Hyperlink"/>
    <w:basedOn w:val="Standaardalinea-lettertype"/>
    <w:uiPriority w:val="99"/>
    <w:unhideWhenUsed/>
    <w:rsid w:val="00FE35CB"/>
    <w:rPr>
      <w:color w:val="0000FF" w:themeColor="hyperlink"/>
      <w:u w:val="single"/>
    </w:rPr>
  </w:style>
  <w:style w:type="table" w:styleId="Tabelraster">
    <w:name w:val="Table Grid"/>
    <w:basedOn w:val="Standaardtabel"/>
    <w:uiPriority w:val="59"/>
    <w:rsid w:val="00F13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volging0">
    <w:name w:val="_opvolging"/>
    <w:basedOn w:val="Standaard"/>
    <w:next w:val="Standaard"/>
    <w:uiPriority w:val="22"/>
    <w:qFormat/>
    <w:rsid w:val="004B5CCF"/>
    <w:pPr>
      <w:numPr>
        <w:numId w:val="13"/>
      </w:numPr>
      <w:spacing w:before="80" w:after="0" w:line="262" w:lineRule="auto"/>
      <w:jc w:val="both"/>
    </w:pPr>
    <w:rPr>
      <w:rFonts w:eastAsia="Times New Roman" w:cs="Times New Roman"/>
      <w:spacing w:val="2"/>
      <w:sz w:val="20"/>
      <w:szCs w:val="20"/>
      <w:lang w:eastAsia="nl-NL"/>
    </w:rPr>
  </w:style>
  <w:style w:type="numbering" w:customStyle="1" w:styleId="OPVOLGING">
    <w:name w:val="..OPVOLGING"/>
    <w:uiPriority w:val="99"/>
    <w:rsid w:val="004B5CCF"/>
    <w:pPr>
      <w:numPr>
        <w:numId w:val="12"/>
      </w:numPr>
    </w:pPr>
  </w:style>
  <w:style w:type="paragraph" w:styleId="Voetnoottekst">
    <w:name w:val="footnote text"/>
    <w:basedOn w:val="Standaard"/>
    <w:link w:val="VoetnoottekstChar"/>
    <w:uiPriority w:val="99"/>
    <w:semiHidden/>
    <w:unhideWhenUsed/>
    <w:rsid w:val="009B7A33"/>
    <w:pPr>
      <w:spacing w:after="0" w:line="240" w:lineRule="auto"/>
    </w:pPr>
    <w:rPr>
      <w:rFonts w:ascii="Arial" w:eastAsia="Arial" w:hAnsi="Arial" w:cs="Arial"/>
      <w:color w:val="000000"/>
      <w:sz w:val="20"/>
      <w:szCs w:val="20"/>
      <w:lang w:eastAsia="nl-BE"/>
    </w:rPr>
  </w:style>
  <w:style w:type="character" w:customStyle="1" w:styleId="VoetnoottekstChar">
    <w:name w:val="Voetnoottekst Char"/>
    <w:basedOn w:val="Standaardalinea-lettertype"/>
    <w:link w:val="Voetnoottekst"/>
    <w:uiPriority w:val="99"/>
    <w:semiHidden/>
    <w:rsid w:val="009B7A33"/>
    <w:rPr>
      <w:rFonts w:ascii="Arial" w:eastAsia="Arial" w:hAnsi="Arial" w:cs="Arial"/>
      <w:color w:val="000000"/>
      <w:sz w:val="20"/>
      <w:szCs w:val="20"/>
      <w:lang w:eastAsia="nl-BE"/>
    </w:rPr>
  </w:style>
  <w:style w:type="character" w:styleId="Voetnootmarkering">
    <w:name w:val="footnote reference"/>
    <w:basedOn w:val="Standaardalinea-lettertype"/>
    <w:uiPriority w:val="99"/>
    <w:semiHidden/>
    <w:unhideWhenUsed/>
    <w:rsid w:val="009B7A33"/>
    <w:rPr>
      <w:vertAlign w:val="superscript"/>
    </w:rPr>
  </w:style>
  <w:style w:type="character" w:styleId="GevolgdeHyperlink">
    <w:name w:val="FollowedHyperlink"/>
    <w:basedOn w:val="Standaardalinea-lettertype"/>
    <w:uiPriority w:val="99"/>
    <w:semiHidden/>
    <w:unhideWhenUsed/>
    <w:rsid w:val="00454EA5"/>
    <w:rPr>
      <w:color w:val="800080" w:themeColor="followedHyperlink"/>
      <w:u w:val="single"/>
    </w:rPr>
  </w:style>
  <w:style w:type="character" w:styleId="Verwijzingopmerking">
    <w:name w:val="annotation reference"/>
    <w:basedOn w:val="Standaardalinea-lettertype"/>
    <w:uiPriority w:val="99"/>
    <w:semiHidden/>
    <w:unhideWhenUsed/>
    <w:rsid w:val="00517E29"/>
    <w:rPr>
      <w:sz w:val="16"/>
      <w:szCs w:val="16"/>
    </w:rPr>
  </w:style>
  <w:style w:type="paragraph" w:styleId="Tekstopmerking">
    <w:name w:val="annotation text"/>
    <w:basedOn w:val="Standaard"/>
    <w:link w:val="TekstopmerkingChar"/>
    <w:uiPriority w:val="99"/>
    <w:semiHidden/>
    <w:unhideWhenUsed/>
    <w:rsid w:val="00517E2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17E29"/>
    <w:rPr>
      <w:sz w:val="20"/>
      <w:szCs w:val="20"/>
    </w:rPr>
  </w:style>
  <w:style w:type="paragraph" w:styleId="Onderwerpvanopmerking">
    <w:name w:val="annotation subject"/>
    <w:basedOn w:val="Tekstopmerking"/>
    <w:next w:val="Tekstopmerking"/>
    <w:link w:val="OnderwerpvanopmerkingChar"/>
    <w:uiPriority w:val="99"/>
    <w:semiHidden/>
    <w:unhideWhenUsed/>
    <w:rsid w:val="00517E29"/>
    <w:rPr>
      <w:b/>
      <w:bCs/>
    </w:rPr>
  </w:style>
  <w:style w:type="character" w:customStyle="1" w:styleId="OnderwerpvanopmerkingChar">
    <w:name w:val="Onderwerp van opmerking Char"/>
    <w:basedOn w:val="TekstopmerkingChar"/>
    <w:link w:val="Onderwerpvanopmerking"/>
    <w:uiPriority w:val="99"/>
    <w:semiHidden/>
    <w:rsid w:val="00517E2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D56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96F6F"/>
    <w:pPr>
      <w:ind w:left="720"/>
      <w:contextualSpacing/>
    </w:pPr>
  </w:style>
  <w:style w:type="paragraph" w:styleId="Ballontekst">
    <w:name w:val="Balloon Text"/>
    <w:basedOn w:val="Standaard"/>
    <w:link w:val="BallontekstChar"/>
    <w:uiPriority w:val="99"/>
    <w:semiHidden/>
    <w:unhideWhenUsed/>
    <w:rsid w:val="00C96F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6F6F"/>
    <w:rPr>
      <w:rFonts w:ascii="Tahoma" w:hAnsi="Tahoma" w:cs="Tahoma"/>
      <w:sz w:val="16"/>
      <w:szCs w:val="16"/>
    </w:rPr>
  </w:style>
  <w:style w:type="paragraph" w:styleId="Koptekst">
    <w:name w:val="header"/>
    <w:basedOn w:val="Standaard"/>
    <w:link w:val="KoptekstChar"/>
    <w:uiPriority w:val="99"/>
    <w:unhideWhenUsed/>
    <w:rsid w:val="000954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54D8"/>
  </w:style>
  <w:style w:type="paragraph" w:styleId="Voettekst">
    <w:name w:val="footer"/>
    <w:basedOn w:val="Standaard"/>
    <w:link w:val="VoettekstChar"/>
    <w:uiPriority w:val="99"/>
    <w:unhideWhenUsed/>
    <w:rsid w:val="000954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54D8"/>
  </w:style>
  <w:style w:type="character" w:styleId="Hyperlink">
    <w:name w:val="Hyperlink"/>
    <w:basedOn w:val="Standaardalinea-lettertype"/>
    <w:uiPriority w:val="99"/>
    <w:unhideWhenUsed/>
    <w:rsid w:val="00FE35CB"/>
    <w:rPr>
      <w:color w:val="0000FF" w:themeColor="hyperlink"/>
      <w:u w:val="single"/>
    </w:rPr>
  </w:style>
  <w:style w:type="table" w:styleId="Tabelraster">
    <w:name w:val="Table Grid"/>
    <w:basedOn w:val="Standaardtabel"/>
    <w:uiPriority w:val="59"/>
    <w:rsid w:val="00F13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volging0">
    <w:name w:val="_opvolging"/>
    <w:basedOn w:val="Standaard"/>
    <w:next w:val="Standaard"/>
    <w:uiPriority w:val="22"/>
    <w:qFormat/>
    <w:rsid w:val="004B5CCF"/>
    <w:pPr>
      <w:numPr>
        <w:numId w:val="13"/>
      </w:numPr>
      <w:spacing w:before="80" w:after="0" w:line="262" w:lineRule="auto"/>
      <w:jc w:val="both"/>
    </w:pPr>
    <w:rPr>
      <w:rFonts w:eastAsia="Times New Roman" w:cs="Times New Roman"/>
      <w:spacing w:val="2"/>
      <w:sz w:val="20"/>
      <w:szCs w:val="20"/>
      <w:lang w:eastAsia="nl-NL"/>
    </w:rPr>
  </w:style>
  <w:style w:type="numbering" w:customStyle="1" w:styleId="OPVOLGING">
    <w:name w:val="..OPVOLGING"/>
    <w:uiPriority w:val="99"/>
    <w:rsid w:val="004B5CCF"/>
    <w:pPr>
      <w:numPr>
        <w:numId w:val="12"/>
      </w:numPr>
    </w:pPr>
  </w:style>
  <w:style w:type="paragraph" w:styleId="Voetnoottekst">
    <w:name w:val="footnote text"/>
    <w:basedOn w:val="Standaard"/>
    <w:link w:val="VoetnoottekstChar"/>
    <w:uiPriority w:val="99"/>
    <w:semiHidden/>
    <w:unhideWhenUsed/>
    <w:rsid w:val="009B7A33"/>
    <w:pPr>
      <w:spacing w:after="0" w:line="240" w:lineRule="auto"/>
    </w:pPr>
    <w:rPr>
      <w:rFonts w:ascii="Arial" w:eastAsia="Arial" w:hAnsi="Arial" w:cs="Arial"/>
      <w:color w:val="000000"/>
      <w:sz w:val="20"/>
      <w:szCs w:val="20"/>
      <w:lang w:eastAsia="nl-BE"/>
    </w:rPr>
  </w:style>
  <w:style w:type="character" w:customStyle="1" w:styleId="VoetnoottekstChar">
    <w:name w:val="Voetnoottekst Char"/>
    <w:basedOn w:val="Standaardalinea-lettertype"/>
    <w:link w:val="Voetnoottekst"/>
    <w:uiPriority w:val="99"/>
    <w:semiHidden/>
    <w:rsid w:val="009B7A33"/>
    <w:rPr>
      <w:rFonts w:ascii="Arial" w:eastAsia="Arial" w:hAnsi="Arial" w:cs="Arial"/>
      <w:color w:val="000000"/>
      <w:sz w:val="20"/>
      <w:szCs w:val="20"/>
      <w:lang w:eastAsia="nl-BE"/>
    </w:rPr>
  </w:style>
  <w:style w:type="character" w:styleId="Voetnootmarkering">
    <w:name w:val="footnote reference"/>
    <w:basedOn w:val="Standaardalinea-lettertype"/>
    <w:uiPriority w:val="99"/>
    <w:semiHidden/>
    <w:unhideWhenUsed/>
    <w:rsid w:val="009B7A33"/>
    <w:rPr>
      <w:vertAlign w:val="superscript"/>
    </w:rPr>
  </w:style>
  <w:style w:type="character" w:styleId="GevolgdeHyperlink">
    <w:name w:val="FollowedHyperlink"/>
    <w:basedOn w:val="Standaardalinea-lettertype"/>
    <w:uiPriority w:val="99"/>
    <w:semiHidden/>
    <w:unhideWhenUsed/>
    <w:rsid w:val="00454EA5"/>
    <w:rPr>
      <w:color w:val="800080" w:themeColor="followedHyperlink"/>
      <w:u w:val="single"/>
    </w:rPr>
  </w:style>
  <w:style w:type="character" w:styleId="Verwijzingopmerking">
    <w:name w:val="annotation reference"/>
    <w:basedOn w:val="Standaardalinea-lettertype"/>
    <w:uiPriority w:val="99"/>
    <w:semiHidden/>
    <w:unhideWhenUsed/>
    <w:rsid w:val="00517E29"/>
    <w:rPr>
      <w:sz w:val="16"/>
      <w:szCs w:val="16"/>
    </w:rPr>
  </w:style>
  <w:style w:type="paragraph" w:styleId="Tekstopmerking">
    <w:name w:val="annotation text"/>
    <w:basedOn w:val="Standaard"/>
    <w:link w:val="TekstopmerkingChar"/>
    <w:uiPriority w:val="99"/>
    <w:semiHidden/>
    <w:unhideWhenUsed/>
    <w:rsid w:val="00517E2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17E29"/>
    <w:rPr>
      <w:sz w:val="20"/>
      <w:szCs w:val="20"/>
    </w:rPr>
  </w:style>
  <w:style w:type="paragraph" w:styleId="Onderwerpvanopmerking">
    <w:name w:val="annotation subject"/>
    <w:basedOn w:val="Tekstopmerking"/>
    <w:next w:val="Tekstopmerking"/>
    <w:link w:val="OnderwerpvanopmerkingChar"/>
    <w:uiPriority w:val="99"/>
    <w:semiHidden/>
    <w:unhideWhenUsed/>
    <w:rsid w:val="00517E29"/>
    <w:rPr>
      <w:b/>
      <w:bCs/>
    </w:rPr>
  </w:style>
  <w:style w:type="character" w:customStyle="1" w:styleId="OnderwerpvanopmerkingChar">
    <w:name w:val="Onderwerp van opmerking Char"/>
    <w:basedOn w:val="TekstopmerkingChar"/>
    <w:link w:val="Onderwerpvanopmerking"/>
    <w:uiPriority w:val="99"/>
    <w:semiHidden/>
    <w:rsid w:val="00517E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7432">
      <w:bodyDiv w:val="1"/>
      <w:marLeft w:val="0"/>
      <w:marRight w:val="0"/>
      <w:marTop w:val="0"/>
      <w:marBottom w:val="0"/>
      <w:divBdr>
        <w:top w:val="none" w:sz="0" w:space="0" w:color="auto"/>
        <w:left w:val="none" w:sz="0" w:space="0" w:color="auto"/>
        <w:bottom w:val="none" w:sz="0" w:space="0" w:color="auto"/>
        <w:right w:val="none" w:sz="0" w:space="0" w:color="auto"/>
      </w:divBdr>
    </w:div>
    <w:div w:id="28115499">
      <w:bodyDiv w:val="1"/>
      <w:marLeft w:val="0"/>
      <w:marRight w:val="0"/>
      <w:marTop w:val="0"/>
      <w:marBottom w:val="0"/>
      <w:divBdr>
        <w:top w:val="none" w:sz="0" w:space="0" w:color="auto"/>
        <w:left w:val="none" w:sz="0" w:space="0" w:color="auto"/>
        <w:bottom w:val="none" w:sz="0" w:space="0" w:color="auto"/>
        <w:right w:val="none" w:sz="0" w:space="0" w:color="auto"/>
      </w:divBdr>
    </w:div>
    <w:div w:id="96096167">
      <w:bodyDiv w:val="1"/>
      <w:marLeft w:val="0"/>
      <w:marRight w:val="0"/>
      <w:marTop w:val="0"/>
      <w:marBottom w:val="0"/>
      <w:divBdr>
        <w:top w:val="none" w:sz="0" w:space="0" w:color="auto"/>
        <w:left w:val="none" w:sz="0" w:space="0" w:color="auto"/>
        <w:bottom w:val="none" w:sz="0" w:space="0" w:color="auto"/>
        <w:right w:val="none" w:sz="0" w:space="0" w:color="auto"/>
      </w:divBdr>
      <w:divsChild>
        <w:div w:id="22365085">
          <w:marLeft w:val="0"/>
          <w:marRight w:val="0"/>
          <w:marTop w:val="0"/>
          <w:marBottom w:val="0"/>
          <w:divBdr>
            <w:top w:val="none" w:sz="0" w:space="0" w:color="auto"/>
            <w:left w:val="none" w:sz="0" w:space="0" w:color="auto"/>
            <w:bottom w:val="none" w:sz="0" w:space="0" w:color="auto"/>
            <w:right w:val="none" w:sz="0" w:space="0" w:color="auto"/>
          </w:divBdr>
        </w:div>
        <w:div w:id="1692683713">
          <w:marLeft w:val="0"/>
          <w:marRight w:val="0"/>
          <w:marTop w:val="0"/>
          <w:marBottom w:val="0"/>
          <w:divBdr>
            <w:top w:val="none" w:sz="0" w:space="0" w:color="auto"/>
            <w:left w:val="none" w:sz="0" w:space="0" w:color="auto"/>
            <w:bottom w:val="none" w:sz="0" w:space="0" w:color="auto"/>
            <w:right w:val="none" w:sz="0" w:space="0" w:color="auto"/>
          </w:divBdr>
        </w:div>
        <w:div w:id="913776488">
          <w:marLeft w:val="0"/>
          <w:marRight w:val="0"/>
          <w:marTop w:val="0"/>
          <w:marBottom w:val="0"/>
          <w:divBdr>
            <w:top w:val="none" w:sz="0" w:space="0" w:color="auto"/>
            <w:left w:val="none" w:sz="0" w:space="0" w:color="auto"/>
            <w:bottom w:val="none" w:sz="0" w:space="0" w:color="auto"/>
            <w:right w:val="none" w:sz="0" w:space="0" w:color="auto"/>
          </w:divBdr>
        </w:div>
        <w:div w:id="1639604070">
          <w:marLeft w:val="0"/>
          <w:marRight w:val="0"/>
          <w:marTop w:val="0"/>
          <w:marBottom w:val="0"/>
          <w:divBdr>
            <w:top w:val="none" w:sz="0" w:space="0" w:color="auto"/>
            <w:left w:val="none" w:sz="0" w:space="0" w:color="auto"/>
            <w:bottom w:val="none" w:sz="0" w:space="0" w:color="auto"/>
            <w:right w:val="none" w:sz="0" w:space="0" w:color="auto"/>
          </w:divBdr>
        </w:div>
        <w:div w:id="157574455">
          <w:marLeft w:val="0"/>
          <w:marRight w:val="0"/>
          <w:marTop w:val="0"/>
          <w:marBottom w:val="0"/>
          <w:divBdr>
            <w:top w:val="none" w:sz="0" w:space="0" w:color="auto"/>
            <w:left w:val="none" w:sz="0" w:space="0" w:color="auto"/>
            <w:bottom w:val="none" w:sz="0" w:space="0" w:color="auto"/>
            <w:right w:val="none" w:sz="0" w:space="0" w:color="auto"/>
          </w:divBdr>
        </w:div>
      </w:divsChild>
    </w:div>
    <w:div w:id="153450051">
      <w:bodyDiv w:val="1"/>
      <w:marLeft w:val="0"/>
      <w:marRight w:val="0"/>
      <w:marTop w:val="0"/>
      <w:marBottom w:val="0"/>
      <w:divBdr>
        <w:top w:val="none" w:sz="0" w:space="0" w:color="auto"/>
        <w:left w:val="none" w:sz="0" w:space="0" w:color="auto"/>
        <w:bottom w:val="none" w:sz="0" w:space="0" w:color="auto"/>
        <w:right w:val="none" w:sz="0" w:space="0" w:color="auto"/>
      </w:divBdr>
    </w:div>
    <w:div w:id="551621219">
      <w:bodyDiv w:val="1"/>
      <w:marLeft w:val="0"/>
      <w:marRight w:val="0"/>
      <w:marTop w:val="0"/>
      <w:marBottom w:val="0"/>
      <w:divBdr>
        <w:top w:val="none" w:sz="0" w:space="0" w:color="auto"/>
        <w:left w:val="none" w:sz="0" w:space="0" w:color="auto"/>
        <w:bottom w:val="none" w:sz="0" w:space="0" w:color="auto"/>
        <w:right w:val="none" w:sz="0" w:space="0" w:color="auto"/>
      </w:divBdr>
    </w:div>
    <w:div w:id="810750139">
      <w:bodyDiv w:val="1"/>
      <w:marLeft w:val="0"/>
      <w:marRight w:val="0"/>
      <w:marTop w:val="0"/>
      <w:marBottom w:val="0"/>
      <w:divBdr>
        <w:top w:val="none" w:sz="0" w:space="0" w:color="auto"/>
        <w:left w:val="none" w:sz="0" w:space="0" w:color="auto"/>
        <w:bottom w:val="none" w:sz="0" w:space="0" w:color="auto"/>
        <w:right w:val="none" w:sz="0" w:space="0" w:color="auto"/>
      </w:divBdr>
    </w:div>
    <w:div w:id="1257248226">
      <w:bodyDiv w:val="1"/>
      <w:marLeft w:val="0"/>
      <w:marRight w:val="0"/>
      <w:marTop w:val="0"/>
      <w:marBottom w:val="0"/>
      <w:divBdr>
        <w:top w:val="none" w:sz="0" w:space="0" w:color="auto"/>
        <w:left w:val="none" w:sz="0" w:space="0" w:color="auto"/>
        <w:bottom w:val="none" w:sz="0" w:space="0" w:color="auto"/>
        <w:right w:val="none" w:sz="0" w:space="0" w:color="auto"/>
      </w:divBdr>
    </w:div>
    <w:div w:id="1766995755">
      <w:bodyDiv w:val="1"/>
      <w:marLeft w:val="0"/>
      <w:marRight w:val="0"/>
      <w:marTop w:val="0"/>
      <w:marBottom w:val="0"/>
      <w:divBdr>
        <w:top w:val="none" w:sz="0" w:space="0" w:color="auto"/>
        <w:left w:val="none" w:sz="0" w:space="0" w:color="auto"/>
        <w:bottom w:val="none" w:sz="0" w:space="0" w:color="auto"/>
        <w:right w:val="none" w:sz="0" w:space="0" w:color="auto"/>
      </w:divBdr>
      <w:divsChild>
        <w:div w:id="826358110">
          <w:marLeft w:val="0"/>
          <w:marRight w:val="0"/>
          <w:marTop w:val="0"/>
          <w:marBottom w:val="0"/>
          <w:divBdr>
            <w:top w:val="none" w:sz="0" w:space="0" w:color="auto"/>
            <w:left w:val="none" w:sz="0" w:space="0" w:color="auto"/>
            <w:bottom w:val="none" w:sz="0" w:space="0" w:color="auto"/>
            <w:right w:val="none" w:sz="0" w:space="0" w:color="auto"/>
          </w:divBdr>
        </w:div>
        <w:div w:id="1550921699">
          <w:marLeft w:val="0"/>
          <w:marRight w:val="0"/>
          <w:marTop w:val="0"/>
          <w:marBottom w:val="0"/>
          <w:divBdr>
            <w:top w:val="none" w:sz="0" w:space="0" w:color="auto"/>
            <w:left w:val="none" w:sz="0" w:space="0" w:color="auto"/>
            <w:bottom w:val="none" w:sz="0" w:space="0" w:color="auto"/>
            <w:right w:val="none" w:sz="0" w:space="0" w:color="auto"/>
          </w:divBdr>
        </w:div>
        <w:div w:id="879246169">
          <w:marLeft w:val="0"/>
          <w:marRight w:val="0"/>
          <w:marTop w:val="0"/>
          <w:marBottom w:val="0"/>
          <w:divBdr>
            <w:top w:val="none" w:sz="0" w:space="0" w:color="auto"/>
            <w:left w:val="none" w:sz="0" w:space="0" w:color="auto"/>
            <w:bottom w:val="none" w:sz="0" w:space="0" w:color="auto"/>
            <w:right w:val="none" w:sz="0" w:space="0" w:color="auto"/>
          </w:divBdr>
        </w:div>
        <w:div w:id="1454985206">
          <w:marLeft w:val="0"/>
          <w:marRight w:val="0"/>
          <w:marTop w:val="0"/>
          <w:marBottom w:val="0"/>
          <w:divBdr>
            <w:top w:val="none" w:sz="0" w:space="0" w:color="auto"/>
            <w:left w:val="none" w:sz="0" w:space="0" w:color="auto"/>
            <w:bottom w:val="none" w:sz="0" w:space="0" w:color="auto"/>
            <w:right w:val="none" w:sz="0" w:space="0" w:color="auto"/>
          </w:divBdr>
        </w:div>
        <w:div w:id="872038505">
          <w:marLeft w:val="0"/>
          <w:marRight w:val="0"/>
          <w:marTop w:val="0"/>
          <w:marBottom w:val="0"/>
          <w:divBdr>
            <w:top w:val="none" w:sz="0" w:space="0" w:color="auto"/>
            <w:left w:val="none" w:sz="0" w:space="0" w:color="auto"/>
            <w:bottom w:val="none" w:sz="0" w:space="0" w:color="auto"/>
            <w:right w:val="none" w:sz="0" w:space="0" w:color="auto"/>
          </w:divBdr>
        </w:div>
        <w:div w:id="342975648">
          <w:marLeft w:val="0"/>
          <w:marRight w:val="0"/>
          <w:marTop w:val="0"/>
          <w:marBottom w:val="0"/>
          <w:divBdr>
            <w:top w:val="none" w:sz="0" w:space="0" w:color="auto"/>
            <w:left w:val="none" w:sz="0" w:space="0" w:color="auto"/>
            <w:bottom w:val="none" w:sz="0" w:space="0" w:color="auto"/>
            <w:right w:val="none" w:sz="0" w:space="0" w:color="auto"/>
          </w:divBdr>
        </w:div>
        <w:div w:id="1717008075">
          <w:marLeft w:val="0"/>
          <w:marRight w:val="0"/>
          <w:marTop w:val="0"/>
          <w:marBottom w:val="0"/>
          <w:divBdr>
            <w:top w:val="none" w:sz="0" w:space="0" w:color="auto"/>
            <w:left w:val="none" w:sz="0" w:space="0" w:color="auto"/>
            <w:bottom w:val="none" w:sz="0" w:space="0" w:color="auto"/>
            <w:right w:val="none" w:sz="0" w:space="0" w:color="auto"/>
          </w:divBdr>
        </w:div>
        <w:div w:id="103425430">
          <w:marLeft w:val="0"/>
          <w:marRight w:val="0"/>
          <w:marTop w:val="0"/>
          <w:marBottom w:val="0"/>
          <w:divBdr>
            <w:top w:val="none" w:sz="0" w:space="0" w:color="auto"/>
            <w:left w:val="none" w:sz="0" w:space="0" w:color="auto"/>
            <w:bottom w:val="none" w:sz="0" w:space="0" w:color="auto"/>
            <w:right w:val="none" w:sz="0" w:space="0" w:color="auto"/>
          </w:divBdr>
        </w:div>
        <w:div w:id="1860730748">
          <w:marLeft w:val="0"/>
          <w:marRight w:val="0"/>
          <w:marTop w:val="0"/>
          <w:marBottom w:val="0"/>
          <w:divBdr>
            <w:top w:val="none" w:sz="0" w:space="0" w:color="auto"/>
            <w:left w:val="none" w:sz="0" w:space="0" w:color="auto"/>
            <w:bottom w:val="none" w:sz="0" w:space="0" w:color="auto"/>
            <w:right w:val="none" w:sz="0" w:space="0" w:color="auto"/>
          </w:divBdr>
        </w:div>
        <w:div w:id="1934046175">
          <w:marLeft w:val="0"/>
          <w:marRight w:val="0"/>
          <w:marTop w:val="0"/>
          <w:marBottom w:val="0"/>
          <w:divBdr>
            <w:top w:val="none" w:sz="0" w:space="0" w:color="auto"/>
            <w:left w:val="none" w:sz="0" w:space="0" w:color="auto"/>
            <w:bottom w:val="none" w:sz="0" w:space="0" w:color="auto"/>
            <w:right w:val="none" w:sz="0" w:space="0" w:color="auto"/>
          </w:divBdr>
        </w:div>
        <w:div w:id="2072458499">
          <w:marLeft w:val="0"/>
          <w:marRight w:val="0"/>
          <w:marTop w:val="0"/>
          <w:marBottom w:val="0"/>
          <w:divBdr>
            <w:top w:val="none" w:sz="0" w:space="0" w:color="auto"/>
            <w:left w:val="none" w:sz="0" w:space="0" w:color="auto"/>
            <w:bottom w:val="none" w:sz="0" w:space="0" w:color="auto"/>
            <w:right w:val="none" w:sz="0" w:space="0" w:color="auto"/>
          </w:divBdr>
        </w:div>
        <w:div w:id="1456439084">
          <w:marLeft w:val="0"/>
          <w:marRight w:val="0"/>
          <w:marTop w:val="0"/>
          <w:marBottom w:val="0"/>
          <w:divBdr>
            <w:top w:val="none" w:sz="0" w:space="0" w:color="auto"/>
            <w:left w:val="none" w:sz="0" w:space="0" w:color="auto"/>
            <w:bottom w:val="none" w:sz="0" w:space="0" w:color="auto"/>
            <w:right w:val="none" w:sz="0" w:space="0" w:color="auto"/>
          </w:divBdr>
        </w:div>
      </w:divsChild>
    </w:div>
    <w:div w:id="1973171858">
      <w:bodyDiv w:val="1"/>
      <w:marLeft w:val="0"/>
      <w:marRight w:val="0"/>
      <w:marTop w:val="0"/>
      <w:marBottom w:val="0"/>
      <w:divBdr>
        <w:top w:val="none" w:sz="0" w:space="0" w:color="auto"/>
        <w:left w:val="none" w:sz="0" w:space="0" w:color="auto"/>
        <w:bottom w:val="none" w:sz="0" w:space="0" w:color="auto"/>
        <w:right w:val="none" w:sz="0" w:space="0" w:color="auto"/>
      </w:divBdr>
    </w:div>
    <w:div w:id="2079012056">
      <w:bodyDiv w:val="1"/>
      <w:marLeft w:val="0"/>
      <w:marRight w:val="0"/>
      <w:marTop w:val="0"/>
      <w:marBottom w:val="0"/>
      <w:divBdr>
        <w:top w:val="none" w:sz="0" w:space="0" w:color="auto"/>
        <w:left w:val="none" w:sz="0" w:space="0" w:color="auto"/>
        <w:bottom w:val="none" w:sz="0" w:space="0" w:color="auto"/>
        <w:right w:val="none" w:sz="0" w:space="0" w:color="auto"/>
      </w:divBdr>
    </w:div>
    <w:div w:id="213328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vdab.be/vluchteling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hart" Target="charts/chart5.xml"/><Relationship Id="rId22" Type="http://schemas.openxmlformats.org/officeDocument/2006/relationships/footer" Target="footer3.xml"/><Relationship Id="rId27"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1" Type="http://schemas.openxmlformats.org/officeDocument/2006/relationships/oleObject" Target="file:///D:\Profiles\dsanders\Documents\Integratie%20via%20werk\Analyse%20instroom\Kwartaalrapportering%20december%202017\wz_andrtalig_uitstroom_17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rofiles\dsanders\Documents\Integratie%20via%20werk\Analyse%20instroom\Kwartaalrapportering%20december%202017\wz_andrtalig_uitstroom_17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ofiles\dsanders\Documents\Integratie%20via%20werk\Analyse%20instroom\Kwartaalrapportering%20december%202017\wz_andrtalig_uitstroom_17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ofiles\dsanders\Documents\Integratie%20via%20werk\Analyse%20instroom\Kwartaalrapportering%20december%202017\wz_andrtalig_uitstroom_17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ofiles\dsanders\Documents\Integratie%20via%20werk\Analyse%20instroom\Kwartaalrapportering%20december%202017\wz_andrtalig_uitstroom_17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'Evolutie instroom'!$C$2</c:f>
              <c:strCache>
                <c:ptCount val="1"/>
                <c:pt idx="0">
                  <c:v>Totale instroom</c:v>
                </c:pt>
              </c:strCache>
            </c:strRef>
          </c:tx>
          <c:marker>
            <c:symbol val="none"/>
          </c:marker>
          <c:cat>
            <c:multiLvlStrRef>
              <c:f>'Evolutie instroom'!$A$3:$B$48</c:f>
              <c:multiLvlStrCache>
                <c:ptCount val="46"/>
                <c:lvl>
                  <c:pt idx="0">
                    <c:v>jan/14</c:v>
                  </c:pt>
                  <c:pt idx="1">
                    <c:v>feb/14</c:v>
                  </c:pt>
                  <c:pt idx="2">
                    <c:v>mrt/14</c:v>
                  </c:pt>
                  <c:pt idx="3">
                    <c:v>apr/14</c:v>
                  </c:pt>
                  <c:pt idx="4">
                    <c:v>mei/14</c:v>
                  </c:pt>
                  <c:pt idx="5">
                    <c:v>jun/14</c:v>
                  </c:pt>
                  <c:pt idx="6">
                    <c:v>jul/14</c:v>
                  </c:pt>
                  <c:pt idx="7">
                    <c:v>aug/14</c:v>
                  </c:pt>
                  <c:pt idx="8">
                    <c:v>sep/14</c:v>
                  </c:pt>
                  <c:pt idx="9">
                    <c:v>okt/14</c:v>
                  </c:pt>
                  <c:pt idx="10">
                    <c:v>nov/14</c:v>
                  </c:pt>
                  <c:pt idx="11">
                    <c:v>dec/14</c:v>
                  </c:pt>
                  <c:pt idx="12">
                    <c:v>jan/15</c:v>
                  </c:pt>
                  <c:pt idx="13">
                    <c:v>feb/15</c:v>
                  </c:pt>
                  <c:pt idx="14">
                    <c:v>mrt/15</c:v>
                  </c:pt>
                  <c:pt idx="15">
                    <c:v>apr/15</c:v>
                  </c:pt>
                  <c:pt idx="16">
                    <c:v>mei/15</c:v>
                  </c:pt>
                  <c:pt idx="17">
                    <c:v>jun/15</c:v>
                  </c:pt>
                  <c:pt idx="18">
                    <c:v>jul/15</c:v>
                  </c:pt>
                  <c:pt idx="19">
                    <c:v>aug/15</c:v>
                  </c:pt>
                  <c:pt idx="20">
                    <c:v>sep/15</c:v>
                  </c:pt>
                  <c:pt idx="21">
                    <c:v>okt/15</c:v>
                  </c:pt>
                  <c:pt idx="22">
                    <c:v>nov/15</c:v>
                  </c:pt>
                  <c:pt idx="23">
                    <c:v>dec/15</c:v>
                  </c:pt>
                  <c:pt idx="24">
                    <c:v>jan/16</c:v>
                  </c:pt>
                  <c:pt idx="25">
                    <c:v>feb/16</c:v>
                  </c:pt>
                  <c:pt idx="26">
                    <c:v>mrt/16</c:v>
                  </c:pt>
                  <c:pt idx="27">
                    <c:v>apr/16</c:v>
                  </c:pt>
                  <c:pt idx="28">
                    <c:v>mei/16</c:v>
                  </c:pt>
                  <c:pt idx="29">
                    <c:v>jun/16</c:v>
                  </c:pt>
                  <c:pt idx="30">
                    <c:v>jul/16</c:v>
                  </c:pt>
                  <c:pt idx="31">
                    <c:v>aug/16</c:v>
                  </c:pt>
                  <c:pt idx="32">
                    <c:v>sep/16</c:v>
                  </c:pt>
                  <c:pt idx="33">
                    <c:v>okt/16</c:v>
                  </c:pt>
                  <c:pt idx="34">
                    <c:v>nov/16</c:v>
                  </c:pt>
                  <c:pt idx="35">
                    <c:v>dec/16</c:v>
                  </c:pt>
                  <c:pt idx="36">
                    <c:v>jan/17</c:v>
                  </c:pt>
                  <c:pt idx="37">
                    <c:v>feb/17</c:v>
                  </c:pt>
                  <c:pt idx="38">
                    <c:v>mrt/17</c:v>
                  </c:pt>
                  <c:pt idx="39">
                    <c:v>apr/17</c:v>
                  </c:pt>
                  <c:pt idx="40">
                    <c:v>mei/17</c:v>
                  </c:pt>
                  <c:pt idx="41">
                    <c:v>jun/17</c:v>
                  </c:pt>
                  <c:pt idx="42">
                    <c:v>jul/17</c:v>
                  </c:pt>
                  <c:pt idx="43">
                    <c:v>aug/17</c:v>
                  </c:pt>
                  <c:pt idx="44">
                    <c:v>sep/17</c:v>
                  </c:pt>
                  <c:pt idx="45">
                    <c:v>okt/17</c:v>
                  </c:pt>
                </c:lvl>
                <c:lvl>
                  <c:pt idx="0">
                    <c:v>2014</c:v>
                  </c:pt>
                  <c:pt idx="12">
                    <c:v>2015</c:v>
                  </c:pt>
                  <c:pt idx="24">
                    <c:v>2016</c:v>
                  </c:pt>
                  <c:pt idx="36">
                    <c:v>2017</c:v>
                  </c:pt>
                </c:lvl>
              </c:multiLvlStrCache>
            </c:multiLvlStrRef>
          </c:cat>
          <c:val>
            <c:numRef>
              <c:f>'Evolutie instroom'!$C$3:$C$48</c:f>
              <c:numCache>
                <c:formatCode>#,##0</c:formatCode>
                <c:ptCount val="46"/>
                <c:pt idx="0">
                  <c:v>3558</c:v>
                </c:pt>
                <c:pt idx="1">
                  <c:v>2698</c:v>
                </c:pt>
                <c:pt idx="2">
                  <c:v>2481</c:v>
                </c:pt>
                <c:pt idx="3">
                  <c:v>2296</c:v>
                </c:pt>
                <c:pt idx="4">
                  <c:v>2185</c:v>
                </c:pt>
                <c:pt idx="5">
                  <c:v>2349</c:v>
                </c:pt>
                <c:pt idx="6">
                  <c:v>2364</c:v>
                </c:pt>
                <c:pt idx="7">
                  <c:v>2093</c:v>
                </c:pt>
                <c:pt idx="8">
                  <c:v>2809</c:v>
                </c:pt>
                <c:pt idx="9">
                  <c:v>2672</c:v>
                </c:pt>
                <c:pt idx="10">
                  <c:v>2237</c:v>
                </c:pt>
                <c:pt idx="11">
                  <c:v>2015</c:v>
                </c:pt>
                <c:pt idx="12">
                  <c:v>2976</c:v>
                </c:pt>
                <c:pt idx="13">
                  <c:v>2224</c:v>
                </c:pt>
                <c:pt idx="14">
                  <c:v>2461</c:v>
                </c:pt>
                <c:pt idx="15">
                  <c:v>2011</c:v>
                </c:pt>
                <c:pt idx="16">
                  <c:v>1985</c:v>
                </c:pt>
                <c:pt idx="17">
                  <c:v>2345</c:v>
                </c:pt>
                <c:pt idx="18">
                  <c:v>2014</c:v>
                </c:pt>
                <c:pt idx="19">
                  <c:v>1836</c:v>
                </c:pt>
                <c:pt idx="20">
                  <c:v>2701</c:v>
                </c:pt>
                <c:pt idx="21">
                  <c:v>2612</c:v>
                </c:pt>
                <c:pt idx="22">
                  <c:v>2209</c:v>
                </c:pt>
                <c:pt idx="23">
                  <c:v>1927</c:v>
                </c:pt>
                <c:pt idx="24">
                  <c:v>2819</c:v>
                </c:pt>
                <c:pt idx="25">
                  <c:v>2467</c:v>
                </c:pt>
                <c:pt idx="26">
                  <c:v>2213</c:v>
                </c:pt>
                <c:pt idx="27">
                  <c:v>2157</c:v>
                </c:pt>
                <c:pt idx="28">
                  <c:v>2094</c:v>
                </c:pt>
                <c:pt idx="29">
                  <c:v>2444</c:v>
                </c:pt>
                <c:pt idx="30">
                  <c:v>2189</c:v>
                </c:pt>
                <c:pt idx="31">
                  <c:v>2320</c:v>
                </c:pt>
                <c:pt idx="32">
                  <c:v>2825</c:v>
                </c:pt>
                <c:pt idx="33">
                  <c:v>2386</c:v>
                </c:pt>
                <c:pt idx="34">
                  <c:v>2346</c:v>
                </c:pt>
                <c:pt idx="35">
                  <c:v>2089</c:v>
                </c:pt>
                <c:pt idx="36">
                  <c:v>3171</c:v>
                </c:pt>
                <c:pt idx="37">
                  <c:v>2654</c:v>
                </c:pt>
                <c:pt idx="38">
                  <c:v>2464</c:v>
                </c:pt>
                <c:pt idx="39">
                  <c:v>2191</c:v>
                </c:pt>
                <c:pt idx="40">
                  <c:v>2200</c:v>
                </c:pt>
                <c:pt idx="41">
                  <c:v>2251</c:v>
                </c:pt>
                <c:pt idx="42">
                  <c:v>2176</c:v>
                </c:pt>
                <c:pt idx="43">
                  <c:v>2069</c:v>
                </c:pt>
                <c:pt idx="44">
                  <c:v>2638</c:v>
                </c:pt>
                <c:pt idx="45">
                  <c:v>2639</c:v>
                </c:pt>
              </c:numCache>
            </c:numRef>
          </c:val>
          <c:smooth val="0"/>
        </c:ser>
        <c:ser>
          <c:idx val="1"/>
          <c:order val="1"/>
          <c:tx>
            <c:strRef>
              <c:f>'Evolutie instroom'!$D$2</c:f>
              <c:strCache>
                <c:ptCount val="1"/>
                <c:pt idx="0">
                  <c:v>Buiten EU</c:v>
                </c:pt>
              </c:strCache>
            </c:strRef>
          </c:tx>
          <c:marker>
            <c:symbol val="none"/>
          </c:marker>
          <c:cat>
            <c:multiLvlStrRef>
              <c:f>'Evolutie instroom'!$A$3:$B$48</c:f>
              <c:multiLvlStrCache>
                <c:ptCount val="46"/>
                <c:lvl>
                  <c:pt idx="0">
                    <c:v>jan/14</c:v>
                  </c:pt>
                  <c:pt idx="1">
                    <c:v>feb/14</c:v>
                  </c:pt>
                  <c:pt idx="2">
                    <c:v>mrt/14</c:v>
                  </c:pt>
                  <c:pt idx="3">
                    <c:v>apr/14</c:v>
                  </c:pt>
                  <c:pt idx="4">
                    <c:v>mei/14</c:v>
                  </c:pt>
                  <c:pt idx="5">
                    <c:v>jun/14</c:v>
                  </c:pt>
                  <c:pt idx="6">
                    <c:v>jul/14</c:v>
                  </c:pt>
                  <c:pt idx="7">
                    <c:v>aug/14</c:v>
                  </c:pt>
                  <c:pt idx="8">
                    <c:v>sep/14</c:v>
                  </c:pt>
                  <c:pt idx="9">
                    <c:v>okt/14</c:v>
                  </c:pt>
                  <c:pt idx="10">
                    <c:v>nov/14</c:v>
                  </c:pt>
                  <c:pt idx="11">
                    <c:v>dec/14</c:v>
                  </c:pt>
                  <c:pt idx="12">
                    <c:v>jan/15</c:v>
                  </c:pt>
                  <c:pt idx="13">
                    <c:v>feb/15</c:v>
                  </c:pt>
                  <c:pt idx="14">
                    <c:v>mrt/15</c:v>
                  </c:pt>
                  <c:pt idx="15">
                    <c:v>apr/15</c:v>
                  </c:pt>
                  <c:pt idx="16">
                    <c:v>mei/15</c:v>
                  </c:pt>
                  <c:pt idx="17">
                    <c:v>jun/15</c:v>
                  </c:pt>
                  <c:pt idx="18">
                    <c:v>jul/15</c:v>
                  </c:pt>
                  <c:pt idx="19">
                    <c:v>aug/15</c:v>
                  </c:pt>
                  <c:pt idx="20">
                    <c:v>sep/15</c:v>
                  </c:pt>
                  <c:pt idx="21">
                    <c:v>okt/15</c:v>
                  </c:pt>
                  <c:pt idx="22">
                    <c:v>nov/15</c:v>
                  </c:pt>
                  <c:pt idx="23">
                    <c:v>dec/15</c:v>
                  </c:pt>
                  <c:pt idx="24">
                    <c:v>jan/16</c:v>
                  </c:pt>
                  <c:pt idx="25">
                    <c:v>feb/16</c:v>
                  </c:pt>
                  <c:pt idx="26">
                    <c:v>mrt/16</c:v>
                  </c:pt>
                  <c:pt idx="27">
                    <c:v>apr/16</c:v>
                  </c:pt>
                  <c:pt idx="28">
                    <c:v>mei/16</c:v>
                  </c:pt>
                  <c:pt idx="29">
                    <c:v>jun/16</c:v>
                  </c:pt>
                  <c:pt idx="30">
                    <c:v>jul/16</c:v>
                  </c:pt>
                  <c:pt idx="31">
                    <c:v>aug/16</c:v>
                  </c:pt>
                  <c:pt idx="32">
                    <c:v>sep/16</c:v>
                  </c:pt>
                  <c:pt idx="33">
                    <c:v>okt/16</c:v>
                  </c:pt>
                  <c:pt idx="34">
                    <c:v>nov/16</c:v>
                  </c:pt>
                  <c:pt idx="35">
                    <c:v>dec/16</c:v>
                  </c:pt>
                  <c:pt idx="36">
                    <c:v>jan/17</c:v>
                  </c:pt>
                  <c:pt idx="37">
                    <c:v>feb/17</c:v>
                  </c:pt>
                  <c:pt idx="38">
                    <c:v>mrt/17</c:v>
                  </c:pt>
                  <c:pt idx="39">
                    <c:v>apr/17</c:v>
                  </c:pt>
                  <c:pt idx="40">
                    <c:v>mei/17</c:v>
                  </c:pt>
                  <c:pt idx="41">
                    <c:v>jun/17</c:v>
                  </c:pt>
                  <c:pt idx="42">
                    <c:v>jul/17</c:v>
                  </c:pt>
                  <c:pt idx="43">
                    <c:v>aug/17</c:v>
                  </c:pt>
                  <c:pt idx="44">
                    <c:v>sep/17</c:v>
                  </c:pt>
                  <c:pt idx="45">
                    <c:v>okt/17</c:v>
                  </c:pt>
                </c:lvl>
                <c:lvl>
                  <c:pt idx="0">
                    <c:v>2014</c:v>
                  </c:pt>
                  <c:pt idx="12">
                    <c:v>2015</c:v>
                  </c:pt>
                  <c:pt idx="24">
                    <c:v>2016</c:v>
                  </c:pt>
                  <c:pt idx="36">
                    <c:v>2017</c:v>
                  </c:pt>
                </c:lvl>
              </c:multiLvlStrCache>
            </c:multiLvlStrRef>
          </c:cat>
          <c:val>
            <c:numRef>
              <c:f>'Evolutie instroom'!$D$3:$D$48</c:f>
              <c:numCache>
                <c:formatCode>#,##0</c:formatCode>
                <c:ptCount val="46"/>
                <c:pt idx="0">
                  <c:v>2132</c:v>
                </c:pt>
                <c:pt idx="1">
                  <c:v>1685</c:v>
                </c:pt>
                <c:pt idx="2">
                  <c:v>1635</c:v>
                </c:pt>
                <c:pt idx="3">
                  <c:v>1544</c:v>
                </c:pt>
                <c:pt idx="4">
                  <c:v>1474</c:v>
                </c:pt>
                <c:pt idx="5">
                  <c:v>1628</c:v>
                </c:pt>
                <c:pt idx="6">
                  <c:v>1689</c:v>
                </c:pt>
                <c:pt idx="7">
                  <c:v>1399</c:v>
                </c:pt>
                <c:pt idx="8">
                  <c:v>1841</c:v>
                </c:pt>
                <c:pt idx="9">
                  <c:v>1743</c:v>
                </c:pt>
                <c:pt idx="10">
                  <c:v>1466</c:v>
                </c:pt>
                <c:pt idx="11">
                  <c:v>1368</c:v>
                </c:pt>
                <c:pt idx="12">
                  <c:v>1944</c:v>
                </c:pt>
                <c:pt idx="13">
                  <c:v>1444</c:v>
                </c:pt>
                <c:pt idx="14">
                  <c:v>1613</c:v>
                </c:pt>
                <c:pt idx="15">
                  <c:v>1365</c:v>
                </c:pt>
                <c:pt idx="16">
                  <c:v>1356</c:v>
                </c:pt>
                <c:pt idx="17">
                  <c:v>1613</c:v>
                </c:pt>
                <c:pt idx="18">
                  <c:v>1369</c:v>
                </c:pt>
                <c:pt idx="19">
                  <c:v>1226</c:v>
                </c:pt>
                <c:pt idx="20">
                  <c:v>1808</c:v>
                </c:pt>
                <c:pt idx="21">
                  <c:v>1767</c:v>
                </c:pt>
                <c:pt idx="22">
                  <c:v>1391</c:v>
                </c:pt>
                <c:pt idx="23">
                  <c:v>1309</c:v>
                </c:pt>
                <c:pt idx="24">
                  <c:v>1812</c:v>
                </c:pt>
                <c:pt idx="25">
                  <c:v>1635</c:v>
                </c:pt>
                <c:pt idx="26">
                  <c:v>1469</c:v>
                </c:pt>
                <c:pt idx="27">
                  <c:v>1512</c:v>
                </c:pt>
                <c:pt idx="28">
                  <c:v>1526</c:v>
                </c:pt>
                <c:pt idx="29">
                  <c:v>1833</c:v>
                </c:pt>
                <c:pt idx="30">
                  <c:v>1609</c:v>
                </c:pt>
                <c:pt idx="31">
                  <c:v>1664</c:v>
                </c:pt>
                <c:pt idx="32">
                  <c:v>1978</c:v>
                </c:pt>
                <c:pt idx="33">
                  <c:v>1661</c:v>
                </c:pt>
                <c:pt idx="34">
                  <c:v>1608</c:v>
                </c:pt>
                <c:pt idx="35">
                  <c:v>1512</c:v>
                </c:pt>
                <c:pt idx="36">
                  <c:v>2126</c:v>
                </c:pt>
                <c:pt idx="37">
                  <c:v>1882</c:v>
                </c:pt>
                <c:pt idx="38">
                  <c:v>1694</c:v>
                </c:pt>
                <c:pt idx="39">
                  <c:v>1609</c:v>
                </c:pt>
                <c:pt idx="40">
                  <c:v>1573</c:v>
                </c:pt>
                <c:pt idx="41">
                  <c:v>1645</c:v>
                </c:pt>
                <c:pt idx="42">
                  <c:v>1557</c:v>
                </c:pt>
                <c:pt idx="43">
                  <c:v>1447</c:v>
                </c:pt>
                <c:pt idx="44">
                  <c:v>1836</c:v>
                </c:pt>
                <c:pt idx="45">
                  <c:v>1816</c:v>
                </c:pt>
              </c:numCache>
            </c:numRef>
          </c:val>
          <c:smooth val="0"/>
        </c:ser>
        <c:ser>
          <c:idx val="2"/>
          <c:order val="2"/>
          <c:tx>
            <c:strRef>
              <c:f>'Evolutie instroom'!$E$2</c:f>
              <c:strCache>
                <c:ptCount val="1"/>
                <c:pt idx="0">
                  <c:v>Afghanistan, Irak en Syrië</c:v>
                </c:pt>
              </c:strCache>
            </c:strRef>
          </c:tx>
          <c:marker>
            <c:symbol val="none"/>
          </c:marker>
          <c:cat>
            <c:multiLvlStrRef>
              <c:f>'Evolutie instroom'!$A$3:$B$48</c:f>
              <c:multiLvlStrCache>
                <c:ptCount val="46"/>
                <c:lvl>
                  <c:pt idx="0">
                    <c:v>jan/14</c:v>
                  </c:pt>
                  <c:pt idx="1">
                    <c:v>feb/14</c:v>
                  </c:pt>
                  <c:pt idx="2">
                    <c:v>mrt/14</c:v>
                  </c:pt>
                  <c:pt idx="3">
                    <c:v>apr/14</c:v>
                  </c:pt>
                  <c:pt idx="4">
                    <c:v>mei/14</c:v>
                  </c:pt>
                  <c:pt idx="5">
                    <c:v>jun/14</c:v>
                  </c:pt>
                  <c:pt idx="6">
                    <c:v>jul/14</c:v>
                  </c:pt>
                  <c:pt idx="7">
                    <c:v>aug/14</c:v>
                  </c:pt>
                  <c:pt idx="8">
                    <c:v>sep/14</c:v>
                  </c:pt>
                  <c:pt idx="9">
                    <c:v>okt/14</c:v>
                  </c:pt>
                  <c:pt idx="10">
                    <c:v>nov/14</c:v>
                  </c:pt>
                  <c:pt idx="11">
                    <c:v>dec/14</c:v>
                  </c:pt>
                  <c:pt idx="12">
                    <c:v>jan/15</c:v>
                  </c:pt>
                  <c:pt idx="13">
                    <c:v>feb/15</c:v>
                  </c:pt>
                  <c:pt idx="14">
                    <c:v>mrt/15</c:v>
                  </c:pt>
                  <c:pt idx="15">
                    <c:v>apr/15</c:v>
                  </c:pt>
                  <c:pt idx="16">
                    <c:v>mei/15</c:v>
                  </c:pt>
                  <c:pt idx="17">
                    <c:v>jun/15</c:v>
                  </c:pt>
                  <c:pt idx="18">
                    <c:v>jul/15</c:v>
                  </c:pt>
                  <c:pt idx="19">
                    <c:v>aug/15</c:v>
                  </c:pt>
                  <c:pt idx="20">
                    <c:v>sep/15</c:v>
                  </c:pt>
                  <c:pt idx="21">
                    <c:v>okt/15</c:v>
                  </c:pt>
                  <c:pt idx="22">
                    <c:v>nov/15</c:v>
                  </c:pt>
                  <c:pt idx="23">
                    <c:v>dec/15</c:v>
                  </c:pt>
                  <c:pt idx="24">
                    <c:v>jan/16</c:v>
                  </c:pt>
                  <c:pt idx="25">
                    <c:v>feb/16</c:v>
                  </c:pt>
                  <c:pt idx="26">
                    <c:v>mrt/16</c:v>
                  </c:pt>
                  <c:pt idx="27">
                    <c:v>apr/16</c:v>
                  </c:pt>
                  <c:pt idx="28">
                    <c:v>mei/16</c:v>
                  </c:pt>
                  <c:pt idx="29">
                    <c:v>jun/16</c:v>
                  </c:pt>
                  <c:pt idx="30">
                    <c:v>jul/16</c:v>
                  </c:pt>
                  <c:pt idx="31">
                    <c:v>aug/16</c:v>
                  </c:pt>
                  <c:pt idx="32">
                    <c:v>sep/16</c:v>
                  </c:pt>
                  <c:pt idx="33">
                    <c:v>okt/16</c:v>
                  </c:pt>
                  <c:pt idx="34">
                    <c:v>nov/16</c:v>
                  </c:pt>
                  <c:pt idx="35">
                    <c:v>dec/16</c:v>
                  </c:pt>
                  <c:pt idx="36">
                    <c:v>jan/17</c:v>
                  </c:pt>
                  <c:pt idx="37">
                    <c:v>feb/17</c:v>
                  </c:pt>
                  <c:pt idx="38">
                    <c:v>mrt/17</c:v>
                  </c:pt>
                  <c:pt idx="39">
                    <c:v>apr/17</c:v>
                  </c:pt>
                  <c:pt idx="40">
                    <c:v>mei/17</c:v>
                  </c:pt>
                  <c:pt idx="41">
                    <c:v>jun/17</c:v>
                  </c:pt>
                  <c:pt idx="42">
                    <c:v>jul/17</c:v>
                  </c:pt>
                  <c:pt idx="43">
                    <c:v>aug/17</c:v>
                  </c:pt>
                  <c:pt idx="44">
                    <c:v>sep/17</c:v>
                  </c:pt>
                  <c:pt idx="45">
                    <c:v>okt/17</c:v>
                  </c:pt>
                </c:lvl>
                <c:lvl>
                  <c:pt idx="0">
                    <c:v>2014</c:v>
                  </c:pt>
                  <c:pt idx="12">
                    <c:v>2015</c:v>
                  </c:pt>
                  <c:pt idx="24">
                    <c:v>2016</c:v>
                  </c:pt>
                  <c:pt idx="36">
                    <c:v>2017</c:v>
                  </c:pt>
                </c:lvl>
              </c:multiLvlStrCache>
            </c:multiLvlStrRef>
          </c:cat>
          <c:val>
            <c:numRef>
              <c:f>'Evolutie instroom'!$E$3:$E$48</c:f>
              <c:numCache>
                <c:formatCode>General</c:formatCode>
                <c:ptCount val="46"/>
                <c:pt idx="0">
                  <c:v>210</c:v>
                </c:pt>
                <c:pt idx="1">
                  <c:v>172</c:v>
                </c:pt>
                <c:pt idx="2">
                  <c:v>179</c:v>
                </c:pt>
                <c:pt idx="3">
                  <c:v>203</c:v>
                </c:pt>
                <c:pt idx="4">
                  <c:v>172</c:v>
                </c:pt>
                <c:pt idx="5">
                  <c:v>194</c:v>
                </c:pt>
                <c:pt idx="6">
                  <c:v>194</c:v>
                </c:pt>
                <c:pt idx="7">
                  <c:v>150</c:v>
                </c:pt>
                <c:pt idx="8">
                  <c:v>159</c:v>
                </c:pt>
                <c:pt idx="9">
                  <c:v>163</c:v>
                </c:pt>
                <c:pt idx="10">
                  <c:v>144</c:v>
                </c:pt>
                <c:pt idx="11">
                  <c:v>139</c:v>
                </c:pt>
                <c:pt idx="12">
                  <c:v>189</c:v>
                </c:pt>
                <c:pt idx="13">
                  <c:v>153</c:v>
                </c:pt>
                <c:pt idx="14">
                  <c:v>154</c:v>
                </c:pt>
                <c:pt idx="15">
                  <c:v>154</c:v>
                </c:pt>
                <c:pt idx="16">
                  <c:v>155</c:v>
                </c:pt>
                <c:pt idx="17">
                  <c:v>159</c:v>
                </c:pt>
                <c:pt idx="18">
                  <c:v>171</c:v>
                </c:pt>
                <c:pt idx="19">
                  <c:v>137</c:v>
                </c:pt>
                <c:pt idx="20">
                  <c:v>216</c:v>
                </c:pt>
                <c:pt idx="21">
                  <c:v>201</c:v>
                </c:pt>
                <c:pt idx="22">
                  <c:v>156</c:v>
                </c:pt>
                <c:pt idx="23">
                  <c:v>154</c:v>
                </c:pt>
                <c:pt idx="24">
                  <c:v>230</c:v>
                </c:pt>
                <c:pt idx="25">
                  <c:v>223</c:v>
                </c:pt>
                <c:pt idx="26">
                  <c:v>211</c:v>
                </c:pt>
                <c:pt idx="27">
                  <c:v>309</c:v>
                </c:pt>
                <c:pt idx="28">
                  <c:v>345</c:v>
                </c:pt>
                <c:pt idx="29">
                  <c:v>468</c:v>
                </c:pt>
                <c:pt idx="30">
                  <c:v>394</c:v>
                </c:pt>
                <c:pt idx="31">
                  <c:v>426</c:v>
                </c:pt>
                <c:pt idx="32">
                  <c:v>435</c:v>
                </c:pt>
                <c:pt idx="33">
                  <c:v>413</c:v>
                </c:pt>
                <c:pt idx="34">
                  <c:v>389</c:v>
                </c:pt>
                <c:pt idx="35">
                  <c:v>361</c:v>
                </c:pt>
                <c:pt idx="36">
                  <c:v>464</c:v>
                </c:pt>
                <c:pt idx="37">
                  <c:v>456</c:v>
                </c:pt>
                <c:pt idx="38">
                  <c:v>388</c:v>
                </c:pt>
                <c:pt idx="39">
                  <c:v>390</c:v>
                </c:pt>
                <c:pt idx="40">
                  <c:v>321</c:v>
                </c:pt>
                <c:pt idx="41">
                  <c:v>383</c:v>
                </c:pt>
                <c:pt idx="42">
                  <c:v>313</c:v>
                </c:pt>
                <c:pt idx="43">
                  <c:v>330</c:v>
                </c:pt>
                <c:pt idx="44">
                  <c:v>377</c:v>
                </c:pt>
                <c:pt idx="45">
                  <c:v>403</c:v>
                </c:pt>
              </c:numCache>
            </c:numRef>
          </c:val>
          <c:smooth val="0"/>
        </c:ser>
        <c:dLbls>
          <c:showLegendKey val="0"/>
          <c:showVal val="0"/>
          <c:showCatName val="0"/>
          <c:showSerName val="0"/>
          <c:showPercent val="0"/>
          <c:showBubbleSize val="0"/>
        </c:dLbls>
        <c:marker val="1"/>
        <c:smooth val="0"/>
        <c:axId val="223887744"/>
        <c:axId val="223889280"/>
      </c:lineChart>
      <c:catAx>
        <c:axId val="223887744"/>
        <c:scaling>
          <c:orientation val="minMax"/>
        </c:scaling>
        <c:delete val="0"/>
        <c:axPos val="b"/>
        <c:majorTickMark val="out"/>
        <c:minorTickMark val="none"/>
        <c:tickLblPos val="nextTo"/>
        <c:crossAx val="223889280"/>
        <c:crosses val="autoZero"/>
        <c:auto val="1"/>
        <c:lblAlgn val="ctr"/>
        <c:lblOffset val="100"/>
        <c:tickLblSkip val="1"/>
        <c:noMultiLvlLbl val="0"/>
      </c:catAx>
      <c:valAx>
        <c:axId val="223889280"/>
        <c:scaling>
          <c:orientation val="minMax"/>
        </c:scaling>
        <c:delete val="0"/>
        <c:axPos val="l"/>
        <c:majorGridlines>
          <c:spPr>
            <a:ln>
              <a:prstDash val="dash"/>
            </a:ln>
          </c:spPr>
        </c:majorGridlines>
        <c:numFmt formatCode="#,##0" sourceLinked="1"/>
        <c:majorTickMark val="out"/>
        <c:minorTickMark val="none"/>
        <c:tickLblPos val="nextTo"/>
        <c:spPr>
          <a:ln>
            <a:noFill/>
          </a:ln>
        </c:spPr>
        <c:crossAx val="223887744"/>
        <c:crosses val="autoZero"/>
        <c:crossBetween val="between"/>
      </c:valAx>
      <c:spPr>
        <a:noFill/>
      </c:spPr>
    </c:plotArea>
    <c:legend>
      <c:legendPos val="b"/>
      <c:overlay val="0"/>
    </c:legend>
    <c:plotVisOnly val="1"/>
    <c:dispBlanksAs val="gap"/>
    <c:showDLblsOverMax val="0"/>
  </c:chart>
  <c:spPr>
    <a:noFill/>
    <a:ln>
      <a:noFill/>
    </a:ln>
  </c:spPr>
  <c:txPr>
    <a:bodyPr/>
    <a:lstStyle/>
    <a:p>
      <a:pPr>
        <a:defRPr sz="1000"/>
      </a:pPr>
      <a:endParaRPr lang="nl-B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'Provinciale verdeling'!$B$2</c:f>
              <c:strCache>
                <c:ptCount val="1"/>
                <c:pt idx="0">
                  <c:v>2014</c:v>
                </c:pt>
              </c:strCache>
            </c:strRef>
          </c:tx>
          <c:invertIfNegative val="0"/>
          <c:cat>
            <c:strRef>
              <c:f>'Provinciale verdeling'!$A$3:$A$7</c:f>
              <c:strCache>
                <c:ptCount val="5"/>
                <c:pt idx="0">
                  <c:v>Antwerpen</c:v>
                </c:pt>
                <c:pt idx="1">
                  <c:v>Limburg</c:v>
                </c:pt>
                <c:pt idx="2">
                  <c:v>Oost-Vlaanderen</c:v>
                </c:pt>
                <c:pt idx="3">
                  <c:v>Vlaams-Brabant</c:v>
                </c:pt>
                <c:pt idx="4">
                  <c:v>West-Vlaanderen</c:v>
                </c:pt>
              </c:strCache>
            </c:strRef>
          </c:cat>
          <c:val>
            <c:numRef>
              <c:f>'Provinciale verdeling'!$B$3:$B$7</c:f>
              <c:numCache>
                <c:formatCode>#,##0</c:formatCode>
                <c:ptCount val="5"/>
                <c:pt idx="0">
                  <c:v>9459</c:v>
                </c:pt>
                <c:pt idx="1">
                  <c:v>2843</c:v>
                </c:pt>
                <c:pt idx="2">
                  <c:v>6903</c:v>
                </c:pt>
                <c:pt idx="3">
                  <c:v>6351</c:v>
                </c:pt>
                <c:pt idx="4">
                  <c:v>4201</c:v>
                </c:pt>
              </c:numCache>
            </c:numRef>
          </c:val>
        </c:ser>
        <c:ser>
          <c:idx val="1"/>
          <c:order val="1"/>
          <c:tx>
            <c:strRef>
              <c:f>'Provinciale verdeling'!$C$2</c:f>
              <c:strCache>
                <c:ptCount val="1"/>
                <c:pt idx="0">
                  <c:v>2015</c:v>
                </c:pt>
              </c:strCache>
            </c:strRef>
          </c:tx>
          <c:invertIfNegative val="0"/>
          <c:cat>
            <c:strRef>
              <c:f>'Provinciale verdeling'!$A$3:$A$7</c:f>
              <c:strCache>
                <c:ptCount val="5"/>
                <c:pt idx="0">
                  <c:v>Antwerpen</c:v>
                </c:pt>
                <c:pt idx="1">
                  <c:v>Limburg</c:v>
                </c:pt>
                <c:pt idx="2">
                  <c:v>Oost-Vlaanderen</c:v>
                </c:pt>
                <c:pt idx="3">
                  <c:v>Vlaams-Brabant</c:v>
                </c:pt>
                <c:pt idx="4">
                  <c:v>West-Vlaanderen</c:v>
                </c:pt>
              </c:strCache>
            </c:strRef>
          </c:cat>
          <c:val>
            <c:numRef>
              <c:f>'Provinciale verdeling'!$C$3:$C$7</c:f>
              <c:numCache>
                <c:formatCode>#,##0</c:formatCode>
                <c:ptCount val="5"/>
                <c:pt idx="0">
                  <c:v>8372</c:v>
                </c:pt>
                <c:pt idx="1">
                  <c:v>2547</c:v>
                </c:pt>
                <c:pt idx="2">
                  <c:v>6149</c:v>
                </c:pt>
                <c:pt idx="3">
                  <c:v>6214</c:v>
                </c:pt>
                <c:pt idx="4">
                  <c:v>4019</c:v>
                </c:pt>
              </c:numCache>
            </c:numRef>
          </c:val>
        </c:ser>
        <c:ser>
          <c:idx val="2"/>
          <c:order val="2"/>
          <c:tx>
            <c:strRef>
              <c:f>'Provinciale verdeling'!$D$2</c:f>
              <c:strCache>
                <c:ptCount val="1"/>
                <c:pt idx="0">
                  <c:v>2016</c:v>
                </c:pt>
              </c:strCache>
            </c:strRef>
          </c:tx>
          <c:invertIfNegative val="0"/>
          <c:cat>
            <c:strRef>
              <c:f>'Provinciale verdeling'!$A$3:$A$7</c:f>
              <c:strCache>
                <c:ptCount val="5"/>
                <c:pt idx="0">
                  <c:v>Antwerpen</c:v>
                </c:pt>
                <c:pt idx="1">
                  <c:v>Limburg</c:v>
                </c:pt>
                <c:pt idx="2">
                  <c:v>Oost-Vlaanderen</c:v>
                </c:pt>
                <c:pt idx="3">
                  <c:v>Vlaams-Brabant</c:v>
                </c:pt>
                <c:pt idx="4">
                  <c:v>West-Vlaanderen</c:v>
                </c:pt>
              </c:strCache>
            </c:strRef>
          </c:cat>
          <c:val>
            <c:numRef>
              <c:f>'Provinciale verdeling'!$D$3:$D$7</c:f>
              <c:numCache>
                <c:formatCode>#,##0</c:formatCode>
                <c:ptCount val="5"/>
                <c:pt idx="0">
                  <c:v>8865</c:v>
                </c:pt>
                <c:pt idx="1">
                  <c:v>2795</c:v>
                </c:pt>
                <c:pt idx="2">
                  <c:v>6136</c:v>
                </c:pt>
                <c:pt idx="3">
                  <c:v>6163</c:v>
                </c:pt>
                <c:pt idx="4">
                  <c:v>4390</c:v>
                </c:pt>
              </c:numCache>
            </c:numRef>
          </c:val>
        </c:ser>
        <c:ser>
          <c:idx val="3"/>
          <c:order val="3"/>
          <c:tx>
            <c:strRef>
              <c:f>'Provinciale verdeling'!$E$2</c:f>
              <c:strCache>
                <c:ptCount val="1"/>
                <c:pt idx="0">
                  <c:v>2017</c:v>
                </c:pt>
              </c:strCache>
            </c:strRef>
          </c:tx>
          <c:invertIfNegative val="0"/>
          <c:cat>
            <c:strRef>
              <c:f>'Provinciale verdeling'!$A$3:$A$7</c:f>
              <c:strCache>
                <c:ptCount val="5"/>
                <c:pt idx="0">
                  <c:v>Antwerpen</c:v>
                </c:pt>
                <c:pt idx="1">
                  <c:v>Limburg</c:v>
                </c:pt>
                <c:pt idx="2">
                  <c:v>Oost-Vlaanderen</c:v>
                </c:pt>
                <c:pt idx="3">
                  <c:v>Vlaams-Brabant</c:v>
                </c:pt>
                <c:pt idx="4">
                  <c:v>West-Vlaanderen</c:v>
                </c:pt>
              </c:strCache>
            </c:strRef>
          </c:cat>
          <c:val>
            <c:numRef>
              <c:f>'Provinciale verdeling'!$E$3:$E$7</c:f>
              <c:numCache>
                <c:formatCode>#,##0</c:formatCode>
                <c:ptCount val="5"/>
                <c:pt idx="0">
                  <c:v>8072</c:v>
                </c:pt>
                <c:pt idx="1">
                  <c:v>2195</c:v>
                </c:pt>
                <c:pt idx="2">
                  <c:v>5151</c:v>
                </c:pt>
                <c:pt idx="3">
                  <c:v>5440</c:v>
                </c:pt>
                <c:pt idx="4">
                  <c:v>3595</c:v>
                </c:pt>
              </c:numCache>
            </c:numRef>
          </c:val>
        </c:ser>
        <c:dLbls>
          <c:showLegendKey val="0"/>
          <c:showVal val="0"/>
          <c:showCatName val="0"/>
          <c:showSerName val="0"/>
          <c:showPercent val="0"/>
          <c:showBubbleSize val="0"/>
        </c:dLbls>
        <c:gapWidth val="50"/>
        <c:axId val="223907840"/>
        <c:axId val="223909376"/>
      </c:barChart>
      <c:catAx>
        <c:axId val="223907840"/>
        <c:scaling>
          <c:orientation val="minMax"/>
        </c:scaling>
        <c:delete val="0"/>
        <c:axPos val="b"/>
        <c:majorTickMark val="out"/>
        <c:minorTickMark val="none"/>
        <c:tickLblPos val="nextTo"/>
        <c:spPr>
          <a:ln>
            <a:noFill/>
          </a:ln>
        </c:spPr>
        <c:crossAx val="223909376"/>
        <c:crosses val="autoZero"/>
        <c:auto val="1"/>
        <c:lblAlgn val="ctr"/>
        <c:lblOffset val="100"/>
        <c:noMultiLvlLbl val="0"/>
      </c:catAx>
      <c:valAx>
        <c:axId val="223909376"/>
        <c:scaling>
          <c:orientation val="minMax"/>
        </c:scaling>
        <c:delete val="0"/>
        <c:axPos val="l"/>
        <c:majorGridlines>
          <c:spPr>
            <a:ln>
              <a:prstDash val="dash"/>
            </a:ln>
          </c:spPr>
        </c:majorGridlines>
        <c:numFmt formatCode="#,##0" sourceLinked="1"/>
        <c:majorTickMark val="out"/>
        <c:minorTickMark val="none"/>
        <c:tickLblPos val="nextTo"/>
        <c:spPr>
          <a:ln>
            <a:noFill/>
          </a:ln>
        </c:spPr>
        <c:crossAx val="223907840"/>
        <c:crosses val="autoZero"/>
        <c:crossBetween val="between"/>
      </c:valAx>
      <c:spPr>
        <a:noFill/>
      </c:spPr>
    </c:plotArea>
    <c:legend>
      <c:legendPos val="b"/>
      <c:overlay val="0"/>
    </c:legend>
    <c:plotVisOnly val="1"/>
    <c:dispBlanksAs val="gap"/>
    <c:showDLblsOverMax val="0"/>
  </c:chart>
  <c:spPr>
    <a:noFill/>
    <a:ln>
      <a:noFill/>
    </a:ln>
  </c:spPr>
  <c:txPr>
    <a:bodyPr/>
    <a:lstStyle/>
    <a:p>
      <a:pPr>
        <a:defRPr sz="1100">
          <a:latin typeface="FlandersArtSerif-Regular" panose="00000500000000000000" pitchFamily="2" charset="0"/>
        </a:defRPr>
      </a:pPr>
      <a:endParaRPr lang="nl-B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'Provinciale verdeling'!$B$10</c:f>
              <c:strCache>
                <c:ptCount val="1"/>
                <c:pt idx="0">
                  <c:v>2014</c:v>
                </c:pt>
              </c:strCache>
            </c:strRef>
          </c:tx>
          <c:invertIfNegative val="0"/>
          <c:cat>
            <c:strRef>
              <c:f>'Provinciale verdeling'!$A$11:$A$15</c:f>
              <c:strCache>
                <c:ptCount val="5"/>
                <c:pt idx="0">
                  <c:v>Antwerpen</c:v>
                </c:pt>
                <c:pt idx="1">
                  <c:v>Limburg</c:v>
                </c:pt>
                <c:pt idx="2">
                  <c:v>Oost-Vlaanderen</c:v>
                </c:pt>
                <c:pt idx="3">
                  <c:v>Vlaams-Brabant</c:v>
                </c:pt>
                <c:pt idx="4">
                  <c:v>West-Vlaanderen</c:v>
                </c:pt>
              </c:strCache>
            </c:strRef>
          </c:cat>
          <c:val>
            <c:numRef>
              <c:f>'Provinciale verdeling'!$B$11:$B$15</c:f>
              <c:numCache>
                <c:formatCode>#,##0</c:formatCode>
                <c:ptCount val="5"/>
                <c:pt idx="0">
                  <c:v>857</c:v>
                </c:pt>
                <c:pt idx="1">
                  <c:v>140</c:v>
                </c:pt>
                <c:pt idx="2">
                  <c:v>441</c:v>
                </c:pt>
                <c:pt idx="3">
                  <c:v>206</c:v>
                </c:pt>
                <c:pt idx="4">
                  <c:v>435</c:v>
                </c:pt>
              </c:numCache>
            </c:numRef>
          </c:val>
        </c:ser>
        <c:ser>
          <c:idx val="1"/>
          <c:order val="1"/>
          <c:tx>
            <c:strRef>
              <c:f>'Provinciale verdeling'!$C$10</c:f>
              <c:strCache>
                <c:ptCount val="1"/>
                <c:pt idx="0">
                  <c:v>2015</c:v>
                </c:pt>
              </c:strCache>
            </c:strRef>
          </c:tx>
          <c:invertIfNegative val="0"/>
          <c:cat>
            <c:strRef>
              <c:f>'Provinciale verdeling'!$A$11:$A$15</c:f>
              <c:strCache>
                <c:ptCount val="5"/>
                <c:pt idx="0">
                  <c:v>Antwerpen</c:v>
                </c:pt>
                <c:pt idx="1">
                  <c:v>Limburg</c:v>
                </c:pt>
                <c:pt idx="2">
                  <c:v>Oost-Vlaanderen</c:v>
                </c:pt>
                <c:pt idx="3">
                  <c:v>Vlaams-Brabant</c:v>
                </c:pt>
                <c:pt idx="4">
                  <c:v>West-Vlaanderen</c:v>
                </c:pt>
              </c:strCache>
            </c:strRef>
          </c:cat>
          <c:val>
            <c:numRef>
              <c:f>'Provinciale verdeling'!$C$11:$C$15</c:f>
              <c:numCache>
                <c:formatCode>#,##0</c:formatCode>
                <c:ptCount val="5"/>
                <c:pt idx="0">
                  <c:v>802</c:v>
                </c:pt>
                <c:pt idx="1">
                  <c:v>160</c:v>
                </c:pt>
                <c:pt idx="2">
                  <c:v>411</c:v>
                </c:pt>
                <c:pt idx="3">
                  <c:v>216</c:v>
                </c:pt>
                <c:pt idx="4">
                  <c:v>410</c:v>
                </c:pt>
              </c:numCache>
            </c:numRef>
          </c:val>
        </c:ser>
        <c:ser>
          <c:idx val="2"/>
          <c:order val="2"/>
          <c:tx>
            <c:strRef>
              <c:f>'Provinciale verdeling'!$D$10</c:f>
              <c:strCache>
                <c:ptCount val="1"/>
                <c:pt idx="0">
                  <c:v>2016</c:v>
                </c:pt>
              </c:strCache>
            </c:strRef>
          </c:tx>
          <c:invertIfNegative val="0"/>
          <c:cat>
            <c:strRef>
              <c:f>'Provinciale verdeling'!$A$11:$A$15</c:f>
              <c:strCache>
                <c:ptCount val="5"/>
                <c:pt idx="0">
                  <c:v>Antwerpen</c:v>
                </c:pt>
                <c:pt idx="1">
                  <c:v>Limburg</c:v>
                </c:pt>
                <c:pt idx="2">
                  <c:v>Oost-Vlaanderen</c:v>
                </c:pt>
                <c:pt idx="3">
                  <c:v>Vlaams-Brabant</c:v>
                </c:pt>
                <c:pt idx="4">
                  <c:v>West-Vlaanderen</c:v>
                </c:pt>
              </c:strCache>
            </c:strRef>
          </c:cat>
          <c:val>
            <c:numRef>
              <c:f>'Provinciale verdeling'!$D$11:$D$15</c:f>
              <c:numCache>
                <c:formatCode>#,##0</c:formatCode>
                <c:ptCount val="5"/>
                <c:pt idx="0">
                  <c:v>1637</c:v>
                </c:pt>
                <c:pt idx="1">
                  <c:v>521</c:v>
                </c:pt>
                <c:pt idx="2">
                  <c:v>776</c:v>
                </c:pt>
                <c:pt idx="3">
                  <c:v>402</c:v>
                </c:pt>
                <c:pt idx="4">
                  <c:v>868</c:v>
                </c:pt>
              </c:numCache>
            </c:numRef>
          </c:val>
        </c:ser>
        <c:ser>
          <c:idx val="3"/>
          <c:order val="3"/>
          <c:tx>
            <c:strRef>
              <c:f>'Provinciale verdeling'!$E$10</c:f>
              <c:strCache>
                <c:ptCount val="1"/>
                <c:pt idx="0">
                  <c:v>2017</c:v>
                </c:pt>
              </c:strCache>
            </c:strRef>
          </c:tx>
          <c:invertIfNegative val="0"/>
          <c:cat>
            <c:strRef>
              <c:f>'Provinciale verdeling'!$A$11:$A$15</c:f>
              <c:strCache>
                <c:ptCount val="5"/>
                <c:pt idx="0">
                  <c:v>Antwerpen</c:v>
                </c:pt>
                <c:pt idx="1">
                  <c:v>Limburg</c:v>
                </c:pt>
                <c:pt idx="2">
                  <c:v>Oost-Vlaanderen</c:v>
                </c:pt>
                <c:pt idx="3">
                  <c:v>Vlaams-Brabant</c:v>
                </c:pt>
                <c:pt idx="4">
                  <c:v>West-Vlaanderen</c:v>
                </c:pt>
              </c:strCache>
            </c:strRef>
          </c:cat>
          <c:val>
            <c:numRef>
              <c:f>'Provinciale verdeling'!$E$11:$E$15</c:f>
              <c:numCache>
                <c:formatCode>#,##0</c:formatCode>
                <c:ptCount val="5"/>
                <c:pt idx="0">
                  <c:v>1646</c:v>
                </c:pt>
                <c:pt idx="1">
                  <c:v>353</c:v>
                </c:pt>
                <c:pt idx="2">
                  <c:v>748</c:v>
                </c:pt>
                <c:pt idx="3">
                  <c:v>413</c:v>
                </c:pt>
                <c:pt idx="4">
                  <c:v>665</c:v>
                </c:pt>
              </c:numCache>
            </c:numRef>
          </c:val>
        </c:ser>
        <c:dLbls>
          <c:showLegendKey val="0"/>
          <c:showVal val="0"/>
          <c:showCatName val="0"/>
          <c:showSerName val="0"/>
          <c:showPercent val="0"/>
          <c:showBubbleSize val="0"/>
        </c:dLbls>
        <c:gapWidth val="50"/>
        <c:axId val="223923584"/>
        <c:axId val="235406464"/>
      </c:barChart>
      <c:catAx>
        <c:axId val="223923584"/>
        <c:scaling>
          <c:orientation val="minMax"/>
        </c:scaling>
        <c:delete val="0"/>
        <c:axPos val="b"/>
        <c:majorTickMark val="out"/>
        <c:minorTickMark val="none"/>
        <c:tickLblPos val="nextTo"/>
        <c:spPr>
          <a:ln>
            <a:noFill/>
          </a:ln>
        </c:spPr>
        <c:crossAx val="235406464"/>
        <c:crosses val="autoZero"/>
        <c:auto val="1"/>
        <c:lblAlgn val="ctr"/>
        <c:lblOffset val="100"/>
        <c:noMultiLvlLbl val="0"/>
      </c:catAx>
      <c:valAx>
        <c:axId val="235406464"/>
        <c:scaling>
          <c:orientation val="minMax"/>
        </c:scaling>
        <c:delete val="0"/>
        <c:axPos val="l"/>
        <c:majorGridlines>
          <c:spPr>
            <a:ln>
              <a:prstDash val="dash"/>
            </a:ln>
          </c:spPr>
        </c:majorGridlines>
        <c:numFmt formatCode="#,##0" sourceLinked="1"/>
        <c:majorTickMark val="out"/>
        <c:minorTickMark val="none"/>
        <c:tickLblPos val="nextTo"/>
        <c:spPr>
          <a:ln>
            <a:noFill/>
          </a:ln>
        </c:spPr>
        <c:crossAx val="223923584"/>
        <c:crosses val="autoZero"/>
        <c:crossBetween val="between"/>
      </c:valAx>
      <c:spPr>
        <a:noFill/>
      </c:spPr>
    </c:plotArea>
    <c:legend>
      <c:legendPos val="b"/>
      <c:overlay val="0"/>
    </c:legend>
    <c:plotVisOnly val="1"/>
    <c:dispBlanksAs val="gap"/>
    <c:showDLblsOverMax val="0"/>
  </c:chart>
  <c:spPr>
    <a:noFill/>
    <a:ln>
      <a:noFill/>
    </a:ln>
  </c:spPr>
  <c:txPr>
    <a:bodyPr/>
    <a:lstStyle/>
    <a:p>
      <a:pPr>
        <a:defRPr sz="1100">
          <a:latin typeface="FlandersArtSerif-Regular" panose="00000500000000000000" pitchFamily="2" charset="0"/>
        </a:defRPr>
      </a:pPr>
      <a:endParaRPr lang="nl-B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Profielkenmerken!$C$32</c:f>
              <c:strCache>
                <c:ptCount val="1"/>
                <c:pt idx="0">
                  <c:v>Totale instroom</c:v>
                </c:pt>
              </c:strCache>
            </c:strRef>
          </c:tx>
          <c:marker>
            <c:symbol val="none"/>
          </c:marker>
          <c:cat>
            <c:multiLvlStrRef>
              <c:f>Profielkenmerken!$A$33:$B$44</c:f>
              <c:multiLvlStrCache>
                <c:ptCount val="12"/>
                <c:lvl>
                  <c:pt idx="0">
                    <c:v>-18 jaar</c:v>
                  </c:pt>
                  <c:pt idx="1">
                    <c:v>18 tot en met 19 jaar</c:v>
                  </c:pt>
                  <c:pt idx="2">
                    <c:v>20 tot en met 24 jaar</c:v>
                  </c:pt>
                  <c:pt idx="3">
                    <c:v>25 tot en met 29 jaar</c:v>
                  </c:pt>
                  <c:pt idx="4">
                    <c:v>30 tot en met 34 jaar</c:v>
                  </c:pt>
                  <c:pt idx="5">
                    <c:v>35 tot en met 39 jaar</c:v>
                  </c:pt>
                  <c:pt idx="6">
                    <c:v>40 tot en met 44 jaar</c:v>
                  </c:pt>
                  <c:pt idx="7">
                    <c:v>45 tot en met 49 jaar</c:v>
                  </c:pt>
                  <c:pt idx="8">
                    <c:v>50 tot en met 54 jaar</c:v>
                  </c:pt>
                  <c:pt idx="9">
                    <c:v>55 tot en met 59 jaar</c:v>
                  </c:pt>
                  <c:pt idx="10">
                    <c:v>60 tot en met 64 jaar</c:v>
                  </c:pt>
                  <c:pt idx="11">
                    <c:v>65 jaar en +</c:v>
                  </c:pt>
                </c:lvl>
                <c:lvl>
                  <c:pt idx="0">
                    <c:v>Aantal ingestroomde anderstaligen</c:v>
                  </c:pt>
                </c:lvl>
              </c:multiLvlStrCache>
            </c:multiLvlStrRef>
          </c:cat>
          <c:val>
            <c:numRef>
              <c:f>Profielkenmerken!$C$33:$C$44</c:f>
              <c:numCache>
                <c:formatCode>#,##0</c:formatCode>
                <c:ptCount val="12"/>
                <c:pt idx="0">
                  <c:v>170</c:v>
                </c:pt>
                <c:pt idx="1">
                  <c:v>2478</c:v>
                </c:pt>
                <c:pt idx="2">
                  <c:v>12995</c:v>
                </c:pt>
                <c:pt idx="3">
                  <c:v>20338</c:v>
                </c:pt>
                <c:pt idx="4">
                  <c:v>21261</c:v>
                </c:pt>
                <c:pt idx="5">
                  <c:v>17757</c:v>
                </c:pt>
                <c:pt idx="6">
                  <c:v>13807</c:v>
                </c:pt>
                <c:pt idx="7">
                  <c:v>10104</c:v>
                </c:pt>
                <c:pt idx="8">
                  <c:v>6408</c:v>
                </c:pt>
                <c:pt idx="9">
                  <c:v>3418</c:v>
                </c:pt>
                <c:pt idx="10">
                  <c:v>1090</c:v>
                </c:pt>
                <c:pt idx="11">
                  <c:v>34</c:v>
                </c:pt>
              </c:numCache>
            </c:numRef>
          </c:val>
          <c:smooth val="0"/>
        </c:ser>
        <c:ser>
          <c:idx val="1"/>
          <c:order val="1"/>
          <c:tx>
            <c:strRef>
              <c:f>Profielkenmerken!$D$32</c:f>
              <c:strCache>
                <c:ptCount val="1"/>
                <c:pt idx="0">
                  <c:v>Buiten EU</c:v>
                </c:pt>
              </c:strCache>
            </c:strRef>
          </c:tx>
          <c:marker>
            <c:symbol val="none"/>
          </c:marker>
          <c:cat>
            <c:multiLvlStrRef>
              <c:f>Profielkenmerken!$A$33:$B$44</c:f>
              <c:multiLvlStrCache>
                <c:ptCount val="12"/>
                <c:lvl>
                  <c:pt idx="0">
                    <c:v>-18 jaar</c:v>
                  </c:pt>
                  <c:pt idx="1">
                    <c:v>18 tot en met 19 jaar</c:v>
                  </c:pt>
                  <c:pt idx="2">
                    <c:v>20 tot en met 24 jaar</c:v>
                  </c:pt>
                  <c:pt idx="3">
                    <c:v>25 tot en met 29 jaar</c:v>
                  </c:pt>
                  <c:pt idx="4">
                    <c:v>30 tot en met 34 jaar</c:v>
                  </c:pt>
                  <c:pt idx="5">
                    <c:v>35 tot en met 39 jaar</c:v>
                  </c:pt>
                  <c:pt idx="6">
                    <c:v>40 tot en met 44 jaar</c:v>
                  </c:pt>
                  <c:pt idx="7">
                    <c:v>45 tot en met 49 jaar</c:v>
                  </c:pt>
                  <c:pt idx="8">
                    <c:v>50 tot en met 54 jaar</c:v>
                  </c:pt>
                  <c:pt idx="9">
                    <c:v>55 tot en met 59 jaar</c:v>
                  </c:pt>
                  <c:pt idx="10">
                    <c:v>60 tot en met 64 jaar</c:v>
                  </c:pt>
                  <c:pt idx="11">
                    <c:v>65 jaar en +</c:v>
                  </c:pt>
                </c:lvl>
                <c:lvl>
                  <c:pt idx="0">
                    <c:v>Aantal ingestroomde anderstaligen</c:v>
                  </c:pt>
                </c:lvl>
              </c:multiLvlStrCache>
            </c:multiLvlStrRef>
          </c:cat>
          <c:val>
            <c:numRef>
              <c:f>Profielkenmerken!$D$33:$D$44</c:f>
              <c:numCache>
                <c:formatCode>#,##0</c:formatCode>
                <c:ptCount val="12"/>
                <c:pt idx="0">
                  <c:v>131</c:v>
                </c:pt>
                <c:pt idx="1">
                  <c:v>1634</c:v>
                </c:pt>
                <c:pt idx="2">
                  <c:v>8504</c:v>
                </c:pt>
                <c:pt idx="3">
                  <c:v>13590</c:v>
                </c:pt>
                <c:pt idx="4">
                  <c:v>15210</c:v>
                </c:pt>
                <c:pt idx="5">
                  <c:v>12722</c:v>
                </c:pt>
                <c:pt idx="6">
                  <c:v>9582</c:v>
                </c:pt>
                <c:pt idx="7">
                  <c:v>6647</c:v>
                </c:pt>
                <c:pt idx="8">
                  <c:v>4103</c:v>
                </c:pt>
                <c:pt idx="9">
                  <c:v>2037</c:v>
                </c:pt>
                <c:pt idx="10">
                  <c:v>637</c:v>
                </c:pt>
                <c:pt idx="11">
                  <c:v>16</c:v>
                </c:pt>
              </c:numCache>
            </c:numRef>
          </c:val>
          <c:smooth val="0"/>
        </c:ser>
        <c:ser>
          <c:idx val="2"/>
          <c:order val="2"/>
          <c:tx>
            <c:strRef>
              <c:f>Profielkenmerken!$E$32</c:f>
              <c:strCache>
                <c:ptCount val="1"/>
                <c:pt idx="0">
                  <c:v>Afghanistan, Irak en Syrië</c:v>
                </c:pt>
              </c:strCache>
            </c:strRef>
          </c:tx>
          <c:marker>
            <c:symbol val="none"/>
          </c:marker>
          <c:cat>
            <c:multiLvlStrRef>
              <c:f>Profielkenmerken!$A$33:$B$44</c:f>
              <c:multiLvlStrCache>
                <c:ptCount val="12"/>
                <c:lvl>
                  <c:pt idx="0">
                    <c:v>-18 jaar</c:v>
                  </c:pt>
                  <c:pt idx="1">
                    <c:v>18 tot en met 19 jaar</c:v>
                  </c:pt>
                  <c:pt idx="2">
                    <c:v>20 tot en met 24 jaar</c:v>
                  </c:pt>
                  <c:pt idx="3">
                    <c:v>25 tot en met 29 jaar</c:v>
                  </c:pt>
                  <c:pt idx="4">
                    <c:v>30 tot en met 34 jaar</c:v>
                  </c:pt>
                  <c:pt idx="5">
                    <c:v>35 tot en met 39 jaar</c:v>
                  </c:pt>
                  <c:pt idx="6">
                    <c:v>40 tot en met 44 jaar</c:v>
                  </c:pt>
                  <c:pt idx="7">
                    <c:v>45 tot en met 49 jaar</c:v>
                  </c:pt>
                  <c:pt idx="8">
                    <c:v>50 tot en met 54 jaar</c:v>
                  </c:pt>
                  <c:pt idx="9">
                    <c:v>55 tot en met 59 jaar</c:v>
                  </c:pt>
                  <c:pt idx="10">
                    <c:v>60 tot en met 64 jaar</c:v>
                  </c:pt>
                  <c:pt idx="11">
                    <c:v>65 jaar en +</c:v>
                  </c:pt>
                </c:lvl>
                <c:lvl>
                  <c:pt idx="0">
                    <c:v>Aantal ingestroomde anderstaligen</c:v>
                  </c:pt>
                </c:lvl>
              </c:multiLvlStrCache>
            </c:multiLvlStrRef>
          </c:cat>
          <c:val>
            <c:numRef>
              <c:f>Profielkenmerken!$E$33:$E$44</c:f>
              <c:numCache>
                <c:formatCode>#,##0</c:formatCode>
                <c:ptCount val="12"/>
                <c:pt idx="0">
                  <c:v>64</c:v>
                </c:pt>
                <c:pt idx="1">
                  <c:v>640</c:v>
                </c:pt>
                <c:pt idx="2">
                  <c:v>2763</c:v>
                </c:pt>
                <c:pt idx="3">
                  <c:v>2809</c:v>
                </c:pt>
                <c:pt idx="4">
                  <c:v>2210</c:v>
                </c:pt>
                <c:pt idx="5">
                  <c:v>1405</c:v>
                </c:pt>
                <c:pt idx="6">
                  <c:v>974</c:v>
                </c:pt>
                <c:pt idx="7">
                  <c:v>657</c:v>
                </c:pt>
                <c:pt idx="8">
                  <c:v>367</c:v>
                </c:pt>
                <c:pt idx="9">
                  <c:v>167</c:v>
                </c:pt>
                <c:pt idx="10">
                  <c:v>51</c:v>
                </c:pt>
              </c:numCache>
            </c:numRef>
          </c:val>
          <c:smooth val="0"/>
        </c:ser>
        <c:dLbls>
          <c:showLegendKey val="0"/>
          <c:showVal val="0"/>
          <c:showCatName val="0"/>
          <c:showSerName val="0"/>
          <c:showPercent val="0"/>
          <c:showBubbleSize val="0"/>
        </c:dLbls>
        <c:marker val="1"/>
        <c:smooth val="0"/>
        <c:axId val="235438080"/>
        <c:axId val="235439616"/>
      </c:lineChart>
      <c:catAx>
        <c:axId val="235438080"/>
        <c:scaling>
          <c:orientation val="minMax"/>
        </c:scaling>
        <c:delete val="0"/>
        <c:axPos val="b"/>
        <c:majorTickMark val="out"/>
        <c:minorTickMark val="none"/>
        <c:tickLblPos val="nextTo"/>
        <c:crossAx val="235439616"/>
        <c:crosses val="autoZero"/>
        <c:auto val="1"/>
        <c:lblAlgn val="ctr"/>
        <c:lblOffset val="100"/>
        <c:noMultiLvlLbl val="0"/>
      </c:catAx>
      <c:valAx>
        <c:axId val="235439616"/>
        <c:scaling>
          <c:orientation val="minMax"/>
        </c:scaling>
        <c:delete val="0"/>
        <c:axPos val="l"/>
        <c:majorGridlines>
          <c:spPr>
            <a:ln>
              <a:prstDash val="dash"/>
            </a:ln>
          </c:spPr>
        </c:majorGridlines>
        <c:numFmt formatCode="#,##0" sourceLinked="1"/>
        <c:majorTickMark val="out"/>
        <c:minorTickMark val="none"/>
        <c:tickLblPos val="nextTo"/>
        <c:spPr>
          <a:ln>
            <a:noFill/>
          </a:ln>
        </c:spPr>
        <c:crossAx val="235438080"/>
        <c:crosses val="autoZero"/>
        <c:crossBetween val="between"/>
      </c:valAx>
      <c:spPr>
        <a:noFill/>
        <a:ln>
          <a:noFill/>
        </a:ln>
      </c:spPr>
    </c:plotArea>
    <c:legend>
      <c:legendPos val="b"/>
      <c:overlay val="0"/>
    </c:legend>
    <c:plotVisOnly val="1"/>
    <c:dispBlanksAs val="gap"/>
    <c:showDLblsOverMax val="0"/>
  </c:chart>
  <c:spPr>
    <a:noFill/>
    <a:ln>
      <a:noFill/>
    </a:ln>
  </c:spPr>
  <c:txPr>
    <a:bodyPr/>
    <a:lstStyle/>
    <a:p>
      <a:pPr>
        <a:defRPr sz="1200"/>
      </a:pPr>
      <a:endParaRPr lang="nl-B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'Uitstroom naar werk'!$B$13</c:f>
              <c:strCache>
                <c:ptCount val="1"/>
                <c:pt idx="0">
                  <c:v>Uitstroom uit werkloosheid</c:v>
                </c:pt>
              </c:strCache>
            </c:strRef>
          </c:tx>
          <c:dLbls>
            <c:dLblPos val="t"/>
            <c:showLegendKey val="0"/>
            <c:showVal val="1"/>
            <c:showCatName val="0"/>
            <c:showSerName val="0"/>
            <c:showPercent val="0"/>
            <c:showBubbleSize val="0"/>
            <c:showLeaderLines val="0"/>
          </c:dLbls>
          <c:cat>
            <c:strRef>
              <c:f>'Uitstroom naar werk'!$A$14:$A$17</c:f>
              <c:strCache>
                <c:ptCount val="4"/>
                <c:pt idx="0">
                  <c:v>Na 6 maand</c:v>
                </c:pt>
                <c:pt idx="1">
                  <c:v>Na 12 maand</c:v>
                </c:pt>
                <c:pt idx="2">
                  <c:v>Na 18 maand</c:v>
                </c:pt>
                <c:pt idx="3">
                  <c:v>Na 24 maand</c:v>
                </c:pt>
              </c:strCache>
            </c:strRef>
          </c:cat>
          <c:val>
            <c:numRef>
              <c:f>'Uitstroom naar werk'!$B$14:$B$17</c:f>
              <c:numCache>
                <c:formatCode>0%</c:formatCode>
                <c:ptCount val="4"/>
                <c:pt idx="0">
                  <c:v>0.41913919509422548</c:v>
                </c:pt>
                <c:pt idx="1">
                  <c:v>0.55747665859803386</c:v>
                </c:pt>
                <c:pt idx="2">
                  <c:v>0.64984860748868301</c:v>
                </c:pt>
                <c:pt idx="3">
                  <c:v>0.68659536676618416</c:v>
                </c:pt>
              </c:numCache>
            </c:numRef>
          </c:val>
          <c:smooth val="0"/>
        </c:ser>
        <c:ser>
          <c:idx val="1"/>
          <c:order val="1"/>
          <c:tx>
            <c:strRef>
              <c:f>'Uitstroom naar werk'!$C$13</c:f>
              <c:strCache>
                <c:ptCount val="1"/>
                <c:pt idx="0">
                  <c:v>Uitstroom naar werk</c:v>
                </c:pt>
              </c:strCache>
            </c:strRef>
          </c:tx>
          <c:dLbls>
            <c:dLblPos val="t"/>
            <c:showLegendKey val="0"/>
            <c:showVal val="1"/>
            <c:showCatName val="0"/>
            <c:showSerName val="0"/>
            <c:showPercent val="0"/>
            <c:showBubbleSize val="0"/>
            <c:showLeaderLines val="0"/>
          </c:dLbls>
          <c:cat>
            <c:strRef>
              <c:f>'Uitstroom naar werk'!$A$14:$A$17</c:f>
              <c:strCache>
                <c:ptCount val="4"/>
                <c:pt idx="0">
                  <c:v>Na 6 maand</c:v>
                </c:pt>
                <c:pt idx="1">
                  <c:v>Na 12 maand</c:v>
                </c:pt>
                <c:pt idx="2">
                  <c:v>Na 18 maand</c:v>
                </c:pt>
                <c:pt idx="3">
                  <c:v>Na 24 maand</c:v>
                </c:pt>
              </c:strCache>
            </c:strRef>
          </c:cat>
          <c:val>
            <c:numRef>
              <c:f>'Uitstroom naar werk'!$C$14:$C$17</c:f>
              <c:numCache>
                <c:formatCode>0%</c:formatCode>
                <c:ptCount val="4"/>
                <c:pt idx="0">
                  <c:v>0.27271684378487177</c:v>
                </c:pt>
                <c:pt idx="1">
                  <c:v>0.3510472756014425</c:v>
                </c:pt>
                <c:pt idx="2">
                  <c:v>0.41793326738016007</c:v>
                </c:pt>
                <c:pt idx="3">
                  <c:v>0.43943917463436755</c:v>
                </c:pt>
              </c:numCache>
            </c:numRef>
          </c:val>
          <c:smooth val="0"/>
        </c:ser>
        <c:dLbls>
          <c:showLegendKey val="0"/>
          <c:showVal val="0"/>
          <c:showCatName val="0"/>
          <c:showSerName val="0"/>
          <c:showPercent val="0"/>
          <c:showBubbleSize val="0"/>
        </c:dLbls>
        <c:marker val="1"/>
        <c:smooth val="0"/>
        <c:axId val="235457920"/>
        <c:axId val="235459712"/>
      </c:lineChart>
      <c:catAx>
        <c:axId val="235457920"/>
        <c:scaling>
          <c:orientation val="minMax"/>
        </c:scaling>
        <c:delete val="0"/>
        <c:axPos val="b"/>
        <c:majorTickMark val="out"/>
        <c:minorTickMark val="none"/>
        <c:tickLblPos val="nextTo"/>
        <c:crossAx val="235459712"/>
        <c:crosses val="autoZero"/>
        <c:auto val="1"/>
        <c:lblAlgn val="ctr"/>
        <c:lblOffset val="100"/>
        <c:noMultiLvlLbl val="0"/>
      </c:catAx>
      <c:valAx>
        <c:axId val="235459712"/>
        <c:scaling>
          <c:orientation val="minMax"/>
        </c:scaling>
        <c:delete val="1"/>
        <c:axPos val="l"/>
        <c:majorGridlines>
          <c:spPr>
            <a:ln>
              <a:prstDash val="dash"/>
            </a:ln>
          </c:spPr>
        </c:majorGridlines>
        <c:numFmt formatCode="0%" sourceLinked="1"/>
        <c:majorTickMark val="out"/>
        <c:minorTickMark val="none"/>
        <c:tickLblPos val="nextTo"/>
        <c:crossAx val="235457920"/>
        <c:crosses val="autoZero"/>
        <c:crossBetween val="between"/>
      </c:valAx>
      <c:spPr>
        <a:noFill/>
      </c:spPr>
    </c:plotArea>
    <c:legend>
      <c:legendPos val="b"/>
      <c:overlay val="0"/>
    </c:legend>
    <c:plotVisOnly val="1"/>
    <c:dispBlanksAs val="gap"/>
    <c:showDLblsOverMax val="0"/>
  </c:chart>
  <c:spPr>
    <a:noFill/>
    <a:ln>
      <a:noFill/>
    </a:ln>
  </c:spPr>
  <c:txPr>
    <a:bodyPr/>
    <a:lstStyle/>
    <a:p>
      <a:pPr>
        <a:defRPr sz="1200">
          <a:latin typeface="FlandersArtSerif-Regular" panose="00000500000000000000" pitchFamily="2" charset="0"/>
        </a:defRPr>
      </a:pPr>
      <a:endParaRPr lang="nl-BE"/>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AC16D4D6C546243A4BC03670D95EFBC" ma:contentTypeVersion="1" ma:contentTypeDescription="Een nieuw document maken." ma:contentTypeScope="" ma:versionID="299e8a23bbf5210eb8fe286a9deeffa1">
  <xsd:schema xmlns:xsd="http://www.w3.org/2001/XMLSchema" xmlns:xs="http://www.w3.org/2001/XMLSchema" xmlns:p="http://schemas.microsoft.com/office/2006/metadata/properties" targetNamespace="http://schemas.microsoft.com/office/2006/metadata/properties" ma:root="true" ma:fieldsID="a44ebf640e2479a04c5d51aeb5ae438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70D670-F578-48A2-ADD6-564FB95329EF}">
  <ds:schemaRefs>
    <ds:schemaRef ds:uri="http://schemas.openxmlformats.org/officeDocument/2006/bibliography"/>
  </ds:schemaRefs>
</ds:datastoreItem>
</file>

<file path=customXml/itemProps2.xml><?xml version="1.0" encoding="utf-8"?>
<ds:datastoreItem xmlns:ds="http://schemas.openxmlformats.org/officeDocument/2006/customXml" ds:itemID="{E4864652-FAD1-4CBC-857A-BE1BDA9AEAF2}"/>
</file>

<file path=customXml/itemProps3.xml><?xml version="1.0" encoding="utf-8"?>
<ds:datastoreItem xmlns:ds="http://schemas.openxmlformats.org/officeDocument/2006/customXml" ds:itemID="{D28BA982-4B61-4B9C-8FE7-FD7C5C0BAF44}"/>
</file>

<file path=customXml/itemProps4.xml><?xml version="1.0" encoding="utf-8"?>
<ds:datastoreItem xmlns:ds="http://schemas.openxmlformats.org/officeDocument/2006/customXml" ds:itemID="{45EDC23B-B84C-43EA-B29E-9D768E4159A1}"/>
</file>

<file path=docProps/app.xml><?xml version="1.0" encoding="utf-8"?>
<Properties xmlns="http://schemas.openxmlformats.org/officeDocument/2006/extended-properties" xmlns:vt="http://schemas.openxmlformats.org/officeDocument/2006/docPropsVTypes">
  <Template>Normal</Template>
  <TotalTime>0</TotalTime>
  <Pages>4</Pages>
  <Words>2817</Words>
  <Characters>15496</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VDAB</Company>
  <LinksUpToDate>false</LinksUpToDate>
  <CharactersWithSpaces>18277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Van Zand</dc:creator>
  <cp:lastModifiedBy>VDAB IT/IS</cp:lastModifiedBy>
  <cp:revision>2</cp:revision>
  <cp:lastPrinted>2017-08-29T09:13:00Z</cp:lastPrinted>
  <dcterms:created xsi:type="dcterms:W3CDTF">2018-04-27T11:28:00Z</dcterms:created>
  <dcterms:modified xsi:type="dcterms:W3CDTF">2018-04-27T11:28:00Z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0x0101000AC16D4D6C546243A4BC03670D95EFBC</vt:lpwstr>
  </property>
</Properties>
</file>