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14580" w14:textId="395DDDDA" w:rsidR="00DC3601" w:rsidRPr="00B215BE" w:rsidRDefault="00B215BE">
      <w:pPr>
        <w:rPr>
          <w:rFonts w:ascii="Verdana" w:hAnsi="Verdana"/>
          <w:sz w:val="20"/>
          <w:szCs w:val="20"/>
        </w:rPr>
      </w:pPr>
      <w:r>
        <w:rPr>
          <w:rFonts w:ascii="Verdana" w:hAnsi="Verdana"/>
          <w:sz w:val="20"/>
          <w:szCs w:val="20"/>
        </w:rPr>
        <w:t>Bijlage 1: Weerhouden projectvoorstellen “Landbouw-Natuur: op zoek naar een win-win”.</w:t>
      </w:r>
    </w:p>
    <w:tbl>
      <w:tblPr>
        <w:tblStyle w:val="Tabelraster1"/>
        <w:tblW w:w="0" w:type="auto"/>
        <w:tblLook w:val="04A0" w:firstRow="1" w:lastRow="0" w:firstColumn="1" w:lastColumn="0" w:noHBand="0" w:noVBand="1"/>
      </w:tblPr>
      <w:tblGrid>
        <w:gridCol w:w="2181"/>
        <w:gridCol w:w="1895"/>
        <w:gridCol w:w="2189"/>
        <w:gridCol w:w="1414"/>
        <w:gridCol w:w="1383"/>
      </w:tblGrid>
      <w:tr w:rsidR="006373FF" w:rsidRPr="00347F06" w14:paraId="631E232B" w14:textId="77777777" w:rsidTr="00AB6774">
        <w:tc>
          <w:tcPr>
            <w:tcW w:w="2122" w:type="dxa"/>
          </w:tcPr>
          <w:p w14:paraId="5CB3E0B1" w14:textId="77777777" w:rsidR="006373FF" w:rsidRPr="00347F06" w:rsidRDefault="006373FF" w:rsidP="00AB6774">
            <w:pPr>
              <w:tabs>
                <w:tab w:val="left" w:pos="1214"/>
              </w:tabs>
              <w:rPr>
                <w:rFonts w:ascii="Verdana" w:hAnsi="Verdana"/>
                <w:b/>
                <w:sz w:val="20"/>
                <w:szCs w:val="20"/>
              </w:rPr>
            </w:pPr>
            <w:bookmarkStart w:id="0" w:name="_Hlk508721811"/>
            <w:r w:rsidRPr="00347F06">
              <w:rPr>
                <w:rFonts w:ascii="Verdana" w:hAnsi="Verdana"/>
                <w:b/>
                <w:sz w:val="20"/>
                <w:szCs w:val="20"/>
              </w:rPr>
              <w:t>Project</w:t>
            </w:r>
          </w:p>
        </w:tc>
        <w:tc>
          <w:tcPr>
            <w:tcW w:w="1134" w:type="dxa"/>
          </w:tcPr>
          <w:p w14:paraId="7BBFD20B" w14:textId="77777777" w:rsidR="006373FF" w:rsidRPr="00347F06" w:rsidRDefault="006373FF" w:rsidP="00AB6774">
            <w:pPr>
              <w:tabs>
                <w:tab w:val="left" w:pos="1214"/>
              </w:tabs>
              <w:rPr>
                <w:rFonts w:ascii="Verdana" w:hAnsi="Verdana"/>
                <w:b/>
                <w:sz w:val="20"/>
                <w:szCs w:val="20"/>
              </w:rPr>
            </w:pPr>
            <w:r w:rsidRPr="00347F06">
              <w:rPr>
                <w:rFonts w:ascii="Verdana" w:hAnsi="Verdana"/>
                <w:b/>
                <w:sz w:val="20"/>
                <w:szCs w:val="20"/>
              </w:rPr>
              <w:t>Projectindiener</w:t>
            </w:r>
          </w:p>
        </w:tc>
        <w:tc>
          <w:tcPr>
            <w:tcW w:w="2317" w:type="dxa"/>
          </w:tcPr>
          <w:p w14:paraId="08E9F7D8" w14:textId="77777777" w:rsidR="006373FF" w:rsidRPr="00347F06" w:rsidRDefault="006373FF" w:rsidP="00AB6774">
            <w:pPr>
              <w:tabs>
                <w:tab w:val="left" w:pos="1214"/>
              </w:tabs>
              <w:rPr>
                <w:rFonts w:ascii="Verdana" w:hAnsi="Verdana"/>
                <w:b/>
                <w:sz w:val="20"/>
                <w:szCs w:val="20"/>
              </w:rPr>
            </w:pPr>
            <w:r w:rsidRPr="00347F06">
              <w:rPr>
                <w:rFonts w:ascii="Verdana" w:hAnsi="Verdana"/>
                <w:b/>
                <w:sz w:val="20"/>
                <w:szCs w:val="20"/>
              </w:rPr>
              <w:t>Inhoud</w:t>
            </w:r>
          </w:p>
        </w:tc>
        <w:tc>
          <w:tcPr>
            <w:tcW w:w="1576" w:type="dxa"/>
          </w:tcPr>
          <w:p w14:paraId="12D5D916" w14:textId="77777777" w:rsidR="006373FF" w:rsidRPr="00347F06" w:rsidRDefault="006373FF" w:rsidP="00AB6774">
            <w:pPr>
              <w:tabs>
                <w:tab w:val="left" w:pos="1214"/>
              </w:tabs>
              <w:rPr>
                <w:rFonts w:ascii="Verdana" w:hAnsi="Verdana"/>
                <w:b/>
                <w:sz w:val="20"/>
                <w:szCs w:val="20"/>
              </w:rPr>
            </w:pPr>
            <w:r w:rsidRPr="00347F06">
              <w:rPr>
                <w:rFonts w:ascii="Verdana" w:hAnsi="Verdana"/>
                <w:b/>
                <w:sz w:val="20"/>
                <w:szCs w:val="20"/>
              </w:rPr>
              <w:t>Provincie</w:t>
            </w:r>
          </w:p>
        </w:tc>
        <w:tc>
          <w:tcPr>
            <w:tcW w:w="1911" w:type="dxa"/>
          </w:tcPr>
          <w:p w14:paraId="30F5DCA3" w14:textId="77777777" w:rsidR="006373FF" w:rsidRPr="00347F06" w:rsidRDefault="006373FF" w:rsidP="00AB6774">
            <w:pPr>
              <w:tabs>
                <w:tab w:val="left" w:pos="1214"/>
              </w:tabs>
              <w:rPr>
                <w:rFonts w:ascii="Verdana" w:hAnsi="Verdana"/>
                <w:b/>
                <w:sz w:val="20"/>
                <w:szCs w:val="20"/>
              </w:rPr>
            </w:pPr>
            <w:r w:rsidRPr="00347F06">
              <w:rPr>
                <w:rFonts w:ascii="Verdana" w:hAnsi="Verdana"/>
                <w:b/>
                <w:sz w:val="20"/>
                <w:szCs w:val="20"/>
              </w:rPr>
              <w:t>Subsidie</w:t>
            </w:r>
          </w:p>
        </w:tc>
      </w:tr>
      <w:tr w:rsidR="006373FF" w:rsidRPr="00347F06" w14:paraId="609936DE" w14:textId="77777777" w:rsidTr="00AB6774">
        <w:tc>
          <w:tcPr>
            <w:tcW w:w="2122" w:type="dxa"/>
          </w:tcPr>
          <w:p w14:paraId="16380D2E"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FABuleus platteland</w:t>
            </w:r>
          </w:p>
        </w:tc>
        <w:tc>
          <w:tcPr>
            <w:tcW w:w="1134" w:type="dxa"/>
          </w:tcPr>
          <w:p w14:paraId="7F5E480B"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 xml:space="preserve">ECO² </w:t>
            </w:r>
          </w:p>
        </w:tc>
        <w:tc>
          <w:tcPr>
            <w:tcW w:w="2317" w:type="dxa"/>
          </w:tcPr>
          <w:p w14:paraId="5EFEBFE3" w14:textId="7BD14048" w:rsidR="006373FF" w:rsidRPr="00347F06" w:rsidRDefault="006373FF" w:rsidP="00AB6774">
            <w:pPr>
              <w:tabs>
                <w:tab w:val="left" w:pos="1214"/>
              </w:tabs>
              <w:rPr>
                <w:rFonts w:ascii="Verdana" w:hAnsi="Verdana"/>
                <w:sz w:val="20"/>
                <w:szCs w:val="20"/>
              </w:rPr>
            </w:pPr>
            <w:r w:rsidRPr="00347F06">
              <w:rPr>
                <w:rFonts w:ascii="Verdana" w:hAnsi="Verdana"/>
                <w:sz w:val="20"/>
                <w:szCs w:val="20"/>
              </w:rPr>
              <w:t xml:space="preserve">*economisch rendabel biobedrijf uitbouwen tot een demobedrijf voor agrobiodiversiteit </w:t>
            </w:r>
            <w:bookmarkStart w:id="1" w:name="_GoBack"/>
            <w:bookmarkEnd w:id="1"/>
          </w:p>
          <w:p w14:paraId="6E1444E6"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*Maatregelen van 1e jaar monitoren</w:t>
            </w:r>
          </w:p>
          <w:p w14:paraId="1AA418CE"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*Uitwerken en verspreiden van didactisch-communicatief materiaal</w:t>
            </w:r>
          </w:p>
        </w:tc>
        <w:tc>
          <w:tcPr>
            <w:tcW w:w="1576" w:type="dxa"/>
          </w:tcPr>
          <w:p w14:paraId="24584405"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Demobedrijf bevindt zich in Vlaams-Brabant</w:t>
            </w:r>
          </w:p>
        </w:tc>
        <w:tc>
          <w:tcPr>
            <w:tcW w:w="1911" w:type="dxa"/>
          </w:tcPr>
          <w:p w14:paraId="69363B98"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20.000 euro, subsidiëring door ANB</w:t>
            </w:r>
          </w:p>
        </w:tc>
      </w:tr>
      <w:tr w:rsidR="006373FF" w:rsidRPr="00347F06" w14:paraId="52E5E9FF" w14:textId="77777777" w:rsidTr="00AB6774">
        <w:tc>
          <w:tcPr>
            <w:tcW w:w="2122" w:type="dxa"/>
          </w:tcPr>
          <w:p w14:paraId="70DADE21"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Nuttige insecten in de land- en tuinbouw</w:t>
            </w:r>
          </w:p>
        </w:tc>
        <w:tc>
          <w:tcPr>
            <w:tcW w:w="1134" w:type="dxa"/>
          </w:tcPr>
          <w:p w14:paraId="17887F04"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Inagro vzw</w:t>
            </w:r>
          </w:p>
        </w:tc>
        <w:tc>
          <w:tcPr>
            <w:tcW w:w="2317" w:type="dxa"/>
          </w:tcPr>
          <w:p w14:paraId="6A7D8D00"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 xml:space="preserve">Er is te weinig aandacht voor nuttigen op de drukbezochte opleidingen ihkv IPM. Inagro wil hieraan verhelpen door lesmethodieken te ontwikkelen voor landbouwers over het herkennen van nuttigen en hun voordelen voor de teelten. </w:t>
            </w:r>
          </w:p>
        </w:tc>
        <w:tc>
          <w:tcPr>
            <w:tcW w:w="1576" w:type="dxa"/>
          </w:tcPr>
          <w:p w14:paraId="6D971CF4"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West-Vlaanderen</w:t>
            </w:r>
          </w:p>
        </w:tc>
        <w:tc>
          <w:tcPr>
            <w:tcW w:w="1911" w:type="dxa"/>
          </w:tcPr>
          <w:p w14:paraId="593EA251"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20.000 euro, subsidiëring door Dep. OMG</w:t>
            </w:r>
          </w:p>
        </w:tc>
      </w:tr>
      <w:tr w:rsidR="006373FF" w:rsidRPr="00347F06" w14:paraId="3BC3F480" w14:textId="77777777" w:rsidTr="00AB6774">
        <w:tc>
          <w:tcPr>
            <w:tcW w:w="2122" w:type="dxa"/>
          </w:tcPr>
          <w:p w14:paraId="594EBD0B"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Op weg naar een natuurinclusieve landbouw: Invloed van landschapsstructuur op insectendiversiteit in bloemrijke akkerranden voor het stimuleren van de functionele agrobiodiversiteit</w:t>
            </w:r>
          </w:p>
        </w:tc>
        <w:tc>
          <w:tcPr>
            <w:tcW w:w="1134" w:type="dxa"/>
          </w:tcPr>
          <w:p w14:paraId="3CB72DEE" w14:textId="77777777" w:rsidR="006373FF" w:rsidRPr="00347F06" w:rsidRDefault="006373FF" w:rsidP="00AB6774">
            <w:pPr>
              <w:tabs>
                <w:tab w:val="left" w:pos="1214"/>
              </w:tabs>
              <w:rPr>
                <w:rFonts w:ascii="Verdana" w:hAnsi="Verdana"/>
                <w:sz w:val="20"/>
                <w:szCs w:val="20"/>
              </w:rPr>
            </w:pPr>
            <w:r w:rsidRPr="00347F06">
              <w:rPr>
                <w:rFonts w:ascii="Verdana" w:hAnsi="Verdana"/>
                <w:color w:val="000000"/>
                <w:sz w:val="20"/>
                <w:szCs w:val="20"/>
              </w:rPr>
              <w:t>RLRL vzw</w:t>
            </w:r>
          </w:p>
        </w:tc>
        <w:tc>
          <w:tcPr>
            <w:tcW w:w="2317" w:type="dxa"/>
          </w:tcPr>
          <w:p w14:paraId="5A69E29E"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Het project onderzoekt of en hoe het omringend landschap de insectendiversiteit in bloemrijke akkerranden beïnvloedt, en wat haar impact is op de functionele agrobiodiversiteit. Het project levert dan ook belangrijke inzichten voor een zgn. “natuurinclusieve landbouw”.</w:t>
            </w:r>
          </w:p>
        </w:tc>
        <w:tc>
          <w:tcPr>
            <w:tcW w:w="1576" w:type="dxa"/>
          </w:tcPr>
          <w:p w14:paraId="2B27BB77"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Antwerpen</w:t>
            </w:r>
          </w:p>
        </w:tc>
        <w:tc>
          <w:tcPr>
            <w:tcW w:w="1911" w:type="dxa"/>
          </w:tcPr>
          <w:p w14:paraId="2E4F8592"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 xml:space="preserve"> 20.000 euro, subsidiëring door VLM</w:t>
            </w:r>
          </w:p>
        </w:tc>
      </w:tr>
      <w:tr w:rsidR="006373FF" w:rsidRPr="00347F06" w14:paraId="1B105C95" w14:textId="77777777" w:rsidTr="00AB6774">
        <w:tc>
          <w:tcPr>
            <w:tcW w:w="2122" w:type="dxa"/>
          </w:tcPr>
          <w:p w14:paraId="6787B0C2"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Landbouw Bij-gekleurd</w:t>
            </w:r>
          </w:p>
        </w:tc>
        <w:tc>
          <w:tcPr>
            <w:tcW w:w="1134" w:type="dxa"/>
          </w:tcPr>
          <w:p w14:paraId="5B94EFA5"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RLSD vzw</w:t>
            </w:r>
          </w:p>
        </w:tc>
        <w:tc>
          <w:tcPr>
            <w:tcW w:w="2317" w:type="dxa"/>
          </w:tcPr>
          <w:p w14:paraId="7BBA7FBA"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 xml:space="preserve">Het project heeft tot doel landbouwers bewust te maken van het belang van wilde bijen (en andere wilde bestuivers) voor </w:t>
            </w:r>
            <w:r w:rsidRPr="00347F06">
              <w:rPr>
                <w:rFonts w:ascii="Verdana" w:hAnsi="Verdana"/>
                <w:sz w:val="20"/>
                <w:szCs w:val="20"/>
              </w:rPr>
              <w:lastRenderedPageBreak/>
              <w:t>hun zaakvoering. We begeleiden hen daarbij ook individueel in het effectief verbeteren van de leefomgeving voor wilde bijen. Dit via:</w:t>
            </w:r>
          </w:p>
          <w:p w14:paraId="3CC30D43"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 kennisopbouw en -overdracht</w:t>
            </w:r>
          </w:p>
          <w:p w14:paraId="21E0A593"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 concrete terreinrealisaties en een brochure om het bereik te vergroten</w:t>
            </w:r>
          </w:p>
          <w:p w14:paraId="423CB0E6"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 creëren van draagvlak bij het bredere publiek (andere landbouwers, natuurverenigingen, particulieren,…)</w:t>
            </w:r>
          </w:p>
        </w:tc>
        <w:tc>
          <w:tcPr>
            <w:tcW w:w="1576" w:type="dxa"/>
          </w:tcPr>
          <w:p w14:paraId="2D5B3FBF"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lastRenderedPageBreak/>
              <w:t>Oost-Vlaanderen en Vlaams-Brabant</w:t>
            </w:r>
          </w:p>
        </w:tc>
        <w:tc>
          <w:tcPr>
            <w:tcW w:w="1911" w:type="dxa"/>
          </w:tcPr>
          <w:p w14:paraId="20A95436" w14:textId="77777777" w:rsidR="006373FF" w:rsidRPr="00347F06" w:rsidRDefault="006373FF" w:rsidP="00AB6774">
            <w:pPr>
              <w:tabs>
                <w:tab w:val="left" w:pos="1214"/>
              </w:tabs>
              <w:rPr>
                <w:rFonts w:ascii="Verdana" w:hAnsi="Verdana"/>
                <w:sz w:val="20"/>
                <w:szCs w:val="20"/>
              </w:rPr>
            </w:pPr>
            <w:r w:rsidRPr="00347F06">
              <w:rPr>
                <w:rFonts w:ascii="Verdana" w:hAnsi="Verdana"/>
                <w:sz w:val="20"/>
                <w:szCs w:val="20"/>
              </w:rPr>
              <w:t>20.000 euro, subsidiëring door Dep. LV</w:t>
            </w:r>
          </w:p>
        </w:tc>
      </w:tr>
      <w:bookmarkEnd w:id="0"/>
    </w:tbl>
    <w:p w14:paraId="5DBC861C" w14:textId="77777777" w:rsidR="006373FF" w:rsidRPr="00347F06" w:rsidRDefault="006373FF" w:rsidP="006373FF">
      <w:pPr>
        <w:pStyle w:val="Nummering"/>
        <w:numPr>
          <w:ilvl w:val="0"/>
          <w:numId w:val="0"/>
        </w:numPr>
        <w:ind w:left="425"/>
        <w:rPr>
          <w:rFonts w:eastAsia="Verdana"/>
          <w:szCs w:val="20"/>
          <w:lang w:val="nl-BE"/>
        </w:rPr>
      </w:pPr>
    </w:p>
    <w:p w14:paraId="2471D30A" w14:textId="77777777" w:rsidR="006373FF" w:rsidRDefault="006373FF"/>
    <w:sectPr w:rsidR="00637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23682"/>
    <w:multiLevelType w:val="multilevel"/>
    <w:tmpl w:val="55A62C9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FF"/>
    <w:rsid w:val="006373FF"/>
    <w:rsid w:val="007B4106"/>
    <w:rsid w:val="00B215BE"/>
    <w:rsid w:val="00DC36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11E3"/>
  <w15:chartTrackingRefBased/>
  <w15:docId w15:val="{38BD3261-D863-4C36-96AB-7B72CA63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6373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37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6373FF"/>
    <w:pPr>
      <w:numPr>
        <w:numId w:val="1"/>
      </w:numPr>
      <w:spacing w:after="120" w:line="240" w:lineRule="auto"/>
      <w:contextualSpacing w:val="0"/>
      <w:jc w:val="both"/>
    </w:pPr>
    <w:rPr>
      <w:rFonts w:ascii="Verdana" w:eastAsia="Times New Roman" w:hAnsi="Verdana" w:cs="Times New Roman"/>
      <w:sz w:val="20"/>
      <w:szCs w:val="24"/>
      <w:lang w:val="en-US" w:eastAsia="nl-NL"/>
    </w:rPr>
  </w:style>
  <w:style w:type="character" w:customStyle="1" w:styleId="NummeringChar">
    <w:name w:val="Nummering Char"/>
    <w:link w:val="Nummering"/>
    <w:rsid w:val="006373FF"/>
    <w:rPr>
      <w:rFonts w:ascii="Verdana" w:eastAsia="Times New Roman" w:hAnsi="Verdana" w:cs="Times New Roman"/>
      <w:sz w:val="20"/>
      <w:szCs w:val="24"/>
      <w:lang w:val="en-US" w:eastAsia="nl-NL"/>
    </w:rPr>
  </w:style>
  <w:style w:type="paragraph" w:styleId="Lijstalinea">
    <w:name w:val="List Paragraph"/>
    <w:basedOn w:val="Standaard"/>
    <w:uiPriority w:val="34"/>
    <w:qFormat/>
    <w:rsid w:val="0063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3EB2BF37329469DF57DD895B564AA" ma:contentTypeVersion="0" ma:contentTypeDescription="Een nieuw document maken." ma:contentTypeScope="" ma:versionID="44e71aa2d0d4023bd764fe13e761764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7E537-AE7D-4DEB-BBEB-8BF4C369B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73D911-4E8D-4DB5-9E08-731651D4793A}">
  <ds:schemaRefs>
    <ds:schemaRef ds:uri="http://schemas.microsoft.com/sharepoint/v3/contenttype/forms"/>
  </ds:schemaRefs>
</ds:datastoreItem>
</file>

<file path=customXml/itemProps3.xml><?xml version="1.0" encoding="utf-8"?>
<ds:datastoreItem xmlns:ds="http://schemas.openxmlformats.org/officeDocument/2006/customXml" ds:itemID="{691B5F37-57CC-4370-B1DB-C54699C21D28}">
  <ds:schemaRef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SMEDT, Els (kabinet Schauvliege)</dc:creator>
  <cp:keywords/>
  <dc:description/>
  <cp:lastModifiedBy>DE SMEDT, Els (kabinet Schauvliege)</cp:lastModifiedBy>
  <cp:revision>3</cp:revision>
  <dcterms:created xsi:type="dcterms:W3CDTF">2018-03-29T13:12:00Z</dcterms:created>
  <dcterms:modified xsi:type="dcterms:W3CDTF">2018-04-10T11:26:00Z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0x010100AEC3EB2BF37329469DF57DD895B564AA</vt:lpwstr>
  </property>
</Properties>
</file>