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58F5C" w14:textId="77777777" w:rsidR="00F70300" w:rsidRPr="000B1A70" w:rsidRDefault="00F70300" w:rsidP="00D32E63">
      <w:pPr>
        <w:jc w:val="both"/>
        <w:rPr>
          <w:rFonts w:ascii="Verdana" w:hAnsi="Verdana"/>
          <w:sz w:val="20"/>
          <w:szCs w:val="20"/>
        </w:rPr>
      </w:pPr>
      <w:bookmarkStart w:id="0" w:name="_GoBack"/>
      <w:bookmarkEnd w:id="0"/>
      <w:r w:rsidRPr="000B1A70">
        <w:rPr>
          <w:rFonts w:ascii="Verdana" w:hAnsi="Verdana"/>
          <w:sz w:val="20"/>
          <w:szCs w:val="20"/>
        </w:rPr>
        <w:t>Bijlage 1: doorlooptijden per procedure voor de periode 2013-2017 - per jaar</w:t>
      </w:r>
    </w:p>
    <w:p w14:paraId="3D658F5D" w14:textId="77777777" w:rsidR="00F70300" w:rsidRPr="000B1A70" w:rsidRDefault="00F70300" w:rsidP="00D32E63">
      <w:pPr>
        <w:jc w:val="both"/>
        <w:rPr>
          <w:rFonts w:ascii="Verdana" w:hAnsi="Verdana"/>
          <w:sz w:val="20"/>
          <w:szCs w:val="20"/>
        </w:rPr>
      </w:pPr>
      <w:r w:rsidRPr="000B1A70">
        <w:rPr>
          <w:rFonts w:ascii="Verdana" w:hAnsi="Verdana"/>
          <w:sz w:val="20"/>
          <w:szCs w:val="20"/>
        </w:rPr>
        <w:t xml:space="preserve">NARIC-Vlaanderen maakt in haar rapportering steeds het onderscheid tussen afhandelingstermijnen en doorlooptijden. Deze worden als volgt gedefinieerd: </w:t>
      </w:r>
    </w:p>
    <w:p w14:paraId="3D658F5E" w14:textId="77777777" w:rsidR="00F70300" w:rsidRPr="000B1A70" w:rsidRDefault="00F70300" w:rsidP="00D32E63">
      <w:pPr>
        <w:jc w:val="both"/>
        <w:rPr>
          <w:rFonts w:ascii="Verdana" w:hAnsi="Verdana"/>
          <w:sz w:val="20"/>
          <w:szCs w:val="20"/>
        </w:rPr>
      </w:pPr>
      <w:r w:rsidRPr="000B1A70">
        <w:rPr>
          <w:rFonts w:ascii="Verdana" w:hAnsi="Verdana"/>
          <w:b/>
          <w:sz w:val="20"/>
          <w:szCs w:val="20"/>
        </w:rPr>
        <w:t>Afhandelingstermijn</w:t>
      </w:r>
      <w:r w:rsidRPr="000B1A70">
        <w:rPr>
          <w:rFonts w:ascii="Verdana" w:hAnsi="Verdana"/>
          <w:sz w:val="20"/>
          <w:szCs w:val="20"/>
        </w:rPr>
        <w:t>: periode waarbinnen NARIC een dossier behandelt. Bij het berekenen van de afhandelingstermijnen laten we de wachtperiodes buiten beschouwing. Dit is zo bepaald in de regelgeving, zoals hieronder uitgelegd.</w:t>
      </w:r>
    </w:p>
    <w:p w14:paraId="3D658F5F" w14:textId="77777777" w:rsidR="00F70300" w:rsidRPr="000B1A70" w:rsidRDefault="00F70300" w:rsidP="00D32E63">
      <w:pPr>
        <w:jc w:val="both"/>
        <w:rPr>
          <w:rFonts w:ascii="Verdana" w:hAnsi="Verdana"/>
          <w:sz w:val="20"/>
          <w:szCs w:val="20"/>
        </w:rPr>
      </w:pPr>
      <w:r w:rsidRPr="000B1A70">
        <w:rPr>
          <w:rFonts w:ascii="Verdana" w:hAnsi="Verdana"/>
          <w:b/>
          <w:sz w:val="20"/>
          <w:szCs w:val="20"/>
        </w:rPr>
        <w:t>Wachtperiode</w:t>
      </w:r>
      <w:r w:rsidRPr="000B1A70">
        <w:rPr>
          <w:rFonts w:ascii="Verdana" w:hAnsi="Verdana"/>
          <w:sz w:val="20"/>
          <w:szCs w:val="20"/>
        </w:rPr>
        <w:t>: periode waarin het dossier van een aanvrager stilligt, omdat NARIC wacht op een actie van de aanvrager zelf.</w:t>
      </w:r>
    </w:p>
    <w:p w14:paraId="3D658F60" w14:textId="77777777" w:rsidR="00F70300" w:rsidRPr="000B1A70" w:rsidRDefault="00F70300" w:rsidP="00D32E63">
      <w:pPr>
        <w:jc w:val="both"/>
        <w:rPr>
          <w:rFonts w:ascii="Verdana" w:hAnsi="Verdana"/>
          <w:sz w:val="20"/>
          <w:szCs w:val="20"/>
        </w:rPr>
      </w:pPr>
      <w:r w:rsidRPr="000B1A70">
        <w:rPr>
          <w:rFonts w:ascii="Verdana" w:hAnsi="Verdana"/>
          <w:b/>
          <w:sz w:val="20"/>
          <w:szCs w:val="20"/>
        </w:rPr>
        <w:t>Doorlooptijd</w:t>
      </w:r>
      <w:r w:rsidRPr="000B1A70">
        <w:rPr>
          <w:rFonts w:ascii="Verdana" w:hAnsi="Verdana"/>
          <w:sz w:val="20"/>
          <w:szCs w:val="20"/>
        </w:rPr>
        <w:t>: afhandelingstermijn plus de wachtperiodes. De doorlooptijd geeft een beeld van hoe lang de procedure effectief duurt voor de aanvrager vanaf het indienen van het dossier tot het ontvangen van de beslissing. Op de doorlooptijden heeft NARIC minder controle omdat er actie vereist is van de aanvrager zelf of van een derde partij.</w:t>
      </w:r>
    </w:p>
    <w:p w14:paraId="3D658F61" w14:textId="77777777" w:rsidR="00F70300" w:rsidRPr="000B1A70" w:rsidRDefault="00F70300" w:rsidP="00D32E63">
      <w:pPr>
        <w:jc w:val="both"/>
        <w:rPr>
          <w:rFonts w:ascii="Verdana" w:hAnsi="Verdana"/>
          <w:sz w:val="20"/>
          <w:szCs w:val="20"/>
        </w:rPr>
      </w:pPr>
      <w:r w:rsidRPr="000B1A70">
        <w:rPr>
          <w:rFonts w:ascii="Verdana" w:hAnsi="Verdana"/>
          <w:sz w:val="20"/>
          <w:szCs w:val="20"/>
        </w:rPr>
        <w:t xml:space="preserve">Hieronder volgt een overzicht van de </w:t>
      </w:r>
      <w:r w:rsidRPr="000B1A70">
        <w:rPr>
          <w:rFonts w:ascii="Verdana" w:hAnsi="Verdana"/>
          <w:b/>
          <w:sz w:val="20"/>
          <w:szCs w:val="20"/>
        </w:rPr>
        <w:t>doorlooptijden</w:t>
      </w:r>
      <w:r w:rsidRPr="000B1A70">
        <w:rPr>
          <w:rFonts w:ascii="Verdana" w:hAnsi="Verdana"/>
          <w:sz w:val="20"/>
          <w:szCs w:val="20"/>
        </w:rPr>
        <w:t xml:space="preserve"> per procedure</w:t>
      </w:r>
    </w:p>
    <w:tbl>
      <w:tblPr>
        <w:tblStyle w:val="Tabelraster"/>
        <w:tblW w:w="7641" w:type="dxa"/>
        <w:tblLook w:val="04A0" w:firstRow="1" w:lastRow="0" w:firstColumn="1" w:lastColumn="0" w:noHBand="0" w:noVBand="1"/>
      </w:tblPr>
      <w:tblGrid>
        <w:gridCol w:w="4545"/>
        <w:gridCol w:w="3096"/>
      </w:tblGrid>
      <w:tr w:rsidR="003C5D55" w:rsidRPr="000B1A70" w14:paraId="3D658F64" w14:textId="77777777" w:rsidTr="003C5D55">
        <w:tc>
          <w:tcPr>
            <w:tcW w:w="4545" w:type="dxa"/>
            <w:shd w:val="clear" w:color="auto" w:fill="DEEAF6" w:themeFill="accent1" w:themeFillTint="33"/>
            <w:vAlign w:val="bottom"/>
          </w:tcPr>
          <w:p w14:paraId="3D658F62" w14:textId="77777777" w:rsidR="003C5D55" w:rsidRPr="000B1A70" w:rsidRDefault="003C5D55" w:rsidP="00D32E63">
            <w:pPr>
              <w:spacing w:after="160" w:line="259" w:lineRule="auto"/>
              <w:jc w:val="both"/>
              <w:rPr>
                <w:rFonts w:ascii="Verdana" w:hAnsi="Verdana"/>
                <w:b/>
                <w:sz w:val="20"/>
                <w:szCs w:val="20"/>
              </w:rPr>
            </w:pPr>
            <w:r w:rsidRPr="000B1A70">
              <w:rPr>
                <w:rFonts w:ascii="Verdana" w:hAnsi="Verdana"/>
                <w:b/>
                <w:sz w:val="20"/>
                <w:szCs w:val="20"/>
              </w:rPr>
              <w:t>Procedure</w:t>
            </w:r>
          </w:p>
        </w:tc>
        <w:tc>
          <w:tcPr>
            <w:tcW w:w="3096" w:type="dxa"/>
            <w:shd w:val="clear" w:color="auto" w:fill="DEEAF6" w:themeFill="accent1" w:themeFillTint="33"/>
            <w:vAlign w:val="bottom"/>
          </w:tcPr>
          <w:p w14:paraId="3D658F63" w14:textId="77777777" w:rsidR="003C5D55" w:rsidRPr="000B1A70" w:rsidRDefault="003C5D55" w:rsidP="00D32E63">
            <w:pPr>
              <w:spacing w:after="160" w:line="259" w:lineRule="auto"/>
              <w:jc w:val="both"/>
              <w:rPr>
                <w:rFonts w:ascii="Verdana" w:hAnsi="Verdana"/>
                <w:b/>
                <w:sz w:val="20"/>
                <w:szCs w:val="20"/>
              </w:rPr>
            </w:pPr>
            <w:r w:rsidRPr="000B1A70">
              <w:rPr>
                <w:rFonts w:ascii="Verdana" w:hAnsi="Verdana"/>
                <w:b/>
                <w:sz w:val="20"/>
                <w:szCs w:val="20"/>
              </w:rPr>
              <w:t>Gemiddelde doorlooptijd 2013</w:t>
            </w:r>
          </w:p>
        </w:tc>
      </w:tr>
      <w:tr w:rsidR="003C5D55" w:rsidRPr="000B1A70" w14:paraId="3D658F67" w14:textId="77777777" w:rsidTr="003C5D55">
        <w:tc>
          <w:tcPr>
            <w:tcW w:w="4545" w:type="dxa"/>
            <w:vAlign w:val="center"/>
          </w:tcPr>
          <w:p w14:paraId="3D658F65"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Doctoraat</w:t>
            </w:r>
          </w:p>
        </w:tc>
        <w:tc>
          <w:tcPr>
            <w:tcW w:w="3096" w:type="dxa"/>
            <w:vAlign w:val="center"/>
          </w:tcPr>
          <w:p w14:paraId="3D658F66"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95 dagen</w:t>
            </w:r>
          </w:p>
        </w:tc>
      </w:tr>
      <w:tr w:rsidR="003C5D55" w:rsidRPr="000B1A70" w14:paraId="3D658F6A" w14:textId="77777777" w:rsidTr="003C5D55">
        <w:tc>
          <w:tcPr>
            <w:tcW w:w="4545" w:type="dxa"/>
            <w:vAlign w:val="center"/>
          </w:tcPr>
          <w:p w14:paraId="3D658F68"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HO – Hoger Beroepsonderwijs</w:t>
            </w:r>
          </w:p>
        </w:tc>
        <w:tc>
          <w:tcPr>
            <w:tcW w:w="3096" w:type="dxa"/>
            <w:vAlign w:val="center"/>
          </w:tcPr>
          <w:p w14:paraId="3D658F69"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103 dagen</w:t>
            </w:r>
          </w:p>
        </w:tc>
      </w:tr>
      <w:tr w:rsidR="003C5D55" w:rsidRPr="000B1A70" w14:paraId="3D658F6D" w14:textId="77777777" w:rsidTr="003C5D55">
        <w:tc>
          <w:tcPr>
            <w:tcW w:w="4545" w:type="dxa"/>
            <w:vAlign w:val="center"/>
          </w:tcPr>
          <w:p w14:paraId="3D658F6B"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BAMA - Volledige gelijkwaardigheid</w:t>
            </w:r>
          </w:p>
        </w:tc>
        <w:tc>
          <w:tcPr>
            <w:tcW w:w="3096" w:type="dxa"/>
            <w:vAlign w:val="center"/>
          </w:tcPr>
          <w:p w14:paraId="3D658F6C"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132 dagen </w:t>
            </w:r>
          </w:p>
        </w:tc>
      </w:tr>
      <w:tr w:rsidR="003C5D55" w:rsidRPr="000B1A70" w14:paraId="3D658F70" w14:textId="77777777" w:rsidTr="003C5D55">
        <w:tc>
          <w:tcPr>
            <w:tcW w:w="4545" w:type="dxa"/>
            <w:vAlign w:val="center"/>
          </w:tcPr>
          <w:p w14:paraId="3D658F6E"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BAMA  – niveaugelijkwaardigheid</w:t>
            </w:r>
          </w:p>
        </w:tc>
        <w:tc>
          <w:tcPr>
            <w:tcW w:w="3096" w:type="dxa"/>
            <w:vAlign w:val="center"/>
          </w:tcPr>
          <w:p w14:paraId="3D658F6F"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114 dagen </w:t>
            </w:r>
          </w:p>
        </w:tc>
      </w:tr>
      <w:tr w:rsidR="003C5D55" w:rsidRPr="000B1A70" w14:paraId="3D658F73" w14:textId="77777777" w:rsidTr="003C5D55">
        <w:tc>
          <w:tcPr>
            <w:tcW w:w="4545" w:type="dxa"/>
            <w:vAlign w:val="center"/>
          </w:tcPr>
          <w:p w14:paraId="3D658F71"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SO – volledige gelijkwaardigheid </w:t>
            </w:r>
          </w:p>
        </w:tc>
        <w:tc>
          <w:tcPr>
            <w:tcW w:w="3096" w:type="dxa"/>
            <w:vAlign w:val="center"/>
          </w:tcPr>
          <w:p w14:paraId="3D658F72"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184 dagen</w:t>
            </w:r>
          </w:p>
        </w:tc>
      </w:tr>
      <w:tr w:rsidR="003C5D55" w:rsidRPr="000B1A70" w14:paraId="3D658F76" w14:textId="77777777" w:rsidTr="003C5D55">
        <w:tc>
          <w:tcPr>
            <w:tcW w:w="4545" w:type="dxa"/>
            <w:vAlign w:val="center"/>
          </w:tcPr>
          <w:p w14:paraId="3D658F74"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Secundair Onderwijs – niveaugelijkwaardigheid</w:t>
            </w:r>
          </w:p>
        </w:tc>
        <w:tc>
          <w:tcPr>
            <w:tcW w:w="3096" w:type="dxa"/>
          </w:tcPr>
          <w:p w14:paraId="3D658F75"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66 dagen</w:t>
            </w:r>
          </w:p>
        </w:tc>
      </w:tr>
      <w:tr w:rsidR="003C5D55" w:rsidRPr="000B1A70" w14:paraId="3D658F79" w14:textId="77777777" w:rsidTr="003C5D55">
        <w:tc>
          <w:tcPr>
            <w:tcW w:w="4545" w:type="dxa"/>
            <w:vAlign w:val="center"/>
          </w:tcPr>
          <w:p w14:paraId="3D658F77"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Volwassenenonderwijs</w:t>
            </w:r>
          </w:p>
        </w:tc>
        <w:tc>
          <w:tcPr>
            <w:tcW w:w="3096" w:type="dxa"/>
            <w:vAlign w:val="center"/>
          </w:tcPr>
          <w:p w14:paraId="3D658F78"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86 dagen</w:t>
            </w:r>
          </w:p>
        </w:tc>
      </w:tr>
    </w:tbl>
    <w:p w14:paraId="3D658F7A" w14:textId="77777777" w:rsidR="009D5BF3" w:rsidRPr="000B1A70" w:rsidRDefault="009D5BF3" w:rsidP="00D32E63">
      <w:pPr>
        <w:jc w:val="both"/>
        <w:rPr>
          <w:rFonts w:ascii="Verdana" w:hAnsi="Verdana"/>
          <w:sz w:val="20"/>
          <w:szCs w:val="20"/>
        </w:rPr>
      </w:pPr>
    </w:p>
    <w:tbl>
      <w:tblPr>
        <w:tblStyle w:val="Tabelraster"/>
        <w:tblW w:w="7641" w:type="dxa"/>
        <w:tblLook w:val="04A0" w:firstRow="1" w:lastRow="0" w:firstColumn="1" w:lastColumn="0" w:noHBand="0" w:noVBand="1"/>
      </w:tblPr>
      <w:tblGrid>
        <w:gridCol w:w="4545"/>
        <w:gridCol w:w="3096"/>
      </w:tblGrid>
      <w:tr w:rsidR="003C5D55" w:rsidRPr="000B1A70" w14:paraId="3D658F7D" w14:textId="77777777" w:rsidTr="003C5D55">
        <w:tc>
          <w:tcPr>
            <w:tcW w:w="4545" w:type="dxa"/>
            <w:shd w:val="clear" w:color="auto" w:fill="DEEAF6" w:themeFill="accent1" w:themeFillTint="33"/>
            <w:vAlign w:val="bottom"/>
          </w:tcPr>
          <w:p w14:paraId="3D658F7B" w14:textId="77777777" w:rsidR="003C5D55" w:rsidRPr="000B1A70" w:rsidRDefault="003C5D55" w:rsidP="00D32E63">
            <w:pPr>
              <w:spacing w:after="160" w:line="259" w:lineRule="auto"/>
              <w:jc w:val="both"/>
              <w:rPr>
                <w:rFonts w:ascii="Verdana" w:hAnsi="Verdana"/>
                <w:b/>
                <w:sz w:val="20"/>
                <w:szCs w:val="20"/>
              </w:rPr>
            </w:pPr>
            <w:r w:rsidRPr="000B1A70">
              <w:rPr>
                <w:rFonts w:ascii="Verdana" w:hAnsi="Verdana"/>
                <w:b/>
                <w:sz w:val="20"/>
                <w:szCs w:val="20"/>
              </w:rPr>
              <w:t>Procedure</w:t>
            </w:r>
          </w:p>
        </w:tc>
        <w:tc>
          <w:tcPr>
            <w:tcW w:w="3096" w:type="dxa"/>
            <w:shd w:val="clear" w:color="auto" w:fill="DEEAF6" w:themeFill="accent1" w:themeFillTint="33"/>
            <w:vAlign w:val="bottom"/>
          </w:tcPr>
          <w:p w14:paraId="3D658F7C" w14:textId="77777777" w:rsidR="003C5D55" w:rsidRPr="000B1A70" w:rsidRDefault="003C5D55" w:rsidP="00D32E63">
            <w:pPr>
              <w:spacing w:after="160" w:line="259" w:lineRule="auto"/>
              <w:jc w:val="both"/>
              <w:rPr>
                <w:rFonts w:ascii="Verdana" w:hAnsi="Verdana"/>
                <w:b/>
                <w:sz w:val="20"/>
                <w:szCs w:val="20"/>
              </w:rPr>
            </w:pPr>
            <w:r w:rsidRPr="000B1A70">
              <w:rPr>
                <w:rFonts w:ascii="Verdana" w:hAnsi="Verdana"/>
                <w:b/>
                <w:sz w:val="20"/>
                <w:szCs w:val="20"/>
              </w:rPr>
              <w:t>Gemiddelde doorlooptijd 2014</w:t>
            </w:r>
          </w:p>
        </w:tc>
      </w:tr>
      <w:tr w:rsidR="003C5D55" w:rsidRPr="000B1A70" w14:paraId="3D658F80" w14:textId="77777777" w:rsidTr="003C5D55">
        <w:tc>
          <w:tcPr>
            <w:tcW w:w="4545" w:type="dxa"/>
            <w:vAlign w:val="center"/>
          </w:tcPr>
          <w:p w14:paraId="3D658F7E"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Doctoraat</w:t>
            </w:r>
          </w:p>
        </w:tc>
        <w:tc>
          <w:tcPr>
            <w:tcW w:w="3096" w:type="dxa"/>
          </w:tcPr>
          <w:p w14:paraId="3D658F7F"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156 dagen </w:t>
            </w:r>
          </w:p>
        </w:tc>
      </w:tr>
      <w:tr w:rsidR="003C5D55" w:rsidRPr="000B1A70" w14:paraId="3D658F83" w14:textId="77777777" w:rsidTr="003C5D55">
        <w:tc>
          <w:tcPr>
            <w:tcW w:w="4545" w:type="dxa"/>
            <w:vAlign w:val="center"/>
          </w:tcPr>
          <w:p w14:paraId="3D658F81"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HO – Hoger Beroepsonderwijs</w:t>
            </w:r>
          </w:p>
        </w:tc>
        <w:tc>
          <w:tcPr>
            <w:tcW w:w="3096" w:type="dxa"/>
          </w:tcPr>
          <w:p w14:paraId="3D658F82"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140 dagen</w:t>
            </w:r>
          </w:p>
        </w:tc>
      </w:tr>
      <w:tr w:rsidR="003C5D55" w:rsidRPr="000B1A70" w14:paraId="3D658F86" w14:textId="77777777" w:rsidTr="003C5D55">
        <w:tc>
          <w:tcPr>
            <w:tcW w:w="4545" w:type="dxa"/>
            <w:vAlign w:val="center"/>
          </w:tcPr>
          <w:p w14:paraId="3D658F84"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BAMA - Volledige gelijkwaardigheid</w:t>
            </w:r>
          </w:p>
        </w:tc>
        <w:tc>
          <w:tcPr>
            <w:tcW w:w="3096" w:type="dxa"/>
          </w:tcPr>
          <w:p w14:paraId="3D658F85"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151 dagen</w:t>
            </w:r>
          </w:p>
        </w:tc>
      </w:tr>
      <w:tr w:rsidR="003C5D55" w:rsidRPr="000B1A70" w14:paraId="3D658F89" w14:textId="77777777" w:rsidTr="003C5D55">
        <w:tc>
          <w:tcPr>
            <w:tcW w:w="4545" w:type="dxa"/>
            <w:vAlign w:val="center"/>
          </w:tcPr>
          <w:p w14:paraId="3D658F87"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BAMA  – niveaugelijkwaardigheid</w:t>
            </w:r>
          </w:p>
        </w:tc>
        <w:tc>
          <w:tcPr>
            <w:tcW w:w="3096" w:type="dxa"/>
          </w:tcPr>
          <w:p w14:paraId="3D658F88"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108 dagen</w:t>
            </w:r>
          </w:p>
        </w:tc>
      </w:tr>
      <w:tr w:rsidR="003C5D55" w:rsidRPr="000B1A70" w14:paraId="3D658F8C" w14:textId="77777777" w:rsidTr="003C5D55">
        <w:tc>
          <w:tcPr>
            <w:tcW w:w="4545" w:type="dxa"/>
            <w:vAlign w:val="center"/>
          </w:tcPr>
          <w:p w14:paraId="3D658F8A"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SO – volledige gelijkwaardigheid </w:t>
            </w:r>
          </w:p>
        </w:tc>
        <w:tc>
          <w:tcPr>
            <w:tcW w:w="3096" w:type="dxa"/>
          </w:tcPr>
          <w:p w14:paraId="3D658F8B"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96 dagen</w:t>
            </w:r>
          </w:p>
        </w:tc>
      </w:tr>
      <w:tr w:rsidR="003C5D55" w:rsidRPr="000B1A70" w14:paraId="3D658F8F" w14:textId="77777777" w:rsidTr="003C5D55">
        <w:tc>
          <w:tcPr>
            <w:tcW w:w="4545" w:type="dxa"/>
            <w:vAlign w:val="center"/>
          </w:tcPr>
          <w:p w14:paraId="3D658F8D"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Secundair Onderwijs – niveaugelijkwaardigheid</w:t>
            </w:r>
          </w:p>
        </w:tc>
        <w:tc>
          <w:tcPr>
            <w:tcW w:w="3096" w:type="dxa"/>
          </w:tcPr>
          <w:p w14:paraId="3D658F8E"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34 dagen</w:t>
            </w:r>
          </w:p>
        </w:tc>
      </w:tr>
      <w:tr w:rsidR="003C5D55" w:rsidRPr="000B1A70" w14:paraId="3D658F92" w14:textId="77777777" w:rsidTr="003C5D55">
        <w:tc>
          <w:tcPr>
            <w:tcW w:w="4545" w:type="dxa"/>
            <w:vAlign w:val="center"/>
          </w:tcPr>
          <w:p w14:paraId="3D658F90"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Volwassenenonderwijs</w:t>
            </w:r>
          </w:p>
        </w:tc>
        <w:tc>
          <w:tcPr>
            <w:tcW w:w="3096" w:type="dxa"/>
          </w:tcPr>
          <w:p w14:paraId="3D658F91"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98 dagen</w:t>
            </w:r>
          </w:p>
        </w:tc>
      </w:tr>
    </w:tbl>
    <w:p w14:paraId="3D658F93" w14:textId="77777777" w:rsidR="00C826B1" w:rsidRPr="000B1A70" w:rsidRDefault="00C826B1" w:rsidP="00D32E63">
      <w:pPr>
        <w:pStyle w:val="Normaalweb"/>
        <w:shd w:val="clear" w:color="auto" w:fill="FFFFFF"/>
        <w:spacing w:before="0" w:beforeAutospacing="0" w:after="0" w:afterAutospacing="0"/>
        <w:jc w:val="both"/>
        <w:rPr>
          <w:rFonts w:ascii="Verdana" w:hAnsi="Verdana"/>
          <w:color w:val="3C3D3C"/>
          <w:sz w:val="20"/>
          <w:szCs w:val="20"/>
        </w:rPr>
      </w:pPr>
    </w:p>
    <w:tbl>
      <w:tblPr>
        <w:tblStyle w:val="Tabelraster"/>
        <w:tblW w:w="7676" w:type="dxa"/>
        <w:tblLook w:val="04A0" w:firstRow="1" w:lastRow="0" w:firstColumn="1" w:lastColumn="0" w:noHBand="0" w:noVBand="1"/>
      </w:tblPr>
      <w:tblGrid>
        <w:gridCol w:w="4545"/>
        <w:gridCol w:w="3131"/>
      </w:tblGrid>
      <w:tr w:rsidR="00C826B1" w:rsidRPr="000B1A70" w14:paraId="3D658F96" w14:textId="77777777" w:rsidTr="003C5D55">
        <w:tc>
          <w:tcPr>
            <w:tcW w:w="4545" w:type="dxa"/>
            <w:shd w:val="clear" w:color="auto" w:fill="DEEAF6" w:themeFill="accent1" w:themeFillTint="33"/>
            <w:vAlign w:val="bottom"/>
          </w:tcPr>
          <w:p w14:paraId="3D658F94" w14:textId="77777777" w:rsidR="00C826B1" w:rsidRPr="000B1A70" w:rsidRDefault="00C826B1" w:rsidP="00D32E63">
            <w:pPr>
              <w:spacing w:after="160" w:line="259" w:lineRule="auto"/>
              <w:jc w:val="both"/>
              <w:rPr>
                <w:rFonts w:ascii="Verdana" w:hAnsi="Verdana"/>
                <w:b/>
                <w:sz w:val="20"/>
                <w:szCs w:val="20"/>
              </w:rPr>
            </w:pPr>
            <w:r w:rsidRPr="000B1A70">
              <w:rPr>
                <w:rFonts w:ascii="Verdana" w:hAnsi="Verdana"/>
                <w:b/>
                <w:sz w:val="20"/>
                <w:szCs w:val="20"/>
              </w:rPr>
              <w:t>Procedure</w:t>
            </w:r>
          </w:p>
        </w:tc>
        <w:tc>
          <w:tcPr>
            <w:tcW w:w="3131" w:type="dxa"/>
            <w:shd w:val="clear" w:color="auto" w:fill="DEEAF6" w:themeFill="accent1" w:themeFillTint="33"/>
            <w:vAlign w:val="bottom"/>
          </w:tcPr>
          <w:p w14:paraId="3D658F95" w14:textId="77777777" w:rsidR="00C826B1" w:rsidRPr="000B1A70" w:rsidRDefault="00C826B1" w:rsidP="00D32E63">
            <w:pPr>
              <w:spacing w:after="160" w:line="259" w:lineRule="auto"/>
              <w:jc w:val="both"/>
              <w:rPr>
                <w:rFonts w:ascii="Verdana" w:hAnsi="Verdana"/>
                <w:b/>
                <w:sz w:val="20"/>
                <w:szCs w:val="20"/>
              </w:rPr>
            </w:pPr>
            <w:r w:rsidRPr="000B1A70">
              <w:rPr>
                <w:rFonts w:ascii="Verdana" w:hAnsi="Verdana"/>
                <w:b/>
                <w:sz w:val="20"/>
                <w:szCs w:val="20"/>
              </w:rPr>
              <w:t>Gemiddelde doorlooptijd 2015</w:t>
            </w:r>
          </w:p>
        </w:tc>
      </w:tr>
      <w:tr w:rsidR="00C826B1" w:rsidRPr="000B1A70" w14:paraId="3D658F99" w14:textId="77777777" w:rsidTr="003C5D55">
        <w:tc>
          <w:tcPr>
            <w:tcW w:w="4545" w:type="dxa"/>
            <w:vAlign w:val="center"/>
          </w:tcPr>
          <w:p w14:paraId="3D658F97"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lastRenderedPageBreak/>
              <w:t>Doctoraat</w:t>
            </w:r>
          </w:p>
        </w:tc>
        <w:tc>
          <w:tcPr>
            <w:tcW w:w="3131" w:type="dxa"/>
            <w:vAlign w:val="center"/>
          </w:tcPr>
          <w:p w14:paraId="3D658F98"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152 dagen</w:t>
            </w:r>
          </w:p>
        </w:tc>
      </w:tr>
      <w:tr w:rsidR="00C826B1" w:rsidRPr="000B1A70" w14:paraId="3D658F9C" w14:textId="77777777" w:rsidTr="003C5D55">
        <w:tc>
          <w:tcPr>
            <w:tcW w:w="4545" w:type="dxa"/>
            <w:vAlign w:val="center"/>
          </w:tcPr>
          <w:p w14:paraId="3D658F9A"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HO – Hoger Beroepsonderwijs</w:t>
            </w:r>
          </w:p>
        </w:tc>
        <w:tc>
          <w:tcPr>
            <w:tcW w:w="3131" w:type="dxa"/>
            <w:vAlign w:val="center"/>
          </w:tcPr>
          <w:p w14:paraId="3D658F9B"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184 dagen</w:t>
            </w:r>
          </w:p>
        </w:tc>
      </w:tr>
      <w:tr w:rsidR="00C826B1" w:rsidRPr="000B1A70" w14:paraId="3D658F9F" w14:textId="77777777" w:rsidTr="003C5D55">
        <w:tc>
          <w:tcPr>
            <w:tcW w:w="4545" w:type="dxa"/>
            <w:vAlign w:val="center"/>
          </w:tcPr>
          <w:p w14:paraId="3D658F9D"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BAMA - Volledige gelijkwaardigheid</w:t>
            </w:r>
          </w:p>
        </w:tc>
        <w:tc>
          <w:tcPr>
            <w:tcW w:w="3131" w:type="dxa"/>
            <w:vAlign w:val="center"/>
          </w:tcPr>
          <w:p w14:paraId="3D658F9E"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 xml:space="preserve">195 dagen </w:t>
            </w:r>
          </w:p>
        </w:tc>
      </w:tr>
      <w:tr w:rsidR="00C826B1" w:rsidRPr="000B1A70" w14:paraId="3D658FA2" w14:textId="77777777" w:rsidTr="003C5D55">
        <w:tc>
          <w:tcPr>
            <w:tcW w:w="4545" w:type="dxa"/>
            <w:vAlign w:val="center"/>
          </w:tcPr>
          <w:p w14:paraId="3D658FA0"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BAMA  – niveaugelijkwaardigheid</w:t>
            </w:r>
          </w:p>
        </w:tc>
        <w:tc>
          <w:tcPr>
            <w:tcW w:w="3131" w:type="dxa"/>
            <w:vAlign w:val="center"/>
          </w:tcPr>
          <w:p w14:paraId="3D658FA1"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 xml:space="preserve">99 dagen </w:t>
            </w:r>
          </w:p>
        </w:tc>
      </w:tr>
      <w:tr w:rsidR="00C826B1" w:rsidRPr="000B1A70" w14:paraId="3D658FA5" w14:textId="77777777" w:rsidTr="003C5D55">
        <w:tc>
          <w:tcPr>
            <w:tcW w:w="4545" w:type="dxa"/>
            <w:vAlign w:val="center"/>
          </w:tcPr>
          <w:p w14:paraId="3D658FA3"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 xml:space="preserve">SO – volledige gelijkwaardigheid </w:t>
            </w:r>
          </w:p>
        </w:tc>
        <w:tc>
          <w:tcPr>
            <w:tcW w:w="3131" w:type="dxa"/>
            <w:vAlign w:val="center"/>
          </w:tcPr>
          <w:p w14:paraId="3D658FA4"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168 dagen</w:t>
            </w:r>
          </w:p>
        </w:tc>
      </w:tr>
      <w:tr w:rsidR="00C826B1" w:rsidRPr="000B1A70" w14:paraId="3D658FA8" w14:textId="77777777" w:rsidTr="003C5D55">
        <w:tc>
          <w:tcPr>
            <w:tcW w:w="4545" w:type="dxa"/>
            <w:vAlign w:val="center"/>
          </w:tcPr>
          <w:p w14:paraId="3D658FA6"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Secundair Onderwijs – niveaugelijkwaardigheid</w:t>
            </w:r>
          </w:p>
        </w:tc>
        <w:tc>
          <w:tcPr>
            <w:tcW w:w="3131" w:type="dxa"/>
          </w:tcPr>
          <w:p w14:paraId="3D658FA7"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58 dagen</w:t>
            </w:r>
          </w:p>
        </w:tc>
      </w:tr>
      <w:tr w:rsidR="00C826B1" w:rsidRPr="000B1A70" w14:paraId="3D658FAB" w14:textId="77777777" w:rsidTr="003C5D55">
        <w:tc>
          <w:tcPr>
            <w:tcW w:w="4545" w:type="dxa"/>
            <w:vAlign w:val="center"/>
          </w:tcPr>
          <w:p w14:paraId="3D658FA9"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Volwassenenonderwijs</w:t>
            </w:r>
          </w:p>
        </w:tc>
        <w:tc>
          <w:tcPr>
            <w:tcW w:w="3131" w:type="dxa"/>
            <w:vAlign w:val="center"/>
          </w:tcPr>
          <w:p w14:paraId="3D658FAA" w14:textId="77777777" w:rsidR="00C826B1" w:rsidRPr="000B1A70" w:rsidRDefault="00C826B1" w:rsidP="00D32E63">
            <w:pPr>
              <w:spacing w:after="160" w:line="259" w:lineRule="auto"/>
              <w:jc w:val="both"/>
              <w:rPr>
                <w:rFonts w:ascii="Verdana" w:hAnsi="Verdana"/>
                <w:sz w:val="20"/>
                <w:szCs w:val="20"/>
              </w:rPr>
            </w:pPr>
            <w:r w:rsidRPr="000B1A70">
              <w:rPr>
                <w:rFonts w:ascii="Verdana" w:hAnsi="Verdana"/>
                <w:sz w:val="20"/>
                <w:szCs w:val="20"/>
              </w:rPr>
              <w:t>138 dagen</w:t>
            </w:r>
          </w:p>
        </w:tc>
      </w:tr>
    </w:tbl>
    <w:p w14:paraId="3D658FAC" w14:textId="77777777" w:rsidR="009D5BF3" w:rsidRPr="000B1A70" w:rsidRDefault="009D5BF3" w:rsidP="00D32E63">
      <w:pPr>
        <w:jc w:val="both"/>
        <w:rPr>
          <w:rFonts w:ascii="Verdana" w:hAnsi="Verdana"/>
          <w:b/>
          <w:sz w:val="20"/>
          <w:szCs w:val="20"/>
        </w:rPr>
      </w:pPr>
    </w:p>
    <w:tbl>
      <w:tblPr>
        <w:tblStyle w:val="Tabelraster"/>
        <w:tblW w:w="7676" w:type="dxa"/>
        <w:tblLook w:val="04A0" w:firstRow="1" w:lastRow="0" w:firstColumn="1" w:lastColumn="0" w:noHBand="0" w:noVBand="1"/>
      </w:tblPr>
      <w:tblGrid>
        <w:gridCol w:w="4545"/>
        <w:gridCol w:w="3131"/>
      </w:tblGrid>
      <w:tr w:rsidR="003C5D55" w:rsidRPr="000B1A70" w14:paraId="3D658FAF" w14:textId="77777777" w:rsidTr="00C55BDB">
        <w:tc>
          <w:tcPr>
            <w:tcW w:w="4545" w:type="dxa"/>
            <w:shd w:val="clear" w:color="auto" w:fill="DEEAF6" w:themeFill="accent1" w:themeFillTint="33"/>
            <w:vAlign w:val="bottom"/>
          </w:tcPr>
          <w:p w14:paraId="3D658FAD" w14:textId="77777777" w:rsidR="003C5D55" w:rsidRPr="000B1A70" w:rsidRDefault="003C5D55" w:rsidP="00D32E63">
            <w:pPr>
              <w:spacing w:after="160" w:line="259" w:lineRule="auto"/>
              <w:jc w:val="both"/>
              <w:rPr>
                <w:rFonts w:ascii="Verdana" w:hAnsi="Verdana"/>
                <w:b/>
                <w:sz w:val="20"/>
                <w:szCs w:val="20"/>
              </w:rPr>
            </w:pPr>
            <w:r w:rsidRPr="000B1A70">
              <w:rPr>
                <w:rFonts w:ascii="Verdana" w:hAnsi="Verdana"/>
                <w:b/>
                <w:sz w:val="20"/>
                <w:szCs w:val="20"/>
              </w:rPr>
              <w:t>Procedure</w:t>
            </w:r>
          </w:p>
        </w:tc>
        <w:tc>
          <w:tcPr>
            <w:tcW w:w="3131" w:type="dxa"/>
            <w:shd w:val="clear" w:color="auto" w:fill="DEEAF6" w:themeFill="accent1" w:themeFillTint="33"/>
            <w:vAlign w:val="bottom"/>
          </w:tcPr>
          <w:p w14:paraId="3D658FAE" w14:textId="77777777" w:rsidR="003C5D55" w:rsidRPr="000B1A70" w:rsidRDefault="003C5D55" w:rsidP="00D32E63">
            <w:pPr>
              <w:spacing w:after="160" w:line="259" w:lineRule="auto"/>
              <w:jc w:val="both"/>
              <w:rPr>
                <w:rFonts w:ascii="Verdana" w:hAnsi="Verdana"/>
                <w:b/>
                <w:sz w:val="20"/>
                <w:szCs w:val="20"/>
              </w:rPr>
            </w:pPr>
            <w:r w:rsidRPr="000B1A70">
              <w:rPr>
                <w:rFonts w:ascii="Verdana" w:hAnsi="Verdana"/>
                <w:b/>
                <w:sz w:val="20"/>
                <w:szCs w:val="20"/>
              </w:rPr>
              <w:t>Gemiddelde doorlooptijd 2016</w:t>
            </w:r>
          </w:p>
        </w:tc>
      </w:tr>
      <w:tr w:rsidR="003C5D55" w:rsidRPr="000B1A70" w14:paraId="3D658FB2" w14:textId="77777777" w:rsidTr="00C55BDB">
        <w:tc>
          <w:tcPr>
            <w:tcW w:w="4545" w:type="dxa"/>
            <w:vAlign w:val="center"/>
          </w:tcPr>
          <w:p w14:paraId="3D658FB0"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HO – specifieke gelijkwaardigheid</w:t>
            </w:r>
          </w:p>
        </w:tc>
        <w:tc>
          <w:tcPr>
            <w:tcW w:w="3131" w:type="dxa"/>
            <w:vAlign w:val="center"/>
          </w:tcPr>
          <w:p w14:paraId="3D658FB1"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152 dagen</w:t>
            </w:r>
          </w:p>
        </w:tc>
      </w:tr>
      <w:tr w:rsidR="003C5D55" w:rsidRPr="000B1A70" w14:paraId="3D658FB5" w14:textId="77777777" w:rsidTr="00C55BDB">
        <w:tc>
          <w:tcPr>
            <w:tcW w:w="4545" w:type="dxa"/>
            <w:vAlign w:val="center"/>
          </w:tcPr>
          <w:p w14:paraId="3D658FB3"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HO – niveaugelijkwaardigheid</w:t>
            </w:r>
          </w:p>
        </w:tc>
        <w:tc>
          <w:tcPr>
            <w:tcW w:w="3131" w:type="dxa"/>
            <w:vAlign w:val="center"/>
          </w:tcPr>
          <w:p w14:paraId="3D658FB4"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184 dagen</w:t>
            </w:r>
          </w:p>
        </w:tc>
      </w:tr>
      <w:tr w:rsidR="003C5D55" w:rsidRPr="000B1A70" w14:paraId="3D658FB8" w14:textId="77777777" w:rsidTr="00C55BDB">
        <w:tc>
          <w:tcPr>
            <w:tcW w:w="4545" w:type="dxa"/>
            <w:vAlign w:val="center"/>
          </w:tcPr>
          <w:p w14:paraId="3D658FB6"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SO – volledige gelijkwaardigheid</w:t>
            </w:r>
          </w:p>
        </w:tc>
        <w:tc>
          <w:tcPr>
            <w:tcW w:w="3131" w:type="dxa"/>
            <w:vAlign w:val="center"/>
          </w:tcPr>
          <w:p w14:paraId="3D658FB7"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195 dagen </w:t>
            </w:r>
          </w:p>
        </w:tc>
      </w:tr>
      <w:tr w:rsidR="003C5D55" w:rsidRPr="000B1A70" w14:paraId="3D658FBB" w14:textId="77777777" w:rsidTr="00C55BDB">
        <w:tc>
          <w:tcPr>
            <w:tcW w:w="4545" w:type="dxa"/>
            <w:vAlign w:val="center"/>
          </w:tcPr>
          <w:p w14:paraId="3D658FB9"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SO – niveaugelijkwaardigheid </w:t>
            </w:r>
          </w:p>
        </w:tc>
        <w:tc>
          <w:tcPr>
            <w:tcW w:w="3131" w:type="dxa"/>
            <w:vAlign w:val="center"/>
          </w:tcPr>
          <w:p w14:paraId="3D658FBA" w14:textId="77777777" w:rsidR="003C5D55" w:rsidRPr="000B1A70" w:rsidRDefault="003C5D55" w:rsidP="00D32E63">
            <w:pPr>
              <w:spacing w:after="160" w:line="259" w:lineRule="auto"/>
              <w:jc w:val="both"/>
              <w:rPr>
                <w:rFonts w:ascii="Verdana" w:hAnsi="Verdana"/>
                <w:sz w:val="20"/>
                <w:szCs w:val="20"/>
              </w:rPr>
            </w:pPr>
            <w:r w:rsidRPr="000B1A70">
              <w:rPr>
                <w:rFonts w:ascii="Verdana" w:hAnsi="Verdana"/>
                <w:sz w:val="20"/>
                <w:szCs w:val="20"/>
              </w:rPr>
              <w:t xml:space="preserve">99 dagen </w:t>
            </w:r>
          </w:p>
        </w:tc>
      </w:tr>
    </w:tbl>
    <w:p w14:paraId="3D658FBC" w14:textId="77777777" w:rsidR="009D5BF3" w:rsidRPr="000B1A70" w:rsidRDefault="009D5BF3" w:rsidP="00D32E63">
      <w:pPr>
        <w:jc w:val="both"/>
        <w:rPr>
          <w:rFonts w:ascii="Verdana" w:hAnsi="Verdana"/>
          <w:sz w:val="20"/>
          <w:szCs w:val="20"/>
        </w:rPr>
      </w:pPr>
    </w:p>
    <w:tbl>
      <w:tblPr>
        <w:tblStyle w:val="Tabelraster"/>
        <w:tblW w:w="7676" w:type="dxa"/>
        <w:tblLook w:val="04A0" w:firstRow="1" w:lastRow="0" w:firstColumn="1" w:lastColumn="0" w:noHBand="0" w:noVBand="1"/>
      </w:tblPr>
      <w:tblGrid>
        <w:gridCol w:w="4545"/>
        <w:gridCol w:w="3131"/>
      </w:tblGrid>
      <w:tr w:rsidR="00F70300" w:rsidRPr="000B1A70" w14:paraId="3D658FBF" w14:textId="77777777" w:rsidTr="00C55BDB">
        <w:tc>
          <w:tcPr>
            <w:tcW w:w="4545" w:type="dxa"/>
            <w:shd w:val="clear" w:color="auto" w:fill="DEEAF6" w:themeFill="accent1" w:themeFillTint="33"/>
            <w:vAlign w:val="bottom"/>
          </w:tcPr>
          <w:p w14:paraId="3D658FBD" w14:textId="77777777" w:rsidR="00F70300" w:rsidRPr="000B1A70" w:rsidRDefault="00F70300" w:rsidP="00D32E63">
            <w:pPr>
              <w:spacing w:after="160" w:line="259" w:lineRule="auto"/>
              <w:jc w:val="both"/>
              <w:rPr>
                <w:rFonts w:ascii="Verdana" w:hAnsi="Verdana"/>
                <w:b/>
                <w:sz w:val="20"/>
                <w:szCs w:val="20"/>
              </w:rPr>
            </w:pPr>
            <w:r w:rsidRPr="000B1A70">
              <w:rPr>
                <w:rFonts w:ascii="Verdana" w:hAnsi="Verdana"/>
                <w:b/>
                <w:sz w:val="20"/>
                <w:szCs w:val="20"/>
              </w:rPr>
              <w:t>Procedure</w:t>
            </w:r>
          </w:p>
        </w:tc>
        <w:tc>
          <w:tcPr>
            <w:tcW w:w="3131" w:type="dxa"/>
            <w:shd w:val="clear" w:color="auto" w:fill="DEEAF6" w:themeFill="accent1" w:themeFillTint="33"/>
            <w:vAlign w:val="bottom"/>
          </w:tcPr>
          <w:p w14:paraId="3D658FBE" w14:textId="77777777" w:rsidR="00F70300" w:rsidRPr="000B1A70" w:rsidRDefault="00AB3425" w:rsidP="00D32E63">
            <w:pPr>
              <w:spacing w:after="160" w:line="259" w:lineRule="auto"/>
              <w:jc w:val="both"/>
              <w:rPr>
                <w:rFonts w:ascii="Verdana" w:hAnsi="Verdana"/>
                <w:b/>
                <w:sz w:val="20"/>
                <w:szCs w:val="20"/>
              </w:rPr>
            </w:pPr>
            <w:r>
              <w:rPr>
                <w:rFonts w:ascii="Verdana" w:hAnsi="Verdana"/>
                <w:b/>
                <w:sz w:val="20"/>
                <w:szCs w:val="20"/>
              </w:rPr>
              <w:t>Gemiddelde doorlooptijd 2017</w:t>
            </w:r>
          </w:p>
        </w:tc>
      </w:tr>
      <w:tr w:rsidR="00F70300" w:rsidRPr="000B1A70" w14:paraId="3D658FC2" w14:textId="77777777" w:rsidTr="00C55BDB">
        <w:tc>
          <w:tcPr>
            <w:tcW w:w="4545" w:type="dxa"/>
            <w:vAlign w:val="center"/>
          </w:tcPr>
          <w:p w14:paraId="3D658FC0"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HO – specifieke gelijkwaardigheid</w:t>
            </w:r>
          </w:p>
        </w:tc>
        <w:tc>
          <w:tcPr>
            <w:tcW w:w="3131" w:type="dxa"/>
            <w:vAlign w:val="center"/>
          </w:tcPr>
          <w:p w14:paraId="3D658FC1"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162 dagen</w:t>
            </w:r>
          </w:p>
        </w:tc>
      </w:tr>
      <w:tr w:rsidR="00F70300" w:rsidRPr="000B1A70" w14:paraId="3D658FC5" w14:textId="77777777" w:rsidTr="00C55BDB">
        <w:tc>
          <w:tcPr>
            <w:tcW w:w="4545" w:type="dxa"/>
            <w:vAlign w:val="center"/>
          </w:tcPr>
          <w:p w14:paraId="3D658FC3"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HO – niveaugelijkwaardigheid</w:t>
            </w:r>
          </w:p>
        </w:tc>
        <w:tc>
          <w:tcPr>
            <w:tcW w:w="3131" w:type="dxa"/>
            <w:vAlign w:val="center"/>
          </w:tcPr>
          <w:p w14:paraId="3D658FC4"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69 dagen</w:t>
            </w:r>
          </w:p>
        </w:tc>
      </w:tr>
      <w:tr w:rsidR="00F70300" w:rsidRPr="000B1A70" w14:paraId="3D658FC8" w14:textId="77777777" w:rsidTr="00C55BDB">
        <w:tc>
          <w:tcPr>
            <w:tcW w:w="4545" w:type="dxa"/>
            <w:vAlign w:val="center"/>
          </w:tcPr>
          <w:p w14:paraId="3D658FC6"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SO – volledige gelijkwaardigheid</w:t>
            </w:r>
          </w:p>
        </w:tc>
        <w:tc>
          <w:tcPr>
            <w:tcW w:w="3131" w:type="dxa"/>
            <w:vAlign w:val="center"/>
          </w:tcPr>
          <w:p w14:paraId="3D658FC7"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 xml:space="preserve">142 dagen </w:t>
            </w:r>
          </w:p>
        </w:tc>
      </w:tr>
      <w:tr w:rsidR="00F70300" w:rsidRPr="000B1A70" w14:paraId="3D658FCB" w14:textId="77777777" w:rsidTr="00C55BDB">
        <w:tc>
          <w:tcPr>
            <w:tcW w:w="4545" w:type="dxa"/>
            <w:vAlign w:val="center"/>
          </w:tcPr>
          <w:p w14:paraId="3D658FC9"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 xml:space="preserve">SO – niveaugelijkwaardigheid </w:t>
            </w:r>
          </w:p>
        </w:tc>
        <w:tc>
          <w:tcPr>
            <w:tcW w:w="3131" w:type="dxa"/>
            <w:vAlign w:val="center"/>
          </w:tcPr>
          <w:p w14:paraId="3D658FCA" w14:textId="77777777" w:rsidR="00F70300" w:rsidRPr="000B1A70" w:rsidRDefault="00F70300" w:rsidP="00D32E63">
            <w:pPr>
              <w:spacing w:after="160" w:line="259" w:lineRule="auto"/>
              <w:jc w:val="both"/>
              <w:rPr>
                <w:rFonts w:ascii="Verdana" w:hAnsi="Verdana"/>
                <w:sz w:val="20"/>
                <w:szCs w:val="20"/>
              </w:rPr>
            </w:pPr>
            <w:r w:rsidRPr="000B1A70">
              <w:rPr>
                <w:rFonts w:ascii="Verdana" w:hAnsi="Verdana"/>
                <w:sz w:val="20"/>
                <w:szCs w:val="20"/>
              </w:rPr>
              <w:t xml:space="preserve">62 dagen </w:t>
            </w:r>
          </w:p>
        </w:tc>
      </w:tr>
    </w:tbl>
    <w:p w14:paraId="3D658FCC" w14:textId="77777777" w:rsidR="00F70300" w:rsidRPr="000B1A70" w:rsidRDefault="00F70300" w:rsidP="00D32E63">
      <w:pPr>
        <w:jc w:val="both"/>
        <w:rPr>
          <w:rFonts w:ascii="Verdana" w:hAnsi="Verdana"/>
          <w:sz w:val="20"/>
          <w:szCs w:val="20"/>
        </w:rPr>
      </w:pPr>
    </w:p>
    <w:p w14:paraId="3D658FCD" w14:textId="77777777" w:rsidR="00F70300" w:rsidRPr="000B1A70" w:rsidRDefault="00F70300" w:rsidP="00D32E63">
      <w:pPr>
        <w:jc w:val="both"/>
        <w:rPr>
          <w:rFonts w:ascii="Verdana" w:hAnsi="Verdana"/>
          <w:sz w:val="20"/>
          <w:szCs w:val="20"/>
        </w:rPr>
      </w:pPr>
    </w:p>
    <w:p w14:paraId="3D658FCE" w14:textId="77777777" w:rsidR="009D5BF3" w:rsidRPr="000B1A70" w:rsidRDefault="009D5BF3">
      <w:pPr>
        <w:rPr>
          <w:rFonts w:ascii="Verdana" w:hAnsi="Verdana"/>
          <w:sz w:val="20"/>
          <w:szCs w:val="20"/>
        </w:rPr>
      </w:pPr>
    </w:p>
    <w:p w14:paraId="3D658FCF" w14:textId="77777777" w:rsidR="009D5BF3" w:rsidRPr="000B1A70" w:rsidRDefault="009D5BF3">
      <w:pPr>
        <w:rPr>
          <w:rFonts w:ascii="Verdana" w:hAnsi="Verdana"/>
          <w:sz w:val="20"/>
          <w:szCs w:val="20"/>
        </w:rPr>
      </w:pPr>
    </w:p>
    <w:p w14:paraId="3D658FD0" w14:textId="77777777" w:rsidR="009D5BF3" w:rsidRPr="000B1A70" w:rsidRDefault="009D5BF3">
      <w:pPr>
        <w:rPr>
          <w:rFonts w:ascii="Verdana" w:hAnsi="Verdana"/>
          <w:sz w:val="20"/>
          <w:szCs w:val="20"/>
        </w:rPr>
      </w:pPr>
    </w:p>
    <w:p w14:paraId="3D658FD1" w14:textId="77777777" w:rsidR="009D5BF3" w:rsidRDefault="009D5BF3"/>
    <w:p w14:paraId="3D658FD2" w14:textId="77777777" w:rsidR="009D5BF3" w:rsidRDefault="009D5BF3"/>
    <w:p w14:paraId="3D658FD3" w14:textId="77777777" w:rsidR="009D5BF3" w:rsidRDefault="009D5BF3"/>
    <w:p w14:paraId="3D658FD4" w14:textId="77777777" w:rsidR="009D5BF3" w:rsidRDefault="009D5BF3"/>
    <w:p w14:paraId="3D658FD5" w14:textId="77777777" w:rsidR="009D5BF3" w:rsidRDefault="009D5BF3"/>
    <w:sectPr w:rsidR="009D5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82E21"/>
    <w:multiLevelType w:val="multilevel"/>
    <w:tmpl w:val="D40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F3"/>
    <w:rsid w:val="000238AB"/>
    <w:rsid w:val="000B1A70"/>
    <w:rsid w:val="003C5D55"/>
    <w:rsid w:val="00471302"/>
    <w:rsid w:val="00645248"/>
    <w:rsid w:val="0094132E"/>
    <w:rsid w:val="009D5BF3"/>
    <w:rsid w:val="00AB3425"/>
    <w:rsid w:val="00B37D9C"/>
    <w:rsid w:val="00C826B1"/>
    <w:rsid w:val="00CE5A4F"/>
    <w:rsid w:val="00D32E63"/>
    <w:rsid w:val="00F703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8F5C"/>
  <w15:chartTrackingRefBased/>
  <w15:docId w15:val="{3B7515FC-1E8B-4A87-A5E0-389DF4EB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826B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0238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3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5623">
      <w:bodyDiv w:val="1"/>
      <w:marLeft w:val="0"/>
      <w:marRight w:val="0"/>
      <w:marTop w:val="0"/>
      <w:marBottom w:val="0"/>
      <w:divBdr>
        <w:top w:val="none" w:sz="0" w:space="0" w:color="auto"/>
        <w:left w:val="none" w:sz="0" w:space="0" w:color="auto"/>
        <w:bottom w:val="none" w:sz="0" w:space="0" w:color="auto"/>
        <w:right w:val="none" w:sz="0" w:space="0" w:color="auto"/>
      </w:divBdr>
    </w:div>
    <w:div w:id="699625976">
      <w:bodyDiv w:val="1"/>
      <w:marLeft w:val="0"/>
      <w:marRight w:val="0"/>
      <w:marTop w:val="0"/>
      <w:marBottom w:val="0"/>
      <w:divBdr>
        <w:top w:val="none" w:sz="0" w:space="0" w:color="auto"/>
        <w:left w:val="none" w:sz="0" w:space="0" w:color="auto"/>
        <w:bottom w:val="none" w:sz="0" w:space="0" w:color="auto"/>
        <w:right w:val="none" w:sz="0" w:space="0" w:color="auto"/>
      </w:divBdr>
    </w:div>
    <w:div w:id="812915217">
      <w:bodyDiv w:val="1"/>
      <w:marLeft w:val="0"/>
      <w:marRight w:val="0"/>
      <w:marTop w:val="0"/>
      <w:marBottom w:val="0"/>
      <w:divBdr>
        <w:top w:val="none" w:sz="0" w:space="0" w:color="auto"/>
        <w:left w:val="none" w:sz="0" w:space="0" w:color="auto"/>
        <w:bottom w:val="none" w:sz="0" w:space="0" w:color="auto"/>
        <w:right w:val="none" w:sz="0" w:space="0" w:color="auto"/>
      </w:divBdr>
      <w:divsChild>
        <w:div w:id="1068386127">
          <w:marLeft w:val="0"/>
          <w:marRight w:val="636"/>
          <w:marTop w:val="0"/>
          <w:marBottom w:val="0"/>
          <w:divBdr>
            <w:top w:val="none" w:sz="0" w:space="0" w:color="auto"/>
            <w:left w:val="none" w:sz="0" w:space="0" w:color="auto"/>
            <w:bottom w:val="none" w:sz="0" w:space="0" w:color="auto"/>
            <w:right w:val="none" w:sz="0" w:space="0" w:color="auto"/>
          </w:divBdr>
        </w:div>
      </w:divsChild>
    </w:div>
    <w:div w:id="902758857">
      <w:bodyDiv w:val="1"/>
      <w:marLeft w:val="0"/>
      <w:marRight w:val="0"/>
      <w:marTop w:val="0"/>
      <w:marBottom w:val="0"/>
      <w:divBdr>
        <w:top w:val="none" w:sz="0" w:space="0" w:color="auto"/>
        <w:left w:val="none" w:sz="0" w:space="0" w:color="auto"/>
        <w:bottom w:val="none" w:sz="0" w:space="0" w:color="auto"/>
        <w:right w:val="none" w:sz="0" w:space="0" w:color="auto"/>
      </w:divBdr>
    </w:div>
    <w:div w:id="1226797137">
      <w:bodyDiv w:val="1"/>
      <w:marLeft w:val="0"/>
      <w:marRight w:val="0"/>
      <w:marTop w:val="0"/>
      <w:marBottom w:val="0"/>
      <w:divBdr>
        <w:top w:val="none" w:sz="0" w:space="0" w:color="auto"/>
        <w:left w:val="none" w:sz="0" w:space="0" w:color="auto"/>
        <w:bottom w:val="none" w:sz="0" w:space="0" w:color="auto"/>
        <w:right w:val="none" w:sz="0" w:space="0" w:color="auto"/>
      </w:divBdr>
    </w:div>
    <w:div w:id="1611669877">
      <w:bodyDiv w:val="1"/>
      <w:marLeft w:val="0"/>
      <w:marRight w:val="0"/>
      <w:marTop w:val="0"/>
      <w:marBottom w:val="0"/>
      <w:divBdr>
        <w:top w:val="none" w:sz="0" w:space="0" w:color="auto"/>
        <w:left w:val="none" w:sz="0" w:space="0" w:color="auto"/>
        <w:bottom w:val="none" w:sz="0" w:space="0" w:color="auto"/>
        <w:right w:val="none" w:sz="0" w:space="0" w:color="auto"/>
      </w:divBdr>
      <w:divsChild>
        <w:div w:id="1913614450">
          <w:marLeft w:val="0"/>
          <w:marRight w:val="636"/>
          <w:marTop w:val="0"/>
          <w:marBottom w:val="0"/>
          <w:divBdr>
            <w:top w:val="none" w:sz="0" w:space="0" w:color="auto"/>
            <w:left w:val="none" w:sz="0" w:space="0" w:color="auto"/>
            <w:bottom w:val="none" w:sz="0" w:space="0" w:color="auto"/>
            <w:right w:val="none" w:sz="0" w:space="0" w:color="auto"/>
          </w:divBdr>
        </w:div>
      </w:divsChild>
    </w:div>
    <w:div w:id="1987318772">
      <w:bodyDiv w:val="1"/>
      <w:marLeft w:val="0"/>
      <w:marRight w:val="0"/>
      <w:marTop w:val="0"/>
      <w:marBottom w:val="0"/>
      <w:divBdr>
        <w:top w:val="none" w:sz="0" w:space="0" w:color="auto"/>
        <w:left w:val="none" w:sz="0" w:space="0" w:color="auto"/>
        <w:bottom w:val="none" w:sz="0" w:space="0" w:color="auto"/>
        <w:right w:val="none" w:sz="0" w:space="0" w:color="auto"/>
      </w:divBdr>
    </w:div>
    <w:div w:id="20841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369E6A2F30548B4EEF5B816186C58" ma:contentTypeVersion="2" ma:contentTypeDescription="Een nieuw document maken." ma:contentTypeScope="" ma:versionID="534f47f6a537ffac24a1af554381d5a7">
  <xsd:schema xmlns:xsd="http://www.w3.org/2001/XMLSchema" xmlns:xs="http://www.w3.org/2001/XMLSchema" xmlns:p="http://schemas.microsoft.com/office/2006/metadata/properties" xmlns:ns2="http://schemas.microsoft.com/sharepoint/v3/fields" xmlns:ns3="a6ffceed-4e85-47c5-aca9-bfee952fba44" targetNamespace="http://schemas.microsoft.com/office/2006/metadata/properties" ma:root="true" ma:fieldsID="2a9405c7e9110f8f97b48181070992ef" ns2:_="" ns3:_="">
    <xsd:import namespace="http://schemas.microsoft.com/sharepoint/v3/fields"/>
    <xsd:import namespace="a6ffceed-4e85-47c5-aca9-bfee952fba44"/>
    <xsd:element name="properties">
      <xsd:complexType>
        <xsd:sequence>
          <xsd:element name="documentManagement">
            <xsd:complexType>
              <xsd:all>
                <xsd:element ref="ns2:_Status" minOccurs="0"/>
                <xsd:element ref="ns3:f9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et gestart" ma:internalName="_Status">
      <xsd:simpleType>
        <xsd:union memberTypes="dms:Text">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ffceed-4e85-47c5-aca9-bfee952fba44" elementFormDefault="qualified">
    <xsd:import namespace="http://schemas.microsoft.com/office/2006/documentManagement/types"/>
    <xsd:import namespace="http://schemas.microsoft.com/office/infopath/2007/PartnerControls"/>
    <xsd:element name="f9tx" ma:index="9" nillable="true" ma:displayName="Achtergrond" ma:internalName="f9t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Niet gestart</_Status>
    <f9tx xmlns="a6ffceed-4e85-47c5-aca9-bfee952fba44" xsi:nil="true"/>
  </documentManagement>
</p:properties>
</file>

<file path=customXml/itemProps1.xml><?xml version="1.0" encoding="utf-8"?>
<ds:datastoreItem xmlns:ds="http://schemas.openxmlformats.org/officeDocument/2006/customXml" ds:itemID="{666229D3-D32B-4931-A746-845181AA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ffceed-4e85-47c5-aca9-bfee952fb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F5E8F-3B2D-44F3-B40C-2F219D49C9C3}">
  <ds:schemaRefs>
    <ds:schemaRef ds:uri="http://schemas.microsoft.com/sharepoint/v3/contenttype/forms"/>
  </ds:schemaRefs>
</ds:datastoreItem>
</file>

<file path=customXml/itemProps3.xml><?xml version="1.0" encoding="utf-8"?>
<ds:datastoreItem xmlns:ds="http://schemas.openxmlformats.org/officeDocument/2006/customXml" ds:itemID="{CAD27A04-D8CF-4317-9C4F-4422CF09AFF9}">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a6ffceed-4e85-47c5-aca9-bfee952fba44"/>
    <ds:schemaRef ds:uri="http://schemas.microsoft.com/sharepoint/v3/field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Hoof, Pieter-Jan</dc:creator>
  <cp:keywords/>
  <dc:description/>
  <cp:lastModifiedBy>Tytgat, Caroline</cp:lastModifiedBy>
  <cp:revision>2</cp:revision>
  <cp:lastPrinted>2018-02-12T14:03:00Z</cp:lastPrinted>
  <dcterms:created xsi:type="dcterms:W3CDTF">2018-02-20T11:09:00Z</dcterms:created>
  <dcterms:modified xsi:type="dcterms:W3CDTF">2018-02-20T11:09:00Z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0x0101002B2369E6A2F30548B4EEF5B816186C58</vt:lpwstr>
  </property>
</Properties>
</file>