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9708D" w14:textId="77777777" w:rsidR="00375AE6" w:rsidRDefault="00375AE6"/>
    <w:p w14:paraId="489FB0AE" w14:textId="78C0331D" w:rsidR="00375AE6" w:rsidRPr="0069479A" w:rsidRDefault="00375AE6">
      <w:pPr>
        <w:rPr>
          <w:b/>
        </w:rPr>
      </w:pPr>
      <w:r w:rsidRPr="0069479A">
        <w:rPr>
          <w:b/>
        </w:rPr>
        <w:t xml:space="preserve">Bijlage SV </w:t>
      </w:r>
      <w:r w:rsidR="005E7ABB">
        <w:rPr>
          <w:b/>
        </w:rPr>
        <w:t xml:space="preserve">88 van 7 december 2016 van Robrecht Bothuyne – Energiearmoede – actiepunten </w:t>
      </w:r>
    </w:p>
    <w:p w14:paraId="3149ECC9" w14:textId="6F33EE87" w:rsidR="00375AE6" w:rsidRDefault="00375AE6">
      <w:r>
        <w:t xml:space="preserve">In wat volgt wordt voor de acties zoals ze opgenomen zijn in het Energiearmoedeprogramma de stand van zaken op </w:t>
      </w:r>
      <w:r w:rsidR="004E7D9A">
        <w:t>22 december</w:t>
      </w:r>
      <w:r>
        <w:t xml:space="preserve"> 2016 weergegeven.</w:t>
      </w:r>
    </w:p>
    <w:tbl>
      <w:tblPr>
        <w:tblStyle w:val="Tabelraster"/>
        <w:tblpPr w:leftFromText="141" w:rightFromText="141" w:vertAnchor="text" w:tblpXSpec="right" w:tblpY="1"/>
        <w:tblOverlap w:val="never"/>
        <w:tblW w:w="14743" w:type="dxa"/>
        <w:tblLayout w:type="fixed"/>
        <w:tblLook w:val="04A0" w:firstRow="1" w:lastRow="0" w:firstColumn="1" w:lastColumn="0" w:noHBand="0" w:noVBand="1"/>
      </w:tblPr>
      <w:tblGrid>
        <w:gridCol w:w="699"/>
        <w:gridCol w:w="7127"/>
        <w:gridCol w:w="6917"/>
      </w:tblGrid>
      <w:tr w:rsidR="003903E4" w:rsidRPr="00686050" w14:paraId="65A58CAB" w14:textId="77777777" w:rsidTr="00CE6118">
        <w:trPr>
          <w:tblHeader/>
        </w:trPr>
        <w:tc>
          <w:tcPr>
            <w:tcW w:w="699" w:type="dxa"/>
          </w:tcPr>
          <w:p w14:paraId="7C0DB23C" w14:textId="77777777" w:rsidR="003903E4" w:rsidRPr="00375AE6" w:rsidRDefault="003903E4" w:rsidP="00CE6118">
            <w:pPr>
              <w:rPr>
                <w:rFonts w:cstheme="minorHAnsi"/>
                <w:b/>
                <w:lang w:val="nl-BE"/>
              </w:rPr>
            </w:pPr>
            <w:r w:rsidRPr="00686050">
              <w:rPr>
                <w:rFonts w:cstheme="minorHAnsi"/>
                <w:b/>
                <w:lang w:val="nl-BE"/>
              </w:rPr>
              <w:t>Actienr</w:t>
            </w:r>
          </w:p>
        </w:tc>
        <w:tc>
          <w:tcPr>
            <w:tcW w:w="7127" w:type="dxa"/>
          </w:tcPr>
          <w:p w14:paraId="347B921F" w14:textId="77777777" w:rsidR="003903E4" w:rsidRPr="00375AE6" w:rsidRDefault="003903E4" w:rsidP="00CE6118">
            <w:pPr>
              <w:jc w:val="center"/>
              <w:rPr>
                <w:rFonts w:cstheme="minorHAnsi"/>
                <w:b/>
              </w:rPr>
            </w:pPr>
            <w:r w:rsidRPr="00375AE6">
              <w:rPr>
                <w:rFonts w:cstheme="minorHAnsi"/>
                <w:b/>
              </w:rPr>
              <w:t>Actie</w:t>
            </w:r>
          </w:p>
        </w:tc>
        <w:tc>
          <w:tcPr>
            <w:tcW w:w="6917" w:type="dxa"/>
          </w:tcPr>
          <w:p w14:paraId="03A17F84" w14:textId="77777777" w:rsidR="003903E4" w:rsidRPr="00375AE6" w:rsidRDefault="003903E4" w:rsidP="00CE6118">
            <w:pPr>
              <w:jc w:val="center"/>
              <w:rPr>
                <w:rFonts w:cstheme="minorHAnsi"/>
                <w:b/>
              </w:rPr>
            </w:pPr>
            <w:r w:rsidRPr="00375AE6">
              <w:rPr>
                <w:rFonts w:cstheme="minorHAnsi"/>
                <w:b/>
              </w:rPr>
              <w:t>Stand van zaken uitvoering</w:t>
            </w:r>
          </w:p>
        </w:tc>
      </w:tr>
      <w:tr w:rsidR="006F3AA9" w:rsidRPr="00686050" w14:paraId="1862D5E1" w14:textId="77777777" w:rsidTr="00CE6118">
        <w:tc>
          <w:tcPr>
            <w:tcW w:w="699" w:type="dxa"/>
          </w:tcPr>
          <w:p w14:paraId="21AA01F7" w14:textId="77777777" w:rsidR="006F3AA9" w:rsidRPr="00375AE6" w:rsidRDefault="006F3AA9" w:rsidP="00CE6118">
            <w:pPr>
              <w:spacing w:before="100" w:beforeAutospacing="1" w:after="100" w:afterAutospacing="1"/>
              <w:rPr>
                <w:rFonts w:eastAsia="Times New Roman" w:cstheme="minorHAnsi"/>
                <w:lang w:val="nl-NL" w:eastAsia="nl-BE"/>
              </w:rPr>
            </w:pPr>
          </w:p>
        </w:tc>
        <w:tc>
          <w:tcPr>
            <w:tcW w:w="7127" w:type="dxa"/>
          </w:tcPr>
          <w:p w14:paraId="121A2DFC" w14:textId="19FB7DD7" w:rsidR="006F3AA9" w:rsidRPr="008C6721" w:rsidDel="00B37209" w:rsidRDefault="00DF7FBE" w:rsidP="00CE6118">
            <w:pPr>
              <w:rPr>
                <w:rFonts w:cstheme="minorHAnsi"/>
                <w:b/>
                <w:lang w:val="nl-NL"/>
              </w:rPr>
            </w:pPr>
            <w:r w:rsidRPr="008C6721">
              <w:rPr>
                <w:rFonts w:cstheme="minorHAnsi"/>
                <w:b/>
                <w:lang w:val="nl-NL"/>
              </w:rPr>
              <w:t xml:space="preserve">MOGELIJKE </w:t>
            </w:r>
            <w:r w:rsidR="006F3AA9" w:rsidRPr="008C6721">
              <w:rPr>
                <w:rFonts w:cstheme="minorHAnsi"/>
                <w:b/>
                <w:lang w:val="nl-NL"/>
              </w:rPr>
              <w:t>OPTIMALISATIE</w:t>
            </w:r>
            <w:r w:rsidRPr="008C6721">
              <w:rPr>
                <w:rFonts w:cstheme="minorHAnsi"/>
                <w:b/>
                <w:lang w:val="nl-NL"/>
              </w:rPr>
              <w:t>S</w:t>
            </w:r>
            <w:r w:rsidR="006F3AA9" w:rsidRPr="008C6721">
              <w:rPr>
                <w:rFonts w:cstheme="minorHAnsi"/>
                <w:b/>
                <w:lang w:val="nl-NL"/>
              </w:rPr>
              <w:t xml:space="preserve"> SOCIALE OPENBARE DIENSTVERPLICHTINGEN</w:t>
            </w:r>
          </w:p>
        </w:tc>
        <w:tc>
          <w:tcPr>
            <w:tcW w:w="6917" w:type="dxa"/>
          </w:tcPr>
          <w:p w14:paraId="1162DA71" w14:textId="77777777" w:rsidR="006F3AA9" w:rsidRPr="008C6721" w:rsidRDefault="006F3AA9" w:rsidP="00CE6118">
            <w:pPr>
              <w:rPr>
                <w:rFonts w:cstheme="minorHAnsi"/>
                <w:lang w:val="nl-NL"/>
              </w:rPr>
            </w:pPr>
          </w:p>
        </w:tc>
      </w:tr>
      <w:tr w:rsidR="003903E4" w:rsidRPr="00686050" w14:paraId="2EA8FC75" w14:textId="77777777" w:rsidTr="00CE6118">
        <w:tc>
          <w:tcPr>
            <w:tcW w:w="699" w:type="dxa"/>
          </w:tcPr>
          <w:p w14:paraId="1B127249" w14:textId="77777777" w:rsidR="003903E4" w:rsidRPr="00375AE6" w:rsidRDefault="003903E4" w:rsidP="00CE6118">
            <w:pPr>
              <w:spacing w:before="100" w:beforeAutospacing="1" w:after="100" w:afterAutospacing="1"/>
              <w:rPr>
                <w:rFonts w:eastAsia="Times New Roman" w:cstheme="minorHAnsi"/>
                <w:lang w:val="nl-NL" w:eastAsia="nl-BE"/>
              </w:rPr>
            </w:pPr>
            <w:r w:rsidRPr="00375AE6">
              <w:rPr>
                <w:rFonts w:eastAsia="Times New Roman" w:cstheme="minorHAnsi"/>
                <w:lang w:val="nl-NL" w:eastAsia="nl-BE"/>
              </w:rPr>
              <w:t>1</w:t>
            </w:r>
          </w:p>
        </w:tc>
        <w:tc>
          <w:tcPr>
            <w:tcW w:w="7127" w:type="dxa"/>
          </w:tcPr>
          <w:p w14:paraId="2DB71F28" w14:textId="71877882" w:rsidR="003903E4" w:rsidRPr="00375AE6" w:rsidRDefault="006F3AA9" w:rsidP="00CE6118">
            <w:pPr>
              <w:rPr>
                <w:rFonts w:cstheme="minorHAnsi"/>
                <w:lang w:val="nl-BE"/>
              </w:rPr>
            </w:pPr>
            <w:r>
              <w:rPr>
                <w:rFonts w:cstheme="minorHAnsi"/>
                <w:lang w:val="nl-BE"/>
              </w:rPr>
              <w:t xml:space="preserve">Opvolging goede praktijk betaalplannen: </w:t>
            </w:r>
            <w:r>
              <w:rPr>
                <w:rFonts w:cstheme="minorHAnsi"/>
                <w:lang w:val="nl-NL"/>
              </w:rPr>
              <w:t>w</w:t>
            </w:r>
            <w:r w:rsidR="00B37209">
              <w:rPr>
                <w:rFonts w:cstheme="minorHAnsi"/>
                <w:lang w:val="nl-NL"/>
              </w:rPr>
              <w:t>ettelijk kader voor betaalplannen opleggen aan de leveranciers</w:t>
            </w:r>
            <w:r w:rsidR="00B37209">
              <w:rPr>
                <w:rFonts w:cstheme="minorHAnsi"/>
                <w:lang w:val="nl-BE"/>
              </w:rPr>
              <w:t>.</w:t>
            </w:r>
          </w:p>
        </w:tc>
        <w:tc>
          <w:tcPr>
            <w:tcW w:w="6917" w:type="dxa"/>
          </w:tcPr>
          <w:p w14:paraId="653303B1" w14:textId="77777777" w:rsidR="003903E4" w:rsidRPr="00686050" w:rsidRDefault="003903E4" w:rsidP="00CE6118">
            <w:pPr>
              <w:pStyle w:val="Lijstalinea"/>
              <w:numPr>
                <w:ilvl w:val="0"/>
                <w:numId w:val="5"/>
              </w:numPr>
              <w:rPr>
                <w:rFonts w:cstheme="minorHAnsi"/>
                <w:lang w:val="nl-BE"/>
              </w:rPr>
            </w:pPr>
            <w:r w:rsidRPr="00686050">
              <w:rPr>
                <w:rFonts w:cstheme="minorHAnsi"/>
                <w:lang w:val="nl-BE"/>
              </w:rPr>
              <w:t>Besproken met de di</w:t>
            </w:r>
            <w:r w:rsidR="005A04EA">
              <w:rPr>
                <w:rFonts w:cstheme="minorHAnsi"/>
                <w:lang w:val="nl-BE"/>
              </w:rPr>
              <w:t>stributienetbeheerders en  FEBEG</w:t>
            </w:r>
            <w:r w:rsidRPr="00686050">
              <w:rPr>
                <w:rFonts w:cstheme="minorHAnsi"/>
                <w:lang w:val="nl-BE"/>
              </w:rPr>
              <w:t xml:space="preserve"> op 10 mei 2016</w:t>
            </w:r>
          </w:p>
          <w:p w14:paraId="7121860C" w14:textId="77777777" w:rsidR="003903E4" w:rsidRPr="005A04EA" w:rsidRDefault="005A0D61" w:rsidP="00CE6118">
            <w:pPr>
              <w:pStyle w:val="Lijstalinea"/>
              <w:numPr>
                <w:ilvl w:val="0"/>
                <w:numId w:val="5"/>
              </w:numPr>
              <w:rPr>
                <w:rFonts w:cstheme="minorHAnsi"/>
                <w:lang w:val="nl-BE"/>
              </w:rPr>
            </w:pPr>
            <w:r>
              <w:rPr>
                <w:lang w:val="nl-BE"/>
              </w:rPr>
              <w:t>FEBEG</w:t>
            </w:r>
            <w:r w:rsidR="003903E4" w:rsidRPr="005A04EA">
              <w:rPr>
                <w:lang w:val="nl-BE"/>
              </w:rPr>
              <w:t xml:space="preserve"> bezorgt een lijst met </w:t>
            </w:r>
            <w:r w:rsidR="005A04EA">
              <w:rPr>
                <w:lang w:val="nl-BE"/>
              </w:rPr>
              <w:t xml:space="preserve">acties die leveranciers ondernemen en inventariseert </w:t>
            </w:r>
            <w:r w:rsidR="003903E4" w:rsidRPr="005A04EA">
              <w:rPr>
                <w:lang w:val="nl-BE"/>
              </w:rPr>
              <w:t>opmerkingen</w:t>
            </w:r>
          </w:p>
          <w:p w14:paraId="2E207804" w14:textId="77777777" w:rsidR="003903E4" w:rsidRPr="00241A61" w:rsidRDefault="003903E4" w:rsidP="00CE6118">
            <w:pPr>
              <w:pStyle w:val="Lijstalinea"/>
              <w:numPr>
                <w:ilvl w:val="0"/>
                <w:numId w:val="5"/>
              </w:numPr>
              <w:rPr>
                <w:rFonts w:cstheme="minorHAnsi"/>
                <w:lang w:val="nl-BE"/>
              </w:rPr>
            </w:pPr>
            <w:r w:rsidRPr="005A04EA">
              <w:rPr>
                <w:lang w:val="nl-BE"/>
              </w:rPr>
              <w:t xml:space="preserve">Overleg met VREG 10 augustus 2016: “goede praktijk” </w:t>
            </w:r>
            <w:r w:rsidR="005A04EA">
              <w:rPr>
                <w:lang w:val="nl-BE"/>
              </w:rPr>
              <w:t xml:space="preserve">zoals die nu bestaat </w:t>
            </w:r>
            <w:r w:rsidRPr="005A04EA">
              <w:rPr>
                <w:lang w:val="nl-BE"/>
              </w:rPr>
              <w:t xml:space="preserve">is niet juridisch afdwingbaar. </w:t>
            </w:r>
            <w:r w:rsidR="005A04EA">
              <w:rPr>
                <w:lang w:val="nl-BE"/>
              </w:rPr>
              <w:t>Indien wordt beslist een praktijk rond betaalplannen op te leggen, zal de VREG dit uitwerken in de regelgeving.</w:t>
            </w:r>
            <w:r w:rsidRPr="005A04EA">
              <w:rPr>
                <w:lang w:val="nl-BE"/>
              </w:rPr>
              <w:t xml:space="preserve"> </w:t>
            </w:r>
          </w:p>
        </w:tc>
      </w:tr>
      <w:tr w:rsidR="003903E4" w:rsidRPr="00686050" w14:paraId="6D08BDF6" w14:textId="77777777" w:rsidTr="00CE6118">
        <w:tc>
          <w:tcPr>
            <w:tcW w:w="699" w:type="dxa"/>
          </w:tcPr>
          <w:p w14:paraId="23E9E787" w14:textId="77777777" w:rsidR="003903E4" w:rsidRPr="00375AE6" w:rsidRDefault="003903E4" w:rsidP="00CE6118">
            <w:pPr>
              <w:shd w:val="clear" w:color="auto" w:fill="FFFFFF"/>
              <w:spacing w:before="100" w:beforeAutospacing="1" w:after="100" w:afterAutospacing="1"/>
              <w:rPr>
                <w:rFonts w:eastAsia="Times New Roman" w:cstheme="minorHAnsi"/>
                <w:lang w:val="nl-NL" w:eastAsia="nl-BE"/>
              </w:rPr>
            </w:pPr>
            <w:r w:rsidRPr="00375AE6">
              <w:rPr>
                <w:rFonts w:eastAsia="Times New Roman" w:cstheme="minorHAnsi"/>
                <w:lang w:val="nl-NL" w:eastAsia="nl-BE"/>
              </w:rPr>
              <w:t>2</w:t>
            </w:r>
          </w:p>
        </w:tc>
        <w:tc>
          <w:tcPr>
            <w:tcW w:w="7127" w:type="dxa"/>
          </w:tcPr>
          <w:p w14:paraId="5F63E368" w14:textId="429FA7BD" w:rsidR="003903E4" w:rsidRPr="00375AE6" w:rsidRDefault="006F3AA9" w:rsidP="00CE6118">
            <w:pPr>
              <w:rPr>
                <w:rFonts w:cstheme="minorHAnsi"/>
                <w:lang w:val="nl-BE"/>
              </w:rPr>
            </w:pPr>
            <w:r>
              <w:rPr>
                <w:rFonts w:cstheme="minorHAnsi"/>
                <w:lang w:val="nl-NL"/>
              </w:rPr>
              <w:t>Eenvormige en beter verstaanbare factuur van commerciële leverancier: d</w:t>
            </w:r>
            <w:r w:rsidR="003903E4" w:rsidRPr="00375AE6">
              <w:rPr>
                <w:rFonts w:cstheme="minorHAnsi"/>
                <w:lang w:val="nl-BE"/>
              </w:rPr>
              <w:t xml:space="preserve">e minister van </w:t>
            </w:r>
            <w:r>
              <w:rPr>
                <w:rFonts w:cstheme="minorHAnsi"/>
                <w:lang w:val="nl-BE"/>
              </w:rPr>
              <w:t>Energie</w:t>
            </w:r>
            <w:r w:rsidR="003903E4" w:rsidRPr="00375AE6">
              <w:rPr>
                <w:rFonts w:cstheme="minorHAnsi"/>
                <w:lang w:val="nl-BE"/>
              </w:rPr>
              <w:t xml:space="preserve"> volgt de vorderingen aangaande de optimalisatie van de energiefacturen op.</w:t>
            </w:r>
          </w:p>
        </w:tc>
        <w:tc>
          <w:tcPr>
            <w:tcW w:w="6917" w:type="dxa"/>
          </w:tcPr>
          <w:p w14:paraId="325B20DE" w14:textId="254E20A8" w:rsidR="003903E4" w:rsidRPr="00375AE6" w:rsidRDefault="003903E4" w:rsidP="00CE6118">
            <w:pPr>
              <w:rPr>
                <w:rFonts w:cstheme="minorHAnsi"/>
                <w:lang w:val="nl-BE"/>
              </w:rPr>
            </w:pPr>
            <w:r w:rsidRPr="00686050">
              <w:rPr>
                <w:rFonts w:cstheme="minorHAnsi"/>
                <w:lang w:val="nl-BE"/>
              </w:rPr>
              <w:t xml:space="preserve">In het kader van het </w:t>
            </w:r>
            <w:r w:rsidRPr="00375AE6">
              <w:rPr>
                <w:rFonts w:cstheme="minorHAnsi"/>
                <w:lang w:val="nl-BE"/>
              </w:rPr>
              <w:t>Belgisch Platform tegen Energiearmoede</w:t>
            </w:r>
            <w:r w:rsidRPr="00686050">
              <w:rPr>
                <w:rFonts w:cstheme="minorHAnsi"/>
                <w:lang w:val="nl-BE"/>
              </w:rPr>
              <w:t xml:space="preserve"> dat actief is in de schoot van de Koning Boudewijnstichting </w:t>
            </w:r>
            <w:r w:rsidR="00A109E2" w:rsidRPr="00686050">
              <w:rPr>
                <w:rFonts w:cstheme="minorHAnsi"/>
                <w:lang w:val="nl-BE"/>
              </w:rPr>
              <w:t>werken 32 stakehol</w:t>
            </w:r>
            <w:r w:rsidRPr="00686050">
              <w:rPr>
                <w:rFonts w:cstheme="minorHAnsi"/>
                <w:lang w:val="nl-BE"/>
              </w:rPr>
              <w:t xml:space="preserve">ders </w:t>
            </w:r>
            <w:r w:rsidR="00A109E2" w:rsidRPr="00686050">
              <w:rPr>
                <w:rFonts w:cstheme="minorHAnsi"/>
                <w:lang w:val="nl-BE"/>
              </w:rPr>
              <w:t>(waaronder leveranciers en FEBEG) aan een aanbeveling voor een eenvoudige factuur.</w:t>
            </w:r>
            <w:r w:rsidR="005A04EA">
              <w:rPr>
                <w:rFonts w:cstheme="minorHAnsi"/>
                <w:lang w:val="nl-BE"/>
              </w:rPr>
              <w:t xml:space="preserve"> </w:t>
            </w:r>
            <w:r w:rsidR="005E7ABB">
              <w:rPr>
                <w:rFonts w:cstheme="minorHAnsi"/>
                <w:lang w:val="nl-BE"/>
              </w:rPr>
              <w:t xml:space="preserve">Een laatste vergadering is doorgegaan op </w:t>
            </w:r>
            <w:r w:rsidR="00A109E2" w:rsidRPr="00686050">
              <w:rPr>
                <w:rFonts w:cstheme="minorHAnsi"/>
                <w:lang w:val="nl-BE"/>
              </w:rPr>
              <w:t>25 november (het VEA volgt dit op).</w:t>
            </w:r>
          </w:p>
        </w:tc>
      </w:tr>
      <w:tr w:rsidR="003903E4" w:rsidRPr="00686050" w14:paraId="03818997" w14:textId="77777777" w:rsidTr="00CE6118">
        <w:tc>
          <w:tcPr>
            <w:tcW w:w="699" w:type="dxa"/>
          </w:tcPr>
          <w:p w14:paraId="036C73FE" w14:textId="77777777" w:rsidR="003903E4" w:rsidRPr="00375AE6" w:rsidRDefault="003903E4" w:rsidP="00CE6118">
            <w:pPr>
              <w:shd w:val="clear" w:color="auto" w:fill="FFFFFF"/>
              <w:rPr>
                <w:rFonts w:eastAsia="Times New Roman" w:cstheme="minorHAnsi"/>
                <w:lang w:val="nl-NL" w:eastAsia="nl-BE"/>
              </w:rPr>
            </w:pPr>
            <w:r w:rsidRPr="00375AE6">
              <w:rPr>
                <w:rFonts w:eastAsia="Times New Roman" w:cstheme="minorHAnsi"/>
                <w:lang w:val="nl-NL" w:eastAsia="nl-BE"/>
              </w:rPr>
              <w:t>3</w:t>
            </w:r>
          </w:p>
        </w:tc>
        <w:tc>
          <w:tcPr>
            <w:tcW w:w="7127" w:type="dxa"/>
          </w:tcPr>
          <w:p w14:paraId="72AA80DB" w14:textId="4679A88C" w:rsidR="00A109E2" w:rsidRPr="00686050" w:rsidRDefault="006F3AA9" w:rsidP="00CE6118">
            <w:pPr>
              <w:rPr>
                <w:lang w:val="nl-BE"/>
              </w:rPr>
            </w:pPr>
            <w:r>
              <w:rPr>
                <w:rFonts w:cstheme="minorHAnsi"/>
                <w:lang w:val="nl-BE"/>
              </w:rPr>
              <w:t>Federale akkoord “de consument en vrijgemaakte elektriciteits- en gasmarkt”: h</w:t>
            </w:r>
            <w:r w:rsidR="00A109E2" w:rsidRPr="00686050">
              <w:rPr>
                <w:rFonts w:cstheme="minorHAnsi"/>
                <w:lang w:val="nl-BE"/>
              </w:rPr>
              <w:t xml:space="preserve">et opvolgen van de voorbereiding van de in 2016 voorziene herziening van het federale Consumentenakkoord </w:t>
            </w:r>
            <w:r w:rsidR="00A109E2" w:rsidRPr="00686050">
              <w:rPr>
                <w:lang w:val="nl-BE"/>
              </w:rPr>
              <w:t>"De consument in de vrijgemaakte elektriciteits- en gasmarkt”</w:t>
            </w:r>
          </w:p>
          <w:p w14:paraId="121E4A7F" w14:textId="77777777" w:rsidR="00A109E2" w:rsidRPr="00686050" w:rsidRDefault="003903E4" w:rsidP="00CE6118">
            <w:pPr>
              <w:pStyle w:val="Lijstalinea"/>
              <w:numPr>
                <w:ilvl w:val="0"/>
                <w:numId w:val="6"/>
              </w:numPr>
              <w:rPr>
                <w:rFonts w:cstheme="minorHAnsi"/>
                <w:lang w:val="nl-BE"/>
              </w:rPr>
            </w:pPr>
            <w:r w:rsidRPr="00686050">
              <w:rPr>
                <w:rFonts w:cstheme="minorHAnsi"/>
                <w:lang w:val="nl-BE"/>
              </w:rPr>
              <w:t xml:space="preserve">De problematiek van klanten die sinds de vrijmaking van de energiemarkt nog nooit van leverancier veranderden en daardoor nog een duur contract met de toenmalige standaardleverancier hebben, zal worden gesignaleerd met het oog op meer gerichte sensibilisering en begeleiding om over te stappen naar een voordeligere leverancier voor aardgas en/of elektriciteit. </w:t>
            </w:r>
          </w:p>
          <w:p w14:paraId="2F1CA435" w14:textId="77777777" w:rsidR="003903E4" w:rsidRPr="00686050" w:rsidRDefault="003903E4" w:rsidP="00CE6118">
            <w:pPr>
              <w:pStyle w:val="Lijstalinea"/>
              <w:numPr>
                <w:ilvl w:val="0"/>
                <w:numId w:val="6"/>
              </w:numPr>
              <w:rPr>
                <w:rFonts w:cstheme="minorHAnsi"/>
                <w:lang w:val="nl-BE"/>
              </w:rPr>
            </w:pPr>
            <w:r w:rsidRPr="00686050">
              <w:rPr>
                <w:rFonts w:cstheme="minorHAnsi"/>
                <w:lang w:val="nl-BE"/>
              </w:rPr>
              <w:t>Er zal na de goedkeuring van een nieuw Consumentenakkoord extra aandacht besteed worden aan de communicatie.</w:t>
            </w:r>
          </w:p>
        </w:tc>
        <w:tc>
          <w:tcPr>
            <w:tcW w:w="6917" w:type="dxa"/>
          </w:tcPr>
          <w:p w14:paraId="78D45653" w14:textId="6BF1F5E5" w:rsidR="00686050" w:rsidRDefault="005A04EA" w:rsidP="00CE6118">
            <w:pPr>
              <w:rPr>
                <w:lang w:val="nl-BE"/>
              </w:rPr>
            </w:pPr>
            <w:r>
              <w:rPr>
                <w:lang w:val="nl-BE"/>
              </w:rPr>
              <w:t xml:space="preserve">De federale </w:t>
            </w:r>
            <w:r w:rsidR="002E4D51">
              <w:rPr>
                <w:lang w:val="nl-BE"/>
              </w:rPr>
              <w:t>M</w:t>
            </w:r>
            <w:r w:rsidR="00686050" w:rsidRPr="00686050">
              <w:rPr>
                <w:lang w:val="nl-BE"/>
              </w:rPr>
              <w:t xml:space="preserve">inister </w:t>
            </w:r>
            <w:r w:rsidR="002E4D51">
              <w:rPr>
                <w:lang w:val="nl-BE"/>
              </w:rPr>
              <w:t>bevoegd voor c</w:t>
            </w:r>
            <w:r w:rsidR="00686050" w:rsidRPr="00686050">
              <w:rPr>
                <w:lang w:val="nl-BE"/>
              </w:rPr>
              <w:t>onsumenten</w:t>
            </w:r>
            <w:r w:rsidR="002E4D51">
              <w:rPr>
                <w:lang w:val="nl-BE"/>
              </w:rPr>
              <w:t xml:space="preserve">zaken </w:t>
            </w:r>
            <w:r w:rsidR="00A109E2" w:rsidRPr="00686050">
              <w:rPr>
                <w:lang w:val="nl-BE"/>
              </w:rPr>
              <w:t xml:space="preserve">Kris Peeters heeft </w:t>
            </w:r>
            <w:r w:rsidR="00686050" w:rsidRPr="00686050">
              <w:rPr>
                <w:lang w:val="nl-BE"/>
              </w:rPr>
              <w:t xml:space="preserve">het herzieningsproces </w:t>
            </w:r>
            <w:r w:rsidR="00150968">
              <w:rPr>
                <w:lang w:val="nl-BE"/>
              </w:rPr>
              <w:t>van dit federale akkoord op</w:t>
            </w:r>
            <w:r w:rsidR="002E4D51">
              <w:rPr>
                <w:lang w:val="nl-BE"/>
              </w:rPr>
              <w:t xml:space="preserve">gestart </w:t>
            </w:r>
            <w:r w:rsidR="002E4D51" w:rsidRPr="008C6721">
              <w:rPr>
                <w:lang w:val="nl-BE"/>
              </w:rPr>
              <w:t>in september</w:t>
            </w:r>
            <w:r w:rsidRPr="008C6721">
              <w:rPr>
                <w:lang w:val="nl-BE"/>
              </w:rPr>
              <w:t xml:space="preserve">. Het akkoord zal </w:t>
            </w:r>
            <w:r w:rsidR="00686050" w:rsidRPr="008C6721">
              <w:rPr>
                <w:lang w:val="nl-BE"/>
              </w:rPr>
              <w:t xml:space="preserve">worden uitgebreid naar de netbeheerders. </w:t>
            </w:r>
            <w:r w:rsidR="00215BB7" w:rsidRPr="008C6721">
              <w:rPr>
                <w:lang w:val="nl-BE"/>
              </w:rPr>
              <w:t>Ik</w:t>
            </w:r>
            <w:r w:rsidR="00686050" w:rsidRPr="008C6721">
              <w:rPr>
                <w:lang w:val="nl-BE"/>
              </w:rPr>
              <w:t xml:space="preserve"> vroeg per brief van 6 september 2016</w:t>
            </w:r>
            <w:r w:rsidRPr="008C6721">
              <w:rPr>
                <w:lang w:val="nl-BE"/>
              </w:rPr>
              <w:t xml:space="preserve"> </w:t>
            </w:r>
            <w:r w:rsidR="00150968" w:rsidRPr="008C6721">
              <w:rPr>
                <w:lang w:val="nl-BE"/>
              </w:rPr>
              <w:t xml:space="preserve"> om </w:t>
            </w:r>
            <w:r w:rsidR="00215BB7" w:rsidRPr="008C6721">
              <w:rPr>
                <w:lang w:val="nl-BE"/>
              </w:rPr>
              <w:t>mijn kabinet en</w:t>
            </w:r>
            <w:r w:rsidR="00686050" w:rsidRPr="008C6721">
              <w:rPr>
                <w:lang w:val="nl-BE"/>
              </w:rPr>
              <w:t xml:space="preserve"> administratie </w:t>
            </w:r>
            <w:r w:rsidR="00215BB7" w:rsidRPr="008C6721">
              <w:rPr>
                <w:lang w:val="nl-BE"/>
              </w:rPr>
              <w:t xml:space="preserve">te </w:t>
            </w:r>
            <w:r w:rsidR="00150968" w:rsidRPr="008C6721">
              <w:rPr>
                <w:lang w:val="nl-BE"/>
              </w:rPr>
              <w:t xml:space="preserve">informeren </w:t>
            </w:r>
            <w:r w:rsidR="002E4D51" w:rsidRPr="008C6721">
              <w:rPr>
                <w:lang w:val="nl-BE"/>
              </w:rPr>
              <w:t>over deze herziening</w:t>
            </w:r>
            <w:r w:rsidR="00215BB7" w:rsidRPr="008C6721">
              <w:rPr>
                <w:lang w:val="nl-BE"/>
              </w:rPr>
              <w:t xml:space="preserve">, gezien de overlap </w:t>
            </w:r>
            <w:r w:rsidR="00AE687A" w:rsidRPr="008C6721">
              <w:rPr>
                <w:lang w:val="nl-BE"/>
              </w:rPr>
              <w:t>met het</w:t>
            </w:r>
            <w:r w:rsidR="00150968" w:rsidRPr="008C6721">
              <w:rPr>
                <w:lang w:val="nl-BE"/>
              </w:rPr>
              <w:t xml:space="preserve"> energiearmoedeprogramma</w:t>
            </w:r>
            <w:r w:rsidR="002E4D51" w:rsidRPr="008C6721">
              <w:rPr>
                <w:lang w:val="nl-BE"/>
              </w:rPr>
              <w:t xml:space="preserve">. </w:t>
            </w:r>
            <w:r w:rsidR="00AE687A" w:rsidRPr="008C6721">
              <w:rPr>
                <w:lang w:val="nl-BE"/>
              </w:rPr>
              <w:t>Er</w:t>
            </w:r>
            <w:r w:rsidR="00150968" w:rsidRPr="008C6721">
              <w:rPr>
                <w:lang w:val="nl-BE"/>
              </w:rPr>
              <w:t xml:space="preserve"> zullen hierover verdere contacten</w:t>
            </w:r>
            <w:r w:rsidR="00DE2B02" w:rsidRPr="008C6721">
              <w:rPr>
                <w:lang w:val="nl-BE"/>
              </w:rPr>
              <w:t xml:space="preserve"> </w:t>
            </w:r>
            <w:r w:rsidR="00215BB7" w:rsidRPr="008C6721">
              <w:rPr>
                <w:lang w:val="nl-BE"/>
              </w:rPr>
              <w:t>plaatsvinden</w:t>
            </w:r>
            <w:r w:rsidR="00150968" w:rsidRPr="008C6721">
              <w:rPr>
                <w:lang w:val="nl-BE"/>
              </w:rPr>
              <w:t xml:space="preserve"> tussen onze kabinetten en administraties</w:t>
            </w:r>
            <w:r w:rsidR="00DE2B02" w:rsidRPr="008C6721">
              <w:rPr>
                <w:lang w:val="nl-BE"/>
              </w:rPr>
              <w:t>.</w:t>
            </w:r>
            <w:r w:rsidR="00DE2B02">
              <w:rPr>
                <w:lang w:val="nl-BE"/>
              </w:rPr>
              <w:t xml:space="preserve"> </w:t>
            </w:r>
          </w:p>
          <w:p w14:paraId="2E97E883" w14:textId="04088918" w:rsidR="005E7ABB" w:rsidRPr="00686050" w:rsidRDefault="005E7ABB" w:rsidP="00CE6118">
            <w:pPr>
              <w:rPr>
                <w:lang w:val="nl-BE"/>
              </w:rPr>
            </w:pPr>
            <w:r>
              <w:rPr>
                <w:lang w:val="nl-BE"/>
              </w:rPr>
              <w:t xml:space="preserve">Verder heb ik </w:t>
            </w:r>
            <w:r w:rsidR="00294F02">
              <w:rPr>
                <w:lang w:val="nl-BE"/>
              </w:rPr>
              <w:t xml:space="preserve">reeds </w:t>
            </w:r>
            <w:r>
              <w:rPr>
                <w:lang w:val="nl-BE"/>
              </w:rPr>
              <w:t xml:space="preserve">een brief gestuurd naar Vice-Premier Peeters om samen een werkgroep op te starten om de factuur voor de mensen </w:t>
            </w:r>
            <w:r w:rsidR="00294F02">
              <w:rPr>
                <w:lang w:val="nl-BE"/>
              </w:rPr>
              <w:t>leesbaar en begrijpelijk te maken.</w:t>
            </w:r>
          </w:p>
          <w:p w14:paraId="05009C87" w14:textId="77777777" w:rsidR="003903E4" w:rsidRPr="00375AE6" w:rsidRDefault="003903E4" w:rsidP="00CE6118">
            <w:pPr>
              <w:contextualSpacing/>
              <w:rPr>
                <w:rFonts w:cstheme="minorHAnsi"/>
                <w:lang w:val="nl-BE"/>
              </w:rPr>
            </w:pPr>
          </w:p>
        </w:tc>
      </w:tr>
      <w:tr w:rsidR="003903E4" w:rsidRPr="00686050" w14:paraId="5370D6E3" w14:textId="77777777" w:rsidTr="00CE6118">
        <w:tc>
          <w:tcPr>
            <w:tcW w:w="699" w:type="dxa"/>
          </w:tcPr>
          <w:p w14:paraId="1B880F38" w14:textId="77777777" w:rsidR="003903E4" w:rsidRPr="00375AE6" w:rsidRDefault="003903E4" w:rsidP="00CE6118">
            <w:pPr>
              <w:shd w:val="clear" w:color="auto" w:fill="FFFFFF"/>
              <w:rPr>
                <w:rFonts w:eastAsia="Times New Roman" w:cstheme="minorHAnsi"/>
                <w:lang w:val="nl-NL" w:eastAsia="nl-BE"/>
              </w:rPr>
            </w:pPr>
            <w:r w:rsidRPr="00375AE6">
              <w:rPr>
                <w:rFonts w:eastAsia="Times New Roman" w:cstheme="minorHAnsi"/>
                <w:lang w:val="nl-NL" w:eastAsia="nl-BE"/>
              </w:rPr>
              <w:lastRenderedPageBreak/>
              <w:t>4</w:t>
            </w:r>
          </w:p>
        </w:tc>
        <w:tc>
          <w:tcPr>
            <w:tcW w:w="7127" w:type="dxa"/>
          </w:tcPr>
          <w:p w14:paraId="4DBC9502" w14:textId="77777777" w:rsidR="003903E4" w:rsidRPr="00375AE6" w:rsidRDefault="00686050" w:rsidP="00CE6118">
            <w:pPr>
              <w:rPr>
                <w:lang w:val="nl-BE"/>
              </w:rPr>
            </w:pPr>
            <w:r w:rsidRPr="00686050">
              <w:rPr>
                <w:lang w:val="nl-BE"/>
              </w:rPr>
              <w:t xml:space="preserve">Het inschakelen van </w:t>
            </w:r>
            <w:r w:rsidR="005A0D61" w:rsidRPr="00686050">
              <w:rPr>
                <w:lang w:val="nl-BE"/>
              </w:rPr>
              <w:t>incassobureaus</w:t>
            </w:r>
            <w:r w:rsidRPr="00686050">
              <w:rPr>
                <w:lang w:val="nl-BE"/>
              </w:rPr>
              <w:t xml:space="preserve"> voor het recupereren van energieschulden: </w:t>
            </w:r>
            <w:r w:rsidR="003903E4" w:rsidRPr="00375AE6">
              <w:rPr>
                <w:rFonts w:cstheme="minorHAnsi"/>
                <w:lang w:val="nl-BE"/>
              </w:rPr>
              <w:t>nagaan in hoeverre deze manier van werken kan worden gereguleerd met het oog op de bescherming van de re</w:t>
            </w:r>
            <w:r w:rsidRPr="00686050">
              <w:rPr>
                <w:rFonts w:cstheme="minorHAnsi"/>
                <w:lang w:val="nl-BE"/>
              </w:rPr>
              <w:t>chtspositie van de schuldenaars</w:t>
            </w:r>
          </w:p>
        </w:tc>
        <w:tc>
          <w:tcPr>
            <w:tcW w:w="6917" w:type="dxa"/>
          </w:tcPr>
          <w:p w14:paraId="56AD5A5F" w14:textId="77777777" w:rsidR="003903E4" w:rsidRPr="00375AE6" w:rsidRDefault="00686050" w:rsidP="00CE6118">
            <w:pPr>
              <w:contextualSpacing/>
              <w:jc w:val="both"/>
              <w:rPr>
                <w:rFonts w:cstheme="minorHAnsi"/>
                <w:lang w:val="nl-BE"/>
              </w:rPr>
            </w:pPr>
            <w:r w:rsidRPr="00686050">
              <w:rPr>
                <w:lang w:val="nl-BE"/>
              </w:rPr>
              <w:t xml:space="preserve">Op 10 augustus 2016 is met de VREG afgesproken om een onderzoek te voeren naar het gebruik van </w:t>
            </w:r>
            <w:r w:rsidR="005A0D61" w:rsidRPr="00686050">
              <w:rPr>
                <w:lang w:val="nl-BE"/>
              </w:rPr>
              <w:t>incassobureaus</w:t>
            </w:r>
            <w:r w:rsidRPr="00686050">
              <w:rPr>
                <w:lang w:val="nl-BE"/>
              </w:rPr>
              <w:t>/Europese invorderingsprocedure.</w:t>
            </w:r>
          </w:p>
        </w:tc>
      </w:tr>
      <w:tr w:rsidR="003903E4" w:rsidRPr="00686050" w14:paraId="1081EA09" w14:textId="77777777" w:rsidTr="00CE6118">
        <w:tc>
          <w:tcPr>
            <w:tcW w:w="699" w:type="dxa"/>
          </w:tcPr>
          <w:p w14:paraId="2AF09D48" w14:textId="77777777" w:rsidR="003903E4" w:rsidRPr="00375AE6" w:rsidRDefault="003903E4" w:rsidP="00CE6118">
            <w:pPr>
              <w:shd w:val="clear" w:color="auto" w:fill="FFFFFF"/>
              <w:rPr>
                <w:rFonts w:eastAsia="Times New Roman" w:cstheme="minorHAnsi"/>
                <w:lang w:val="nl-NL" w:eastAsia="nl-BE"/>
              </w:rPr>
            </w:pPr>
            <w:r w:rsidRPr="00375AE6">
              <w:rPr>
                <w:rFonts w:eastAsia="Times New Roman" w:cstheme="minorHAnsi"/>
                <w:lang w:val="nl-NL" w:eastAsia="nl-BE"/>
              </w:rPr>
              <w:t>5</w:t>
            </w:r>
          </w:p>
        </w:tc>
        <w:tc>
          <w:tcPr>
            <w:tcW w:w="7127" w:type="dxa"/>
          </w:tcPr>
          <w:p w14:paraId="6BCE8C53" w14:textId="3C7348E1" w:rsidR="00686050" w:rsidRPr="0069479A" w:rsidRDefault="00DE2B02" w:rsidP="00CE6118">
            <w:pPr>
              <w:pStyle w:val="Default"/>
              <w:rPr>
                <w:rFonts w:asciiTheme="minorHAnsi" w:hAnsiTheme="minorHAnsi"/>
                <w:sz w:val="22"/>
                <w:szCs w:val="22"/>
                <w:lang w:val="nl-BE"/>
              </w:rPr>
            </w:pPr>
            <w:r>
              <w:rPr>
                <w:rFonts w:asciiTheme="minorHAnsi" w:hAnsiTheme="minorHAnsi"/>
                <w:sz w:val="22"/>
                <w:szCs w:val="22"/>
                <w:lang w:val="nl-NL"/>
              </w:rPr>
              <w:t>Waarborgregeling: i</w:t>
            </w:r>
            <w:r w:rsidR="00686050" w:rsidRPr="00686050">
              <w:rPr>
                <w:rFonts w:asciiTheme="minorHAnsi" w:hAnsiTheme="minorHAnsi"/>
                <w:sz w:val="22"/>
                <w:szCs w:val="22"/>
                <w:lang w:val="nl-BE"/>
              </w:rPr>
              <w:t xml:space="preserve">n het geval in de herziening van het vermelde Consumentenakkoord geen algemene waarborgregeling wordt opgenomen, hiervoor alsnog een regeling inschrijven in Vlaamse regelgeving en de leveranciers </w:t>
            </w:r>
            <w:r w:rsidR="00686050" w:rsidRPr="008C6721">
              <w:rPr>
                <w:rFonts w:asciiTheme="minorHAnsi" w:hAnsiTheme="minorHAnsi"/>
                <w:sz w:val="22"/>
                <w:szCs w:val="22"/>
                <w:lang w:val="nl-BE"/>
              </w:rPr>
              <w:t>verplichten</w:t>
            </w:r>
            <w:r w:rsidR="00686050" w:rsidRPr="00686050">
              <w:rPr>
                <w:rFonts w:asciiTheme="minorHAnsi" w:hAnsiTheme="minorHAnsi"/>
                <w:sz w:val="22"/>
                <w:szCs w:val="22"/>
                <w:lang w:val="nl-BE"/>
              </w:rPr>
              <w:t xml:space="preserve"> om deze regeling ook over te nemen in hun algemene voorwaarden. </w:t>
            </w:r>
            <w:r w:rsidR="00686050" w:rsidRPr="0069479A">
              <w:rPr>
                <w:rFonts w:asciiTheme="minorHAnsi" w:hAnsiTheme="minorHAnsi"/>
                <w:sz w:val="22"/>
                <w:szCs w:val="22"/>
                <w:lang w:val="nl-BE"/>
              </w:rPr>
              <w:t xml:space="preserve">Een alternatief voor een wettelijke verplichting zou kunnen zijn dat de VREG de leveranciers oproept om in hun algemene en uniforme voorwaarden met betrekking tot het stellen van een waarborg duidelijk(er) te vermelden: </w:t>
            </w:r>
          </w:p>
          <w:p w14:paraId="6DEA3CB1" w14:textId="77777777" w:rsidR="00686050" w:rsidRPr="0069479A" w:rsidRDefault="00686050" w:rsidP="00CE6118">
            <w:pPr>
              <w:pStyle w:val="Default"/>
              <w:rPr>
                <w:rFonts w:asciiTheme="minorHAnsi" w:hAnsiTheme="minorHAnsi"/>
                <w:sz w:val="22"/>
                <w:szCs w:val="22"/>
                <w:lang w:val="nl-BE"/>
              </w:rPr>
            </w:pPr>
            <w:r w:rsidRPr="0069479A">
              <w:rPr>
                <w:rFonts w:asciiTheme="minorHAnsi" w:hAnsiTheme="minorHAnsi"/>
                <w:sz w:val="22"/>
                <w:szCs w:val="22"/>
                <w:lang w:val="nl-BE"/>
              </w:rPr>
              <w:t xml:space="preserve">- hoe het bedrag berekend werd; </w:t>
            </w:r>
          </w:p>
          <w:p w14:paraId="4E274BE9" w14:textId="77777777" w:rsidR="00686050" w:rsidRPr="0069479A" w:rsidRDefault="00686050" w:rsidP="00CE6118">
            <w:pPr>
              <w:pStyle w:val="Default"/>
              <w:rPr>
                <w:rFonts w:asciiTheme="minorHAnsi" w:hAnsiTheme="minorHAnsi"/>
                <w:sz w:val="22"/>
                <w:szCs w:val="22"/>
                <w:lang w:val="nl-BE"/>
              </w:rPr>
            </w:pPr>
            <w:r w:rsidRPr="0069479A">
              <w:rPr>
                <w:rFonts w:asciiTheme="minorHAnsi" w:hAnsiTheme="minorHAnsi"/>
                <w:sz w:val="22"/>
                <w:szCs w:val="22"/>
                <w:lang w:val="nl-BE"/>
              </w:rPr>
              <w:t xml:space="preserve">- op welk moment de borg vrijkomt; </w:t>
            </w:r>
          </w:p>
          <w:p w14:paraId="5497FBFD" w14:textId="77777777" w:rsidR="003903E4" w:rsidRPr="00375AE6" w:rsidRDefault="00686050" w:rsidP="00CE6118">
            <w:pPr>
              <w:rPr>
                <w:rFonts w:cstheme="minorHAnsi"/>
              </w:rPr>
            </w:pPr>
            <w:r w:rsidRPr="00686050">
              <w:rPr>
                <w:lang w:val="nl-BE"/>
              </w:rPr>
              <w:t xml:space="preserve">- wat er met het geld gebeurt (mag het bv. ook gebruikt worden om schulden af te lossen? </w:t>
            </w:r>
            <w:r w:rsidR="005A0D61">
              <w:t>Wa</w:t>
            </w:r>
            <w:r w:rsidR="005A0D61" w:rsidRPr="00686050">
              <w:t>t</w:t>
            </w:r>
            <w:r w:rsidRPr="00686050">
              <w:t xml:space="preserve"> als klant verandert van leverancier?)</w:t>
            </w:r>
          </w:p>
        </w:tc>
        <w:tc>
          <w:tcPr>
            <w:tcW w:w="6917" w:type="dxa"/>
          </w:tcPr>
          <w:p w14:paraId="65AB0AA6" w14:textId="73B096CA" w:rsidR="00686050" w:rsidRPr="00375AE6" w:rsidRDefault="003903E4" w:rsidP="00CE6118">
            <w:pPr>
              <w:numPr>
                <w:ilvl w:val="0"/>
                <w:numId w:val="4"/>
              </w:numPr>
              <w:contextualSpacing/>
              <w:jc w:val="both"/>
              <w:rPr>
                <w:rFonts w:cstheme="minorHAnsi"/>
                <w:lang w:val="nl-BE"/>
              </w:rPr>
            </w:pPr>
            <w:r w:rsidRPr="005A04EA">
              <w:rPr>
                <w:lang w:val="nl-BE"/>
              </w:rPr>
              <w:t>Besproken</w:t>
            </w:r>
            <w:r w:rsidR="00E65DCF">
              <w:rPr>
                <w:rFonts w:cstheme="minorHAnsi"/>
                <w:lang w:val="nl-BE"/>
              </w:rPr>
              <w:t xml:space="preserve"> met FEBEG</w:t>
            </w:r>
            <w:r w:rsidR="00ED5B71">
              <w:rPr>
                <w:rFonts w:cstheme="minorHAnsi"/>
                <w:lang w:val="nl-BE"/>
              </w:rPr>
              <w:t xml:space="preserve"> 10 mei </w:t>
            </w:r>
            <w:r w:rsidRPr="00375AE6">
              <w:rPr>
                <w:rFonts w:cstheme="minorHAnsi"/>
                <w:lang w:val="nl-BE"/>
              </w:rPr>
              <w:t>2016</w:t>
            </w:r>
            <w:r w:rsidR="00686050">
              <w:rPr>
                <w:rFonts w:cstheme="minorHAnsi"/>
                <w:lang w:val="nl-BE"/>
              </w:rPr>
              <w:t xml:space="preserve">. </w:t>
            </w:r>
            <w:r w:rsidR="005A0D61" w:rsidRPr="005A0D61">
              <w:rPr>
                <w:rFonts w:cstheme="minorHAnsi"/>
                <w:lang w:val="nl-BE"/>
              </w:rPr>
              <w:t>FEBEG</w:t>
            </w:r>
            <w:r w:rsidRPr="00375AE6">
              <w:rPr>
                <w:rFonts w:cstheme="minorHAnsi"/>
                <w:lang w:val="nl-BE"/>
              </w:rPr>
              <w:t xml:space="preserve"> pleit voor commerciële vrijheid. </w:t>
            </w:r>
            <w:r w:rsidR="00ED5B71">
              <w:rPr>
                <w:rFonts w:cstheme="minorHAnsi"/>
                <w:lang w:val="nl-BE"/>
              </w:rPr>
              <w:t>Samenlevingsopbouw bezorgde op 2 juni 2016 een nota met schets</w:t>
            </w:r>
            <w:r w:rsidR="00150968">
              <w:rPr>
                <w:rFonts w:cstheme="minorHAnsi"/>
                <w:lang w:val="nl-BE"/>
              </w:rPr>
              <w:t xml:space="preserve"> van de</w:t>
            </w:r>
            <w:r w:rsidR="00ED5B71">
              <w:rPr>
                <w:rFonts w:cstheme="minorHAnsi"/>
                <w:lang w:val="nl-BE"/>
              </w:rPr>
              <w:t xml:space="preserve"> problematiek en </w:t>
            </w:r>
            <w:r w:rsidR="00150968">
              <w:rPr>
                <w:rFonts w:cstheme="minorHAnsi"/>
                <w:lang w:val="nl-BE"/>
              </w:rPr>
              <w:t xml:space="preserve">hun </w:t>
            </w:r>
            <w:r w:rsidR="00ED5B71">
              <w:rPr>
                <w:rFonts w:cstheme="minorHAnsi"/>
                <w:lang w:val="nl-BE"/>
              </w:rPr>
              <w:t>aanbevelingen</w:t>
            </w:r>
            <w:r w:rsidR="005A04EA">
              <w:rPr>
                <w:rFonts w:cstheme="minorHAnsi"/>
                <w:lang w:val="nl-BE"/>
              </w:rPr>
              <w:t>.</w:t>
            </w:r>
          </w:p>
          <w:p w14:paraId="6DC4782A" w14:textId="77777777" w:rsidR="00ED5B71" w:rsidRDefault="00ED5B71" w:rsidP="00CE6118">
            <w:pPr>
              <w:numPr>
                <w:ilvl w:val="0"/>
                <w:numId w:val="4"/>
              </w:numPr>
              <w:contextualSpacing/>
              <w:jc w:val="both"/>
              <w:rPr>
                <w:rFonts w:cstheme="minorHAnsi"/>
                <w:lang w:val="nl-BE"/>
              </w:rPr>
            </w:pPr>
            <w:r>
              <w:rPr>
                <w:rFonts w:cstheme="minorHAnsi"/>
                <w:lang w:val="nl-BE"/>
              </w:rPr>
              <w:t>Op 10 augustus</w:t>
            </w:r>
            <w:r w:rsidR="00DE2B02">
              <w:rPr>
                <w:rFonts w:cstheme="minorHAnsi"/>
                <w:lang w:val="nl-BE"/>
              </w:rPr>
              <w:t xml:space="preserve"> 2016</w:t>
            </w:r>
            <w:r>
              <w:rPr>
                <w:rFonts w:cstheme="minorHAnsi"/>
                <w:lang w:val="nl-BE"/>
              </w:rPr>
              <w:t xml:space="preserve"> is afgesproken dat de VREG een voorstel uitschrijft</w:t>
            </w:r>
            <w:r w:rsidRPr="00ED5B71">
              <w:rPr>
                <w:rFonts w:cstheme="minorHAnsi"/>
                <w:lang w:val="nl-BE"/>
              </w:rPr>
              <w:t xml:space="preserve"> voor </w:t>
            </w:r>
            <w:r>
              <w:rPr>
                <w:rFonts w:cstheme="minorHAnsi"/>
                <w:lang w:val="nl-BE"/>
              </w:rPr>
              <w:t xml:space="preserve">een </w:t>
            </w:r>
            <w:r w:rsidRPr="00ED5B71">
              <w:rPr>
                <w:rFonts w:cstheme="minorHAnsi"/>
                <w:lang w:val="nl-BE"/>
              </w:rPr>
              <w:t xml:space="preserve">waarborgregeling (goede praktijk </w:t>
            </w:r>
            <w:r w:rsidR="00E65DCF">
              <w:rPr>
                <w:rFonts w:cstheme="minorHAnsi"/>
                <w:lang w:val="nl-BE"/>
              </w:rPr>
              <w:t xml:space="preserve">gelinkt aan </w:t>
            </w:r>
            <w:r w:rsidR="005A04EA">
              <w:rPr>
                <w:rFonts w:cstheme="minorHAnsi"/>
                <w:lang w:val="nl-BE"/>
              </w:rPr>
              <w:t xml:space="preserve">algemene en bijzondere contractuele voorwaarden </w:t>
            </w:r>
            <w:r w:rsidRPr="00ED5B71">
              <w:rPr>
                <w:rFonts w:cstheme="minorHAnsi"/>
                <w:lang w:val="nl-BE"/>
              </w:rPr>
              <w:t>+ voorstel tot monitoring)</w:t>
            </w:r>
          </w:p>
          <w:p w14:paraId="2542D8BF" w14:textId="0DF65E4C" w:rsidR="00ED5B71" w:rsidRPr="00375AE6" w:rsidRDefault="00AE687A" w:rsidP="00CE6118">
            <w:pPr>
              <w:numPr>
                <w:ilvl w:val="0"/>
                <w:numId w:val="4"/>
              </w:numPr>
              <w:contextualSpacing/>
              <w:jc w:val="both"/>
              <w:rPr>
                <w:rFonts w:cstheme="minorHAnsi"/>
                <w:lang w:val="nl-BE"/>
              </w:rPr>
            </w:pPr>
            <w:r w:rsidRPr="008C6721">
              <w:rPr>
                <w:rFonts w:cstheme="minorHAnsi"/>
                <w:lang w:val="nl-BE"/>
              </w:rPr>
              <w:t xml:space="preserve">Het is aanbevolen </w:t>
            </w:r>
            <w:r w:rsidR="002E4D51" w:rsidRPr="008C6721">
              <w:rPr>
                <w:rFonts w:cstheme="minorHAnsi"/>
                <w:lang w:val="nl-BE"/>
              </w:rPr>
              <w:t xml:space="preserve">dat dit </w:t>
            </w:r>
            <w:r w:rsidR="00ED5B71" w:rsidRPr="008C6721">
              <w:rPr>
                <w:rFonts w:cstheme="minorHAnsi"/>
                <w:lang w:val="nl-BE"/>
              </w:rPr>
              <w:t>wordt</w:t>
            </w:r>
            <w:r w:rsidRPr="008C6721">
              <w:rPr>
                <w:rFonts w:cstheme="minorHAnsi"/>
                <w:lang w:val="nl-BE"/>
              </w:rPr>
              <w:t xml:space="preserve"> </w:t>
            </w:r>
            <w:r w:rsidR="002E4D51" w:rsidRPr="008C6721">
              <w:rPr>
                <w:rFonts w:cstheme="minorHAnsi"/>
                <w:lang w:val="nl-BE"/>
              </w:rPr>
              <w:t>opgenomen</w:t>
            </w:r>
            <w:r w:rsidR="00ED5B71" w:rsidRPr="008C6721">
              <w:rPr>
                <w:rFonts w:cstheme="minorHAnsi"/>
                <w:lang w:val="nl-BE"/>
              </w:rPr>
              <w:t xml:space="preserve"> in </w:t>
            </w:r>
            <w:r w:rsidRPr="008C6721">
              <w:rPr>
                <w:rFonts w:cstheme="minorHAnsi"/>
                <w:lang w:val="nl-BE"/>
              </w:rPr>
              <w:t>de herziening van het</w:t>
            </w:r>
            <w:r w:rsidR="00ED5B71" w:rsidRPr="008C6721">
              <w:rPr>
                <w:rFonts w:cstheme="minorHAnsi"/>
                <w:lang w:val="nl-BE"/>
              </w:rPr>
              <w:t xml:space="preserve"> consumentenakkoord (zie actie 3 voor stand van zaken)</w:t>
            </w:r>
            <w:r w:rsidR="00DE2B02" w:rsidRPr="008C6721">
              <w:rPr>
                <w:rFonts w:cstheme="minorHAnsi"/>
                <w:lang w:val="nl-BE"/>
              </w:rPr>
              <w:t>.</w:t>
            </w:r>
            <w:r w:rsidR="00DE2B02">
              <w:rPr>
                <w:rFonts w:cstheme="minorHAnsi"/>
                <w:lang w:val="nl-BE"/>
              </w:rPr>
              <w:t xml:space="preserve"> </w:t>
            </w:r>
          </w:p>
        </w:tc>
      </w:tr>
      <w:tr w:rsidR="003903E4" w:rsidRPr="00686050" w14:paraId="1A67D1A1" w14:textId="77777777" w:rsidTr="00CE6118">
        <w:tc>
          <w:tcPr>
            <w:tcW w:w="699" w:type="dxa"/>
          </w:tcPr>
          <w:p w14:paraId="62FC1C28" w14:textId="77777777" w:rsidR="003903E4" w:rsidRPr="00375AE6" w:rsidRDefault="003903E4" w:rsidP="00CE6118">
            <w:pPr>
              <w:shd w:val="clear" w:color="auto" w:fill="FFFFFF"/>
              <w:rPr>
                <w:rFonts w:cstheme="minorHAnsi"/>
                <w:lang w:val="nl-BE"/>
              </w:rPr>
            </w:pPr>
            <w:r w:rsidRPr="00375AE6">
              <w:rPr>
                <w:rFonts w:cstheme="minorHAnsi"/>
                <w:lang w:val="nl-BE"/>
              </w:rPr>
              <w:t>6</w:t>
            </w:r>
          </w:p>
        </w:tc>
        <w:tc>
          <w:tcPr>
            <w:tcW w:w="7127" w:type="dxa"/>
          </w:tcPr>
          <w:p w14:paraId="7CD10FE8" w14:textId="3F8C3764" w:rsidR="003903E4" w:rsidRPr="00375AE6" w:rsidRDefault="006F3AA9" w:rsidP="00CE6118">
            <w:pPr>
              <w:rPr>
                <w:rFonts w:cstheme="minorHAnsi"/>
                <w:lang w:val="nl-BE"/>
              </w:rPr>
            </w:pPr>
            <w:r>
              <w:rPr>
                <w:rFonts w:cstheme="minorHAnsi"/>
                <w:lang w:val="nl-BE"/>
              </w:rPr>
              <w:t>Deur-aan-deur verkoop: d</w:t>
            </w:r>
            <w:r w:rsidR="003903E4" w:rsidRPr="00375AE6">
              <w:rPr>
                <w:rFonts w:cstheme="minorHAnsi"/>
                <w:lang w:val="nl-BE"/>
              </w:rPr>
              <w:t>e leveranciers via FEBEG verzoeken om onderling systematisch gegevens uit te wisselen over malafide verkopers.</w:t>
            </w:r>
          </w:p>
        </w:tc>
        <w:tc>
          <w:tcPr>
            <w:tcW w:w="6917" w:type="dxa"/>
          </w:tcPr>
          <w:p w14:paraId="7B5C2E44" w14:textId="5D4C19B3" w:rsidR="003903E4" w:rsidRPr="00375AE6" w:rsidRDefault="008F3A24" w:rsidP="00CE6118">
            <w:pPr>
              <w:contextualSpacing/>
              <w:jc w:val="both"/>
              <w:rPr>
                <w:lang w:val="nl-BE"/>
              </w:rPr>
            </w:pPr>
            <w:r>
              <w:rPr>
                <w:lang w:val="nl-BE"/>
              </w:rPr>
              <w:t>FEBEG pakt dit op met de bevoegde federale overheidsdienst</w:t>
            </w:r>
            <w:r w:rsidR="00AE687A">
              <w:rPr>
                <w:lang w:val="nl-BE"/>
              </w:rPr>
              <w:t xml:space="preserve"> voor Consumentenzaken</w:t>
            </w:r>
            <w:r>
              <w:rPr>
                <w:lang w:val="nl-BE"/>
              </w:rPr>
              <w:t xml:space="preserve">. </w:t>
            </w:r>
            <w:r w:rsidR="00ED5B71">
              <w:rPr>
                <w:lang w:val="nl-BE"/>
              </w:rPr>
              <w:t xml:space="preserve">Op basis van </w:t>
            </w:r>
            <w:r>
              <w:rPr>
                <w:lang w:val="nl-BE"/>
              </w:rPr>
              <w:t xml:space="preserve">nog aan te leveren </w:t>
            </w:r>
            <w:r w:rsidR="00ED5B71">
              <w:rPr>
                <w:lang w:val="nl-BE"/>
              </w:rPr>
              <w:t>input van FEBEG</w:t>
            </w:r>
            <w:r>
              <w:rPr>
                <w:lang w:val="nl-BE"/>
              </w:rPr>
              <w:t xml:space="preserve"> zal </w:t>
            </w:r>
            <w:r w:rsidR="006F1460">
              <w:rPr>
                <w:lang w:val="nl-BE"/>
              </w:rPr>
              <w:t xml:space="preserve">ik </w:t>
            </w:r>
            <w:r w:rsidR="002E4D51">
              <w:rPr>
                <w:lang w:val="nl-BE"/>
              </w:rPr>
              <w:t xml:space="preserve"> verder contacten leggen met </w:t>
            </w:r>
            <w:r w:rsidR="00ED5B71">
              <w:rPr>
                <w:lang w:val="nl-BE"/>
              </w:rPr>
              <w:t>de federale minister v</w:t>
            </w:r>
            <w:r>
              <w:rPr>
                <w:lang w:val="nl-BE"/>
              </w:rPr>
              <w:t xml:space="preserve">an </w:t>
            </w:r>
            <w:r w:rsidR="002E4D51">
              <w:rPr>
                <w:lang w:val="nl-BE"/>
              </w:rPr>
              <w:t>C</w:t>
            </w:r>
            <w:r>
              <w:rPr>
                <w:lang w:val="nl-BE"/>
              </w:rPr>
              <w:t xml:space="preserve">onsumentenzaken. </w:t>
            </w:r>
            <w:r w:rsidR="00AE687A">
              <w:rPr>
                <w:lang w:val="nl-BE"/>
              </w:rPr>
              <w:t>Het is aanbevolen dat dit wordt opgenomen in de herziening van het consumentenakkoord (zie actie 3 voor stand van zaken).</w:t>
            </w:r>
          </w:p>
        </w:tc>
      </w:tr>
      <w:tr w:rsidR="003903E4" w:rsidRPr="00686050" w14:paraId="36EC8D83" w14:textId="77777777" w:rsidTr="00CE6118">
        <w:tc>
          <w:tcPr>
            <w:tcW w:w="699" w:type="dxa"/>
          </w:tcPr>
          <w:p w14:paraId="1BE1C8C2" w14:textId="77777777" w:rsidR="003903E4" w:rsidRPr="00375AE6" w:rsidRDefault="003903E4" w:rsidP="00CE6118">
            <w:pPr>
              <w:shd w:val="clear" w:color="auto" w:fill="FFFFFF"/>
              <w:rPr>
                <w:rFonts w:cstheme="minorHAnsi"/>
              </w:rPr>
            </w:pPr>
            <w:r w:rsidRPr="00375AE6">
              <w:rPr>
                <w:rFonts w:cstheme="minorHAnsi"/>
              </w:rPr>
              <w:t>7</w:t>
            </w:r>
          </w:p>
        </w:tc>
        <w:tc>
          <w:tcPr>
            <w:tcW w:w="7127" w:type="dxa"/>
          </w:tcPr>
          <w:p w14:paraId="3FDF87F4" w14:textId="4B82D75F" w:rsidR="003903E4" w:rsidRPr="00375AE6" w:rsidRDefault="006F3AA9" w:rsidP="00CE6118">
            <w:pPr>
              <w:rPr>
                <w:rFonts w:cstheme="minorHAnsi"/>
                <w:lang w:val="nl-BE"/>
              </w:rPr>
            </w:pPr>
            <w:r>
              <w:rPr>
                <w:rFonts w:cstheme="minorHAnsi"/>
                <w:lang w:val="nl-BE"/>
              </w:rPr>
              <w:t>Minimale levering aardgas via aardgasbudgmeter: d</w:t>
            </w:r>
            <w:r w:rsidR="003903E4" w:rsidRPr="00375AE6">
              <w:rPr>
                <w:rFonts w:cstheme="minorHAnsi"/>
                <w:lang w:val="nl-BE"/>
              </w:rPr>
              <w:t>e toepassingsperiode voor de minimale levering aardgas loskoppelen van de periode voor verbod op afsluiting van energielevering en ze standaard vastleggen op 5 maanden met name van november tot en met maart.</w:t>
            </w:r>
          </w:p>
        </w:tc>
        <w:tc>
          <w:tcPr>
            <w:tcW w:w="6917" w:type="dxa"/>
          </w:tcPr>
          <w:p w14:paraId="7D6F6E6F" w14:textId="758D2E33" w:rsidR="003903E4" w:rsidRPr="00375AE6" w:rsidRDefault="008F3A24" w:rsidP="00CE6118">
            <w:pPr>
              <w:contextualSpacing/>
              <w:jc w:val="both"/>
              <w:rPr>
                <w:rFonts w:cstheme="minorHAnsi"/>
                <w:lang w:val="nl-BE"/>
              </w:rPr>
            </w:pPr>
            <w:r w:rsidRPr="008F3A24">
              <w:rPr>
                <w:rFonts w:cstheme="minorHAnsi"/>
                <w:lang w:val="nl-BE"/>
              </w:rPr>
              <w:t>Definitief goedgekeurd door de Vlaamse Regering</w:t>
            </w:r>
            <w:r w:rsidR="00E65DCF">
              <w:rPr>
                <w:rFonts w:cstheme="minorHAnsi"/>
                <w:lang w:val="nl-BE"/>
              </w:rPr>
              <w:t xml:space="preserve"> op 15 juli 2016</w:t>
            </w:r>
            <w:r w:rsidR="006F1460">
              <w:rPr>
                <w:rFonts w:cstheme="minorHAnsi"/>
                <w:lang w:val="nl-BE"/>
              </w:rPr>
              <w:t xml:space="preserve"> en i</w:t>
            </w:r>
            <w:r>
              <w:rPr>
                <w:rFonts w:cstheme="minorHAnsi"/>
                <w:lang w:val="nl-BE"/>
              </w:rPr>
              <w:t>mplementatie vanaf november 2016.</w:t>
            </w:r>
          </w:p>
        </w:tc>
      </w:tr>
      <w:tr w:rsidR="003903E4" w:rsidRPr="00686050" w14:paraId="56DF7AAB" w14:textId="77777777" w:rsidTr="00CE6118">
        <w:tc>
          <w:tcPr>
            <w:tcW w:w="699" w:type="dxa"/>
          </w:tcPr>
          <w:p w14:paraId="2BFDB7BA" w14:textId="77777777" w:rsidR="003903E4" w:rsidRPr="00375AE6" w:rsidRDefault="003903E4" w:rsidP="00CE6118">
            <w:pPr>
              <w:shd w:val="clear" w:color="auto" w:fill="FFFFFF"/>
              <w:rPr>
                <w:rFonts w:cstheme="minorHAnsi"/>
              </w:rPr>
            </w:pPr>
            <w:r w:rsidRPr="00375AE6">
              <w:rPr>
                <w:rFonts w:cstheme="minorHAnsi"/>
              </w:rPr>
              <w:t>8</w:t>
            </w:r>
          </w:p>
        </w:tc>
        <w:tc>
          <w:tcPr>
            <w:tcW w:w="7127" w:type="dxa"/>
          </w:tcPr>
          <w:p w14:paraId="3F7E2BF1" w14:textId="195179AE" w:rsidR="003903E4" w:rsidRPr="00375AE6" w:rsidRDefault="006B4AC4" w:rsidP="00CE6118">
            <w:pPr>
              <w:rPr>
                <w:lang w:val="nl-BE"/>
              </w:rPr>
            </w:pPr>
            <w:r w:rsidRPr="00450F2E">
              <w:rPr>
                <w:lang w:val="nl-BE"/>
              </w:rPr>
              <w:t>Bundeling van middele</w:t>
            </w:r>
            <w:r w:rsidR="006F3AA9">
              <w:rPr>
                <w:lang w:val="nl-BE"/>
              </w:rPr>
              <w:t>n:</w:t>
            </w:r>
            <w:r w:rsidR="00F9745E">
              <w:rPr>
                <w:lang w:val="nl-BE"/>
              </w:rPr>
              <w:t xml:space="preserve"> </w:t>
            </w:r>
            <w:r w:rsidR="006F3AA9">
              <w:rPr>
                <w:lang w:val="nl-BE"/>
              </w:rPr>
              <w:t>o</w:t>
            </w:r>
            <w:r w:rsidR="00450F2E" w:rsidRPr="00450F2E">
              <w:rPr>
                <w:lang w:val="nl-BE"/>
              </w:rPr>
              <w:t xml:space="preserve">m te komen tot een vereenvoudiging, verhoogde efficiëntie én maatwerk, kan overwogen worden om de verschillende middelen die er vandaag zijn vanuit verschillende instanties zoals stookoliefonds, minimale levering aardgas, het federale Energiefonds... te bundelen tot één fonds waarbij het OCMW een cruciale rol speelt bij het toekennen op basis van een sociaal onderzoek ongeacht over welke energie het gaat. </w:t>
            </w:r>
            <w:r w:rsidR="00450F2E">
              <w:rPr>
                <w:rFonts w:cstheme="minorHAnsi"/>
                <w:lang w:val="nl-BE"/>
              </w:rPr>
              <w:t>V</w:t>
            </w:r>
            <w:r w:rsidR="003903E4" w:rsidRPr="00375AE6">
              <w:rPr>
                <w:rFonts w:cstheme="minorHAnsi"/>
                <w:lang w:val="nl-BE"/>
              </w:rPr>
              <w:t>erder onderzoek en contacten met het federale niveau met als doel het voorleggen van een aanbeveling tegen eind 2016.</w:t>
            </w:r>
          </w:p>
        </w:tc>
        <w:tc>
          <w:tcPr>
            <w:tcW w:w="6917" w:type="dxa"/>
          </w:tcPr>
          <w:p w14:paraId="6668A06E" w14:textId="0C870A85" w:rsidR="003903E4" w:rsidRPr="00375AE6" w:rsidRDefault="00215BB7" w:rsidP="00CE6118">
            <w:pPr>
              <w:contextualSpacing/>
              <w:jc w:val="both"/>
              <w:rPr>
                <w:rFonts w:cstheme="minorHAnsi"/>
                <w:lang w:val="nl-BE"/>
              </w:rPr>
            </w:pPr>
            <w:r w:rsidRPr="008C6721">
              <w:rPr>
                <w:rFonts w:cstheme="minorHAnsi"/>
                <w:lang w:val="nl-BE"/>
              </w:rPr>
              <w:t>Ik heb</w:t>
            </w:r>
            <w:r w:rsidR="00450F2E" w:rsidRPr="008C6721">
              <w:rPr>
                <w:rFonts w:cstheme="minorHAnsi"/>
                <w:lang w:val="nl-BE"/>
              </w:rPr>
              <w:t xml:space="preserve"> op 10 oktober 2016 een brief</w:t>
            </w:r>
            <w:r w:rsidRPr="008C6721">
              <w:rPr>
                <w:rFonts w:cstheme="minorHAnsi"/>
                <w:lang w:val="nl-BE"/>
              </w:rPr>
              <w:t xml:space="preserve"> verzonden</w:t>
            </w:r>
            <w:r w:rsidR="00450F2E" w:rsidRPr="008C6721">
              <w:rPr>
                <w:rFonts w:cstheme="minorHAnsi"/>
                <w:lang w:val="nl-BE"/>
              </w:rPr>
              <w:t xml:space="preserve"> naar </w:t>
            </w:r>
            <w:r w:rsidRPr="008C6721">
              <w:rPr>
                <w:rFonts w:cstheme="minorHAnsi"/>
                <w:lang w:val="nl-BE"/>
              </w:rPr>
              <w:t>mijn</w:t>
            </w:r>
            <w:r w:rsidR="00F9745E" w:rsidRPr="008C6721">
              <w:rPr>
                <w:rFonts w:cstheme="minorHAnsi"/>
                <w:lang w:val="nl-BE"/>
              </w:rPr>
              <w:t xml:space="preserve"> </w:t>
            </w:r>
            <w:r w:rsidR="00450F2E" w:rsidRPr="008C6721">
              <w:rPr>
                <w:rFonts w:cstheme="minorHAnsi"/>
                <w:lang w:val="nl-BE"/>
              </w:rPr>
              <w:t>federale collega voor energie, leefmilieu en duurzame ontwikkeling</w:t>
            </w:r>
            <w:r w:rsidRPr="008C6721">
              <w:rPr>
                <w:rFonts w:cstheme="minorHAnsi"/>
                <w:lang w:val="nl-BE"/>
              </w:rPr>
              <w:t xml:space="preserve"> Ministe</w:t>
            </w:r>
            <w:r w:rsidR="00F9745E" w:rsidRPr="008C6721">
              <w:rPr>
                <w:rFonts w:cstheme="minorHAnsi"/>
                <w:lang w:val="nl-BE"/>
              </w:rPr>
              <w:t xml:space="preserve">r </w:t>
            </w:r>
            <w:r w:rsidR="00450F2E" w:rsidRPr="008C6721">
              <w:rPr>
                <w:rFonts w:cstheme="minorHAnsi"/>
                <w:lang w:val="nl-BE"/>
              </w:rPr>
              <w:t>Marg</w:t>
            </w:r>
            <w:r w:rsidR="00E65DCF" w:rsidRPr="008C6721">
              <w:rPr>
                <w:rFonts w:cstheme="minorHAnsi"/>
                <w:lang w:val="nl-BE"/>
              </w:rPr>
              <w:t>h</w:t>
            </w:r>
            <w:r w:rsidR="00450F2E" w:rsidRPr="008C6721">
              <w:rPr>
                <w:rFonts w:cstheme="minorHAnsi"/>
                <w:lang w:val="nl-BE"/>
              </w:rPr>
              <w:t>em</w:t>
            </w:r>
            <w:r w:rsidRPr="008C6721">
              <w:rPr>
                <w:rFonts w:cstheme="minorHAnsi"/>
                <w:lang w:val="nl-BE"/>
              </w:rPr>
              <w:t xml:space="preserve"> en mijn federale collega voor werk, economie en consumenten Minister Peeters</w:t>
            </w:r>
            <w:r w:rsidR="00450F2E" w:rsidRPr="008C6721">
              <w:rPr>
                <w:rFonts w:cstheme="minorHAnsi"/>
                <w:lang w:val="nl-BE"/>
              </w:rPr>
              <w:t xml:space="preserve"> met een uitnodiging om  hierover in gesprek te gaan.</w:t>
            </w:r>
          </w:p>
        </w:tc>
      </w:tr>
      <w:tr w:rsidR="003903E4" w:rsidRPr="00686050" w14:paraId="650B8CB5" w14:textId="77777777" w:rsidTr="00CE6118">
        <w:tc>
          <w:tcPr>
            <w:tcW w:w="699" w:type="dxa"/>
          </w:tcPr>
          <w:p w14:paraId="5671E2BD" w14:textId="77777777" w:rsidR="003903E4" w:rsidRPr="00375AE6" w:rsidRDefault="003903E4" w:rsidP="00CE6118">
            <w:pPr>
              <w:shd w:val="clear" w:color="auto" w:fill="FFFFFF"/>
              <w:rPr>
                <w:rFonts w:cstheme="minorHAnsi"/>
              </w:rPr>
            </w:pPr>
            <w:r w:rsidRPr="00375AE6">
              <w:rPr>
                <w:rFonts w:cstheme="minorHAnsi"/>
              </w:rPr>
              <w:lastRenderedPageBreak/>
              <w:t>9</w:t>
            </w:r>
          </w:p>
        </w:tc>
        <w:tc>
          <w:tcPr>
            <w:tcW w:w="7127" w:type="dxa"/>
          </w:tcPr>
          <w:p w14:paraId="6A1446B9" w14:textId="4E685C7E" w:rsidR="003903E4" w:rsidRPr="00375AE6" w:rsidRDefault="006F3AA9" w:rsidP="00CE6118">
            <w:pPr>
              <w:rPr>
                <w:rFonts w:cstheme="minorHAnsi"/>
                <w:lang w:val="nl-BE"/>
              </w:rPr>
            </w:pPr>
            <w:r>
              <w:rPr>
                <w:rFonts w:cstheme="minorHAnsi"/>
                <w:lang w:val="nl-BE"/>
              </w:rPr>
              <w:t>Bud</w:t>
            </w:r>
            <w:r w:rsidR="00F9745E">
              <w:rPr>
                <w:rFonts w:cstheme="minorHAnsi"/>
                <w:lang w:val="nl-BE"/>
              </w:rPr>
              <w:t>getmeters en stroombegrenzers: on</w:t>
            </w:r>
            <w:r w:rsidR="003903E4" w:rsidRPr="00375AE6">
              <w:rPr>
                <w:rFonts w:cstheme="minorHAnsi"/>
                <w:lang w:val="nl-BE"/>
              </w:rPr>
              <w:t>derzoek door de distributienetbeheerders opstarten naar opties voor a) het aanbieden van verbruiksmonitoring aan klanten die na drop door de netbeheerder worden beleverd en b) het sneller en/of op vraag kunnen aanbieden van de voorafbetalingsfunctionaliteit zoals die nu exclusief gekoppeld is aan de budgetmeter en c) het op verzoek van een klant plaatsen van een budgetmeter.</w:t>
            </w:r>
          </w:p>
        </w:tc>
        <w:tc>
          <w:tcPr>
            <w:tcW w:w="6917" w:type="dxa"/>
          </w:tcPr>
          <w:p w14:paraId="26EA0DC9" w14:textId="77777777" w:rsidR="00450F2E" w:rsidRPr="00686050" w:rsidRDefault="00450F2E" w:rsidP="00CE6118">
            <w:pPr>
              <w:pStyle w:val="Lijstalinea"/>
              <w:numPr>
                <w:ilvl w:val="0"/>
                <w:numId w:val="4"/>
              </w:numPr>
              <w:jc w:val="both"/>
              <w:rPr>
                <w:rFonts w:cstheme="minorHAnsi"/>
                <w:lang w:val="nl-BE"/>
              </w:rPr>
            </w:pPr>
            <w:r w:rsidRPr="00686050">
              <w:rPr>
                <w:rFonts w:cstheme="minorHAnsi"/>
                <w:lang w:val="nl-BE"/>
              </w:rPr>
              <w:t xml:space="preserve">Besproken </w:t>
            </w:r>
            <w:r w:rsidR="00E65DCF">
              <w:rPr>
                <w:rFonts w:cstheme="minorHAnsi"/>
                <w:lang w:val="nl-BE"/>
              </w:rPr>
              <w:t xml:space="preserve">met de distributienetbeheerders en FEBEG </w:t>
            </w:r>
            <w:r w:rsidRPr="00686050">
              <w:rPr>
                <w:rFonts w:cstheme="minorHAnsi"/>
                <w:lang w:val="nl-BE"/>
              </w:rPr>
              <w:t>op 10 mei 2016</w:t>
            </w:r>
          </w:p>
          <w:p w14:paraId="7C1FA50B" w14:textId="1BAEC37F" w:rsidR="00450F2E" w:rsidRPr="00375AE6" w:rsidRDefault="008052C4" w:rsidP="00CE6118">
            <w:pPr>
              <w:numPr>
                <w:ilvl w:val="0"/>
                <w:numId w:val="4"/>
              </w:numPr>
              <w:contextualSpacing/>
              <w:jc w:val="both"/>
              <w:rPr>
                <w:lang w:val="nl-BE"/>
              </w:rPr>
            </w:pPr>
            <w:r w:rsidRPr="00FA6E02">
              <w:rPr>
                <w:rFonts w:cstheme="minorHAnsi"/>
                <w:lang w:val="nl-BE"/>
              </w:rPr>
              <w:t>Er wordt ge</w:t>
            </w:r>
            <w:r w:rsidR="004E7D9A">
              <w:rPr>
                <w:rFonts w:cstheme="minorHAnsi"/>
                <w:lang w:val="nl-BE"/>
              </w:rPr>
              <w:t xml:space="preserve">wezen op de komst van de digitale </w:t>
            </w:r>
            <w:r w:rsidRPr="00FA6E02">
              <w:rPr>
                <w:rFonts w:cstheme="minorHAnsi"/>
                <w:lang w:val="nl-BE"/>
              </w:rPr>
              <w:t xml:space="preserve">meter. </w:t>
            </w:r>
            <w:r w:rsidRPr="00FA6E02">
              <w:rPr>
                <w:lang w:val="nl-BE"/>
              </w:rPr>
              <w:t xml:space="preserve">Leveranciers zouden </w:t>
            </w:r>
            <w:r w:rsidR="00AE687A">
              <w:rPr>
                <w:lang w:val="nl-BE"/>
              </w:rPr>
              <w:t>momenteel al</w:t>
            </w:r>
            <w:r w:rsidRPr="00FA6E02">
              <w:rPr>
                <w:lang w:val="nl-BE"/>
              </w:rPr>
              <w:t xml:space="preserve"> </w:t>
            </w:r>
            <w:r w:rsidR="0043734A">
              <w:rPr>
                <w:lang w:val="nl-BE"/>
              </w:rPr>
              <w:t>bestaande mogelijkheden/tools voor verbruiks</w:t>
            </w:r>
            <w:r w:rsidRPr="00FA6E02">
              <w:rPr>
                <w:lang w:val="nl-BE"/>
              </w:rPr>
              <w:t xml:space="preserve">monitoring </w:t>
            </w:r>
            <w:r w:rsidRPr="008052C4">
              <w:rPr>
                <w:lang w:val="nl-BE"/>
              </w:rPr>
              <w:t xml:space="preserve">kunnen promoten via de factuur. </w:t>
            </w:r>
            <w:r>
              <w:rPr>
                <w:lang w:val="nl-BE"/>
              </w:rPr>
              <w:t>FEBEG toetst</w:t>
            </w:r>
            <w:r w:rsidR="00711EBC">
              <w:rPr>
                <w:lang w:val="nl-BE"/>
              </w:rPr>
              <w:t xml:space="preserve"> momenteel</w:t>
            </w:r>
            <w:r>
              <w:rPr>
                <w:lang w:val="nl-BE"/>
              </w:rPr>
              <w:t xml:space="preserve"> dit </w:t>
            </w:r>
            <w:r w:rsidR="00775888">
              <w:rPr>
                <w:lang w:val="nl-BE"/>
              </w:rPr>
              <w:t>ide</w:t>
            </w:r>
            <w:r>
              <w:rPr>
                <w:lang w:val="nl-BE"/>
              </w:rPr>
              <w:t>e nog af met de leveranciers.</w:t>
            </w:r>
          </w:p>
        </w:tc>
      </w:tr>
      <w:tr w:rsidR="003903E4" w:rsidRPr="00686050" w14:paraId="127EA3B1" w14:textId="77777777" w:rsidTr="00CE6118">
        <w:tc>
          <w:tcPr>
            <w:tcW w:w="699" w:type="dxa"/>
          </w:tcPr>
          <w:p w14:paraId="0721E362" w14:textId="77777777" w:rsidR="003903E4" w:rsidRPr="008C6721" w:rsidRDefault="003903E4" w:rsidP="00CE6118">
            <w:pPr>
              <w:shd w:val="clear" w:color="auto" w:fill="FFFFFF"/>
              <w:spacing w:before="100" w:beforeAutospacing="1" w:after="100" w:afterAutospacing="1"/>
              <w:rPr>
                <w:rFonts w:cstheme="minorHAnsi"/>
              </w:rPr>
            </w:pPr>
            <w:r w:rsidRPr="008C6721">
              <w:rPr>
                <w:rFonts w:cstheme="minorHAnsi"/>
              </w:rPr>
              <w:t>10</w:t>
            </w:r>
          </w:p>
        </w:tc>
        <w:tc>
          <w:tcPr>
            <w:tcW w:w="7127" w:type="dxa"/>
          </w:tcPr>
          <w:p w14:paraId="3A1CE218" w14:textId="2FA8BFB1" w:rsidR="003903E4" w:rsidRPr="008C6721" w:rsidRDefault="006F3AA9" w:rsidP="00CE6118">
            <w:pPr>
              <w:rPr>
                <w:rFonts w:cstheme="minorHAnsi"/>
                <w:lang w:val="nl-BE"/>
              </w:rPr>
            </w:pPr>
            <w:r w:rsidRPr="008C6721">
              <w:rPr>
                <w:rFonts w:cstheme="minorHAnsi"/>
                <w:lang w:val="nl-BE"/>
              </w:rPr>
              <w:t>Budgetmeters en stroombegrenzers: e</w:t>
            </w:r>
            <w:r w:rsidR="003903E4" w:rsidRPr="008C6721">
              <w:rPr>
                <w:rFonts w:cstheme="minorHAnsi"/>
                <w:lang w:val="nl-BE"/>
              </w:rPr>
              <w:t>en garantie op de ononderbroken beschikbaarheid van de 10 ampèrefunctie opnemen in de regelgeving</w:t>
            </w:r>
          </w:p>
        </w:tc>
        <w:tc>
          <w:tcPr>
            <w:tcW w:w="6917" w:type="dxa"/>
          </w:tcPr>
          <w:p w14:paraId="011A951B" w14:textId="1632609F" w:rsidR="00FA6E02" w:rsidRPr="008C6721" w:rsidRDefault="00FA6E02" w:rsidP="00CE6118">
            <w:pPr>
              <w:pStyle w:val="Lijstalinea"/>
              <w:numPr>
                <w:ilvl w:val="0"/>
                <w:numId w:val="4"/>
              </w:numPr>
              <w:jc w:val="both"/>
              <w:rPr>
                <w:rFonts w:cstheme="minorHAnsi"/>
                <w:lang w:val="nl-BE"/>
              </w:rPr>
            </w:pPr>
            <w:r w:rsidRPr="008C6721">
              <w:rPr>
                <w:rFonts w:cstheme="minorHAnsi"/>
                <w:lang w:val="nl-BE"/>
              </w:rPr>
              <w:t>Besproken met distributienetbeheerders</w:t>
            </w:r>
            <w:r w:rsidR="005656E3" w:rsidRPr="008C6721">
              <w:rPr>
                <w:rFonts w:cstheme="minorHAnsi"/>
                <w:lang w:val="nl-BE"/>
              </w:rPr>
              <w:t>, het VVSG en de VREG</w:t>
            </w:r>
            <w:r w:rsidRPr="008C6721">
              <w:rPr>
                <w:rFonts w:cstheme="minorHAnsi"/>
                <w:lang w:val="nl-BE"/>
              </w:rPr>
              <w:t xml:space="preserve"> op</w:t>
            </w:r>
            <w:r w:rsidR="003903E4" w:rsidRPr="008C6721">
              <w:rPr>
                <w:rFonts w:cstheme="minorHAnsi"/>
                <w:lang w:val="nl-BE"/>
              </w:rPr>
              <w:t xml:space="preserve"> </w:t>
            </w:r>
            <w:r w:rsidRPr="008C6721">
              <w:rPr>
                <w:rFonts w:cstheme="minorHAnsi"/>
                <w:lang w:val="nl-BE"/>
              </w:rPr>
              <w:t>10 mei en op 29 september 201</w:t>
            </w:r>
            <w:r w:rsidR="006F1460" w:rsidRPr="008C6721">
              <w:rPr>
                <w:rFonts w:cstheme="minorHAnsi"/>
                <w:lang w:val="nl-BE"/>
              </w:rPr>
              <w:t>6</w:t>
            </w:r>
            <w:r w:rsidRPr="008C6721">
              <w:rPr>
                <w:rFonts w:cstheme="minorHAnsi"/>
                <w:lang w:val="nl-BE"/>
              </w:rPr>
              <w:t xml:space="preserve">. </w:t>
            </w:r>
          </w:p>
          <w:p w14:paraId="73D6CCE0" w14:textId="227ED913" w:rsidR="003903E4" w:rsidRPr="008C6721" w:rsidRDefault="0068364D" w:rsidP="00CE6118">
            <w:pPr>
              <w:pStyle w:val="Lijstalinea"/>
              <w:numPr>
                <w:ilvl w:val="0"/>
                <w:numId w:val="4"/>
              </w:numPr>
              <w:jc w:val="both"/>
              <w:rPr>
                <w:lang w:val="nl-BE"/>
              </w:rPr>
            </w:pPr>
            <w:r w:rsidRPr="008C6721">
              <w:rPr>
                <w:lang w:val="nl-BE"/>
              </w:rPr>
              <w:t>De</w:t>
            </w:r>
            <w:r w:rsidR="00572514" w:rsidRPr="008C6721">
              <w:rPr>
                <w:lang w:val="nl-BE"/>
              </w:rPr>
              <w:t xml:space="preserve"> punten</w:t>
            </w:r>
            <w:r w:rsidRPr="008C6721">
              <w:rPr>
                <w:lang w:val="nl-BE"/>
              </w:rPr>
              <w:t xml:space="preserve"> worden momenteel</w:t>
            </w:r>
            <w:r w:rsidR="00572514" w:rsidRPr="008C6721">
              <w:rPr>
                <w:lang w:val="nl-BE"/>
              </w:rPr>
              <w:t xml:space="preserve"> verder uitgewerkt met het oog op een ontwerp voor wijzigingsbesluit inclusief armoedetoets in het voorjaar van 2017.</w:t>
            </w:r>
          </w:p>
        </w:tc>
      </w:tr>
      <w:tr w:rsidR="003903E4" w:rsidRPr="00686050" w14:paraId="415E1D6F" w14:textId="77777777" w:rsidTr="00CE6118">
        <w:tc>
          <w:tcPr>
            <w:tcW w:w="699" w:type="dxa"/>
          </w:tcPr>
          <w:p w14:paraId="1F5A7520" w14:textId="77777777" w:rsidR="003903E4" w:rsidRPr="00375AE6" w:rsidRDefault="003903E4" w:rsidP="00CE6118">
            <w:pPr>
              <w:shd w:val="clear" w:color="auto" w:fill="FFFFFF"/>
              <w:spacing w:before="100" w:beforeAutospacing="1" w:after="100" w:afterAutospacing="1"/>
              <w:rPr>
                <w:rFonts w:cstheme="minorHAnsi"/>
              </w:rPr>
            </w:pPr>
            <w:r w:rsidRPr="00375AE6">
              <w:rPr>
                <w:rFonts w:cstheme="minorHAnsi"/>
              </w:rPr>
              <w:t>11</w:t>
            </w:r>
          </w:p>
        </w:tc>
        <w:tc>
          <w:tcPr>
            <w:tcW w:w="7127" w:type="dxa"/>
          </w:tcPr>
          <w:p w14:paraId="6C4C0C76" w14:textId="775A7635" w:rsidR="003903E4" w:rsidRPr="00375AE6" w:rsidRDefault="006F3AA9" w:rsidP="00CE6118">
            <w:pPr>
              <w:rPr>
                <w:rFonts w:cstheme="minorHAnsi"/>
                <w:lang w:val="nl-BE"/>
              </w:rPr>
            </w:pPr>
            <w:r w:rsidRPr="008C6721">
              <w:rPr>
                <w:rFonts w:cstheme="minorHAnsi"/>
                <w:lang w:val="nl-BE"/>
              </w:rPr>
              <w:t>Budgetmeters en stroombegrenzers: h</w:t>
            </w:r>
            <w:r w:rsidR="003903E4" w:rsidRPr="00375AE6">
              <w:rPr>
                <w:rFonts w:cstheme="minorHAnsi"/>
                <w:lang w:val="nl-BE"/>
              </w:rPr>
              <w:t>et zo snel mogelijk invoeren van een verbod op de plaatsing van autonome stroombegrenzer.</w:t>
            </w:r>
          </w:p>
        </w:tc>
        <w:tc>
          <w:tcPr>
            <w:tcW w:w="6917" w:type="dxa"/>
          </w:tcPr>
          <w:p w14:paraId="3C8701C7" w14:textId="238A4472" w:rsidR="003903E4" w:rsidRDefault="00C86EC7" w:rsidP="00CE6118">
            <w:pPr>
              <w:contextualSpacing/>
              <w:jc w:val="both"/>
              <w:rPr>
                <w:rFonts w:cstheme="minorHAnsi"/>
                <w:lang w:val="nl-BE"/>
              </w:rPr>
            </w:pPr>
            <w:r>
              <w:rPr>
                <w:rFonts w:cstheme="minorHAnsi"/>
                <w:lang w:val="nl-BE"/>
              </w:rPr>
              <w:t>In bespreking. Wel is reeds opgenomen dat tegen</w:t>
            </w:r>
            <w:r w:rsidR="00152701">
              <w:rPr>
                <w:rFonts w:cstheme="minorHAnsi"/>
                <w:lang w:val="nl-BE"/>
              </w:rPr>
              <w:t xml:space="preserve"> 1 juli </w:t>
            </w:r>
            <w:r w:rsidR="00152701" w:rsidRPr="008C6721">
              <w:rPr>
                <w:rFonts w:cstheme="minorHAnsi"/>
                <w:lang w:val="nl-BE"/>
              </w:rPr>
              <w:t>2017</w:t>
            </w:r>
            <w:r>
              <w:rPr>
                <w:rFonts w:cstheme="minorHAnsi"/>
                <w:lang w:val="nl-BE"/>
              </w:rPr>
              <w:t xml:space="preserve"> - </w:t>
            </w:r>
            <w:r w:rsidR="00294F02">
              <w:rPr>
                <w:rFonts w:cstheme="minorHAnsi"/>
                <w:lang w:val="nl-BE"/>
              </w:rPr>
              <w:t>vervat in het ontwerp- decreet EPB-evaluatie dat ingediend is in het Vlaams Parlement</w:t>
            </w:r>
            <w:r>
              <w:rPr>
                <w:rFonts w:cstheme="minorHAnsi"/>
                <w:lang w:val="nl-BE"/>
              </w:rPr>
              <w:t xml:space="preserve"> - de DNB’s de stroombegrenzers bij toegangspunten die beleverd worden door commerciële leveranciers weggenomen worden</w:t>
            </w:r>
            <w:bookmarkStart w:id="0" w:name="_GoBack"/>
            <w:bookmarkEnd w:id="0"/>
            <w:r w:rsidR="00294F02">
              <w:rPr>
                <w:rFonts w:cstheme="minorHAnsi"/>
                <w:lang w:val="nl-BE"/>
              </w:rPr>
              <w:t>.</w:t>
            </w:r>
          </w:p>
          <w:p w14:paraId="225C1353" w14:textId="77777777" w:rsidR="00152701" w:rsidRPr="00375AE6" w:rsidRDefault="00152701" w:rsidP="00CE6118">
            <w:pPr>
              <w:ind w:left="1080"/>
              <w:contextualSpacing/>
              <w:jc w:val="both"/>
              <w:rPr>
                <w:rFonts w:cstheme="minorHAnsi"/>
                <w:lang w:val="nl-BE"/>
              </w:rPr>
            </w:pPr>
          </w:p>
        </w:tc>
      </w:tr>
      <w:tr w:rsidR="003903E4" w:rsidRPr="00686050" w14:paraId="6DCD474F" w14:textId="77777777" w:rsidTr="00CE6118">
        <w:tc>
          <w:tcPr>
            <w:tcW w:w="699" w:type="dxa"/>
          </w:tcPr>
          <w:p w14:paraId="529C13B3" w14:textId="77777777" w:rsidR="003903E4" w:rsidRPr="00375AE6" w:rsidRDefault="003903E4" w:rsidP="00CE6118">
            <w:pPr>
              <w:shd w:val="clear" w:color="auto" w:fill="FFFFFF"/>
              <w:spacing w:before="100" w:beforeAutospacing="1" w:after="100" w:afterAutospacing="1"/>
              <w:rPr>
                <w:rFonts w:cstheme="minorHAnsi"/>
              </w:rPr>
            </w:pPr>
            <w:r w:rsidRPr="00375AE6">
              <w:rPr>
                <w:rFonts w:cstheme="minorHAnsi"/>
              </w:rPr>
              <w:t>12</w:t>
            </w:r>
          </w:p>
        </w:tc>
        <w:tc>
          <w:tcPr>
            <w:tcW w:w="7127" w:type="dxa"/>
          </w:tcPr>
          <w:p w14:paraId="48AC94D7" w14:textId="60AC8534" w:rsidR="003903E4" w:rsidRPr="00375AE6" w:rsidRDefault="00AE747E" w:rsidP="00CE6118">
            <w:pPr>
              <w:rPr>
                <w:rFonts w:cstheme="minorHAnsi"/>
                <w:lang w:val="nl-BE"/>
              </w:rPr>
            </w:pPr>
            <w:r>
              <w:rPr>
                <w:rFonts w:cstheme="minorHAnsi"/>
                <w:lang w:val="nl-BE"/>
              </w:rPr>
              <w:t>Schuldafbouw</w:t>
            </w:r>
            <w:r w:rsidR="006F3AA9">
              <w:rPr>
                <w:rFonts w:cstheme="minorHAnsi"/>
                <w:lang w:val="nl-BE"/>
              </w:rPr>
              <w:t>systeem</w:t>
            </w:r>
            <w:r>
              <w:rPr>
                <w:rFonts w:cstheme="minorHAnsi"/>
                <w:lang w:val="nl-BE"/>
              </w:rPr>
              <w:t xml:space="preserve"> </w:t>
            </w:r>
            <w:r w:rsidR="006F3AA9">
              <w:rPr>
                <w:rFonts w:cstheme="minorHAnsi"/>
                <w:lang w:val="nl-BE"/>
              </w:rPr>
              <w:t>in</w:t>
            </w:r>
            <w:r>
              <w:rPr>
                <w:rFonts w:cstheme="minorHAnsi"/>
                <w:lang w:val="nl-BE"/>
              </w:rPr>
              <w:t xml:space="preserve"> de budgetmeters: </w:t>
            </w:r>
            <w:r w:rsidR="003903E4" w:rsidRPr="00375AE6">
              <w:rPr>
                <w:rFonts w:cstheme="minorHAnsi"/>
                <w:lang w:val="nl-BE"/>
              </w:rPr>
              <w:t>samen met de netbeheerders en armoedeorganisaties bestuderen of hier optimalisaties mogelijk zijn die de belangen van de netbeheerders verzoenen met die van de klant.</w:t>
            </w:r>
          </w:p>
        </w:tc>
        <w:tc>
          <w:tcPr>
            <w:tcW w:w="6917" w:type="dxa"/>
          </w:tcPr>
          <w:p w14:paraId="1FD6DBA4" w14:textId="77777777" w:rsidR="00AE747E" w:rsidRDefault="00AE747E" w:rsidP="00CE6118">
            <w:pPr>
              <w:numPr>
                <w:ilvl w:val="0"/>
                <w:numId w:val="4"/>
              </w:numPr>
              <w:contextualSpacing/>
              <w:jc w:val="both"/>
              <w:rPr>
                <w:rFonts w:cstheme="minorHAnsi"/>
                <w:lang w:val="nl-BE"/>
              </w:rPr>
            </w:pPr>
            <w:r w:rsidRPr="00FA6E02">
              <w:rPr>
                <w:rFonts w:cstheme="minorHAnsi"/>
                <w:lang w:val="nl-BE"/>
              </w:rPr>
              <w:t>B</w:t>
            </w:r>
            <w:r>
              <w:rPr>
                <w:rFonts w:cstheme="minorHAnsi"/>
                <w:lang w:val="nl-BE"/>
              </w:rPr>
              <w:t>esproken met distributienetbeheerders op</w:t>
            </w:r>
            <w:r w:rsidRPr="00375AE6">
              <w:rPr>
                <w:rFonts w:cstheme="minorHAnsi"/>
                <w:lang w:val="nl-BE"/>
              </w:rPr>
              <w:t xml:space="preserve"> </w:t>
            </w:r>
            <w:r w:rsidRPr="00FA6E02">
              <w:rPr>
                <w:rFonts w:cstheme="minorHAnsi"/>
                <w:lang w:val="nl-BE"/>
              </w:rPr>
              <w:t>10 mei en op 29 september 2015</w:t>
            </w:r>
            <w:r>
              <w:rPr>
                <w:rFonts w:cstheme="minorHAnsi"/>
                <w:lang w:val="nl-BE"/>
              </w:rPr>
              <w:t xml:space="preserve">. </w:t>
            </w:r>
          </w:p>
          <w:p w14:paraId="10B4ECC3" w14:textId="6F21CE96" w:rsidR="003903E4" w:rsidRPr="00375AE6" w:rsidRDefault="00711EBC" w:rsidP="00CE6118">
            <w:pPr>
              <w:numPr>
                <w:ilvl w:val="0"/>
                <w:numId w:val="4"/>
              </w:numPr>
              <w:contextualSpacing/>
              <w:jc w:val="both"/>
              <w:rPr>
                <w:rFonts w:cstheme="minorHAnsi"/>
                <w:lang w:val="nl-BE"/>
              </w:rPr>
            </w:pPr>
            <w:r>
              <w:rPr>
                <w:lang w:val="nl-BE"/>
              </w:rPr>
              <w:t xml:space="preserve">Ook dit kadert binnen de uitrol van de </w:t>
            </w:r>
            <w:r w:rsidR="004E7D9A">
              <w:rPr>
                <w:lang w:val="nl-BE"/>
              </w:rPr>
              <w:t>digitale</w:t>
            </w:r>
            <w:r>
              <w:rPr>
                <w:lang w:val="nl-BE"/>
              </w:rPr>
              <w:t xml:space="preserve"> (budget)meter. </w:t>
            </w:r>
          </w:p>
          <w:p w14:paraId="07EBA193" w14:textId="1B058BC6" w:rsidR="003903E4" w:rsidRPr="00AE747E" w:rsidRDefault="00AE747E" w:rsidP="00CE6118">
            <w:pPr>
              <w:numPr>
                <w:ilvl w:val="0"/>
                <w:numId w:val="4"/>
              </w:numPr>
              <w:contextualSpacing/>
              <w:jc w:val="both"/>
              <w:rPr>
                <w:rFonts w:cstheme="minorHAnsi"/>
                <w:lang w:val="nl-BE"/>
              </w:rPr>
            </w:pPr>
            <w:r>
              <w:rPr>
                <w:lang w:val="nl-BE"/>
              </w:rPr>
              <w:t>Gerealiseerd</w:t>
            </w:r>
            <w:r w:rsidR="0043734A">
              <w:rPr>
                <w:lang w:val="nl-BE"/>
              </w:rPr>
              <w:t>e optimalisatie</w:t>
            </w:r>
            <w:r>
              <w:rPr>
                <w:lang w:val="nl-BE"/>
              </w:rPr>
              <w:t>:</w:t>
            </w:r>
            <w:r w:rsidR="00B41F14">
              <w:rPr>
                <w:lang w:val="nl-BE"/>
              </w:rPr>
              <w:t xml:space="preserve"> e</w:t>
            </w:r>
            <w:r w:rsidR="00711EBC">
              <w:rPr>
                <w:lang w:val="nl-BE"/>
              </w:rPr>
              <w:t>r werd aangekaart dat het belangrijk was de toegang tot de oplaadpunten te vergroten. De</w:t>
            </w:r>
            <w:r>
              <w:rPr>
                <w:lang w:val="nl-BE"/>
              </w:rPr>
              <w:t xml:space="preserve"> netbeheerders hebben de afgelopen periode het aantal oplaadpunten dat 24/7 toegankelijk is gevoelig uitgebreid zodat bijna alle Vlamingen binnen een straal van </w:t>
            </w:r>
            <w:r w:rsidR="0043734A">
              <w:rPr>
                <w:lang w:val="nl-BE"/>
              </w:rPr>
              <w:t xml:space="preserve">maximaal </w:t>
            </w:r>
            <w:r>
              <w:rPr>
                <w:lang w:val="nl-BE"/>
              </w:rPr>
              <w:t xml:space="preserve">20 km 24/7 </w:t>
            </w:r>
            <w:r w:rsidR="0043734A">
              <w:rPr>
                <w:lang w:val="nl-BE"/>
              </w:rPr>
              <w:t xml:space="preserve">kunnen opladen. </w:t>
            </w:r>
            <w:r>
              <w:rPr>
                <w:lang w:val="nl-BE"/>
              </w:rPr>
              <w:t xml:space="preserve"> </w:t>
            </w:r>
          </w:p>
          <w:p w14:paraId="75A248BC" w14:textId="77777777" w:rsidR="00AE747E" w:rsidRPr="00375AE6" w:rsidRDefault="00AE747E" w:rsidP="00CE6118">
            <w:pPr>
              <w:contextualSpacing/>
              <w:jc w:val="both"/>
              <w:rPr>
                <w:rFonts w:cstheme="minorHAnsi"/>
                <w:lang w:val="nl-BE"/>
              </w:rPr>
            </w:pPr>
          </w:p>
        </w:tc>
      </w:tr>
      <w:tr w:rsidR="003903E4" w:rsidRPr="00686050" w14:paraId="6F66C16E" w14:textId="77777777" w:rsidTr="00CE6118">
        <w:tc>
          <w:tcPr>
            <w:tcW w:w="699" w:type="dxa"/>
          </w:tcPr>
          <w:p w14:paraId="77359B01" w14:textId="77777777" w:rsidR="003903E4" w:rsidRPr="00375AE6" w:rsidRDefault="003903E4" w:rsidP="00CE6118">
            <w:pPr>
              <w:shd w:val="clear" w:color="auto" w:fill="FFFFFF"/>
              <w:rPr>
                <w:rFonts w:eastAsia="Times New Roman" w:cstheme="minorHAnsi"/>
                <w:lang w:val="nl-NL" w:eastAsia="nl-BE"/>
              </w:rPr>
            </w:pPr>
            <w:r w:rsidRPr="00375AE6">
              <w:rPr>
                <w:rFonts w:eastAsia="Times New Roman" w:cstheme="minorHAnsi"/>
                <w:lang w:val="nl-NL" w:eastAsia="nl-BE"/>
              </w:rPr>
              <w:t>13</w:t>
            </w:r>
          </w:p>
        </w:tc>
        <w:tc>
          <w:tcPr>
            <w:tcW w:w="7127" w:type="dxa"/>
          </w:tcPr>
          <w:p w14:paraId="5E887890" w14:textId="3ECFD8F0" w:rsidR="003903E4" w:rsidRPr="00375AE6" w:rsidRDefault="006F3AA9" w:rsidP="00CE6118">
            <w:pPr>
              <w:rPr>
                <w:rFonts w:cstheme="minorHAnsi"/>
                <w:lang w:val="nl-BE"/>
              </w:rPr>
            </w:pPr>
            <w:r>
              <w:rPr>
                <w:rFonts w:cstheme="minorHAnsi"/>
                <w:lang w:val="nl-NL"/>
              </w:rPr>
              <w:t xml:space="preserve">Informatiedoorstroming &amp; communicatie: </w:t>
            </w:r>
            <w:r w:rsidR="00B41F14">
              <w:rPr>
                <w:rFonts w:cstheme="minorHAnsi"/>
                <w:lang w:val="nl-NL"/>
              </w:rPr>
              <w:t>d</w:t>
            </w:r>
            <w:r w:rsidR="003903E4" w:rsidRPr="00375AE6">
              <w:rPr>
                <w:rFonts w:cstheme="minorHAnsi"/>
                <w:lang w:val="nl-BE"/>
              </w:rPr>
              <w:t>e distributienetbeheerders periodiek aan het OCMW lijsten laten bezorgen van klanten wiens contract wegens wanbetaling werd opgezegd.</w:t>
            </w:r>
          </w:p>
        </w:tc>
        <w:tc>
          <w:tcPr>
            <w:tcW w:w="6917" w:type="dxa"/>
          </w:tcPr>
          <w:p w14:paraId="14F75439" w14:textId="220A0262" w:rsidR="0027612C" w:rsidRPr="00F17197" w:rsidRDefault="00711EBC" w:rsidP="00CE6118">
            <w:pPr>
              <w:pStyle w:val="Lijstalinea"/>
              <w:numPr>
                <w:ilvl w:val="0"/>
                <w:numId w:val="8"/>
              </w:numPr>
              <w:ind w:left="317" w:hanging="317"/>
              <w:jc w:val="both"/>
              <w:rPr>
                <w:rFonts w:cstheme="minorHAnsi"/>
                <w:lang w:val="nl-BE"/>
              </w:rPr>
            </w:pPr>
            <w:r w:rsidRPr="00F17197">
              <w:rPr>
                <w:rFonts w:cstheme="minorHAnsi"/>
                <w:lang w:val="nl-BE"/>
              </w:rPr>
              <w:t>Het o</w:t>
            </w:r>
            <w:r w:rsidR="0043734A" w:rsidRPr="00F17197">
              <w:rPr>
                <w:rFonts w:cstheme="minorHAnsi"/>
                <w:lang w:val="nl-BE"/>
              </w:rPr>
              <w:t xml:space="preserve">verleg leert dat de </w:t>
            </w:r>
            <w:r w:rsidR="0027612C" w:rsidRPr="00F17197">
              <w:rPr>
                <w:rFonts w:cstheme="minorHAnsi"/>
                <w:lang w:val="nl-BE"/>
              </w:rPr>
              <w:t xml:space="preserve"> netbeheerders de ervaring </w:t>
            </w:r>
            <w:r w:rsidR="00BE0BAF" w:rsidRPr="00F17197">
              <w:rPr>
                <w:rFonts w:cstheme="minorHAnsi"/>
                <w:lang w:val="nl-BE"/>
              </w:rPr>
              <w:t xml:space="preserve">hebben </w:t>
            </w:r>
            <w:r w:rsidR="0027612C" w:rsidRPr="00F17197">
              <w:rPr>
                <w:rFonts w:cstheme="minorHAnsi"/>
                <w:lang w:val="nl-BE"/>
              </w:rPr>
              <w:t xml:space="preserve">dat dergelijke omvangrijke lijsten nauwelijks effect hebben. </w:t>
            </w:r>
            <w:r w:rsidRPr="00F17197">
              <w:rPr>
                <w:rFonts w:cstheme="minorHAnsi"/>
                <w:lang w:val="nl-BE"/>
              </w:rPr>
              <w:t>De s</w:t>
            </w:r>
            <w:r w:rsidR="005A0D61" w:rsidRPr="00F17197">
              <w:rPr>
                <w:rFonts w:cstheme="minorHAnsi"/>
                <w:lang w:val="nl-BE"/>
              </w:rPr>
              <w:t>uggestie</w:t>
            </w:r>
            <w:r w:rsidRPr="00F17197">
              <w:rPr>
                <w:rFonts w:cstheme="minorHAnsi"/>
                <w:lang w:val="nl-BE"/>
              </w:rPr>
              <w:t xml:space="preserve"> werd gemaakt</w:t>
            </w:r>
            <w:r w:rsidR="005A0D61" w:rsidRPr="00F17197">
              <w:rPr>
                <w:rFonts w:cstheme="minorHAnsi"/>
                <w:lang w:val="nl-BE"/>
              </w:rPr>
              <w:t xml:space="preserve"> om met gesegmenteerde lijsten te werken en die maximaal maandelijks te bezorgen, bijvoorbeeld: klanten die voor de tweede keer binnen een bepaalde termijn klant worden bij de sociale leverancier, klanten met een bu</w:t>
            </w:r>
            <w:r w:rsidR="005A0D61" w:rsidRPr="006F3AA9">
              <w:rPr>
                <w:rFonts w:cstheme="minorHAnsi"/>
                <w:lang w:val="nl-BE"/>
              </w:rPr>
              <w:t>dgetmeter waarin de autonome stroombegrenzer is uitgeschakeld en die langer dan x</w:t>
            </w:r>
            <w:r w:rsidR="00F17197" w:rsidRPr="008C6721">
              <w:rPr>
                <w:rFonts w:cstheme="minorHAnsi"/>
                <w:lang w:val="nl-BE"/>
              </w:rPr>
              <w:t>-aantal</w:t>
            </w:r>
            <w:r w:rsidR="005A0D61" w:rsidRPr="008C6721">
              <w:rPr>
                <w:rFonts w:cstheme="minorHAnsi"/>
                <w:lang w:val="nl-BE"/>
              </w:rPr>
              <w:t xml:space="preserve"> maanden </w:t>
            </w:r>
            <w:r w:rsidR="005A0D61" w:rsidRPr="008C6721">
              <w:rPr>
                <w:rFonts w:cstheme="minorHAnsi"/>
                <w:lang w:val="nl-BE"/>
              </w:rPr>
              <w:lastRenderedPageBreak/>
              <w:t>niet opgeladen werde</w:t>
            </w:r>
            <w:r w:rsidR="0068364D">
              <w:rPr>
                <w:rFonts w:cstheme="minorHAnsi"/>
                <w:lang w:val="nl-BE"/>
              </w:rPr>
              <w:t xml:space="preserve">n, enz. </w:t>
            </w:r>
            <w:r w:rsidR="004E7D9A">
              <w:rPr>
                <w:lang w:val="nl-BE"/>
              </w:rPr>
              <w:t>Dit wordt verder uitgewerkt met het oog op een</w:t>
            </w:r>
            <w:r w:rsidR="0027612C">
              <w:rPr>
                <w:lang w:val="nl-BE"/>
              </w:rPr>
              <w:t xml:space="preserve"> eventuele opname in het</w:t>
            </w:r>
            <w:r w:rsidR="0027612C" w:rsidRPr="00CC533F">
              <w:rPr>
                <w:lang w:val="nl-BE"/>
              </w:rPr>
              <w:t xml:space="preserve"> ontwerp voor wijzigingsbesluit </w:t>
            </w:r>
            <w:r w:rsidR="0027612C">
              <w:rPr>
                <w:lang w:val="nl-BE"/>
              </w:rPr>
              <w:t xml:space="preserve">in het voorjaar van </w:t>
            </w:r>
            <w:r w:rsidR="0027612C" w:rsidRPr="00CC533F">
              <w:rPr>
                <w:lang w:val="nl-BE"/>
              </w:rPr>
              <w:t>2017.</w:t>
            </w:r>
          </w:p>
        </w:tc>
      </w:tr>
      <w:tr w:rsidR="003903E4" w:rsidRPr="00686050" w14:paraId="0D0BA175" w14:textId="77777777" w:rsidTr="00CE6118">
        <w:tc>
          <w:tcPr>
            <w:tcW w:w="699" w:type="dxa"/>
          </w:tcPr>
          <w:p w14:paraId="5417980A" w14:textId="77777777" w:rsidR="003903E4" w:rsidRPr="00375AE6" w:rsidRDefault="003903E4" w:rsidP="00CE6118">
            <w:pPr>
              <w:rPr>
                <w:rFonts w:cstheme="minorHAnsi"/>
              </w:rPr>
            </w:pPr>
            <w:r w:rsidRPr="00375AE6">
              <w:rPr>
                <w:rFonts w:cstheme="minorHAnsi"/>
              </w:rPr>
              <w:lastRenderedPageBreak/>
              <w:t>14</w:t>
            </w:r>
          </w:p>
        </w:tc>
        <w:tc>
          <w:tcPr>
            <w:tcW w:w="7127" w:type="dxa"/>
          </w:tcPr>
          <w:p w14:paraId="283093DF" w14:textId="41E0E2D6" w:rsidR="003903E4" w:rsidRPr="00375AE6" w:rsidRDefault="006F3AA9" w:rsidP="00CE6118">
            <w:pPr>
              <w:rPr>
                <w:rFonts w:cstheme="minorHAnsi"/>
                <w:lang w:val="nl-BE"/>
              </w:rPr>
            </w:pPr>
            <w:r>
              <w:rPr>
                <w:rFonts w:cstheme="minorHAnsi"/>
                <w:lang w:val="nl-NL"/>
              </w:rPr>
              <w:t>Informatiedoorstroming &amp; communicatie:</w:t>
            </w:r>
            <w:r>
              <w:rPr>
                <w:rFonts w:cstheme="minorHAnsi"/>
                <w:lang w:val="nl-BE"/>
              </w:rPr>
              <w:t xml:space="preserve">: </w:t>
            </w:r>
            <w:r w:rsidR="001F18C5" w:rsidRPr="001F18C5">
              <w:rPr>
                <w:rFonts w:cstheme="minorHAnsi"/>
                <w:lang w:val="nl-BE"/>
              </w:rPr>
              <w:t>V</w:t>
            </w:r>
            <w:r w:rsidR="003903E4" w:rsidRPr="00375AE6">
              <w:rPr>
                <w:rFonts w:cstheme="minorHAnsi"/>
                <w:lang w:val="nl-BE"/>
              </w:rPr>
              <w:t>oor de kwetsbare doelgroep wordt bekeken of het inzetten van een éénmalige energiescan het aangewezen middel is indien leveringscontracten voor energie worden opgezegd wegens wanbetaling.</w:t>
            </w:r>
          </w:p>
        </w:tc>
        <w:tc>
          <w:tcPr>
            <w:tcW w:w="6917" w:type="dxa"/>
          </w:tcPr>
          <w:p w14:paraId="6AA59C7D" w14:textId="05F17521" w:rsidR="001F18C5" w:rsidRDefault="00F17197" w:rsidP="00CE6118">
            <w:pPr>
              <w:jc w:val="both"/>
              <w:rPr>
                <w:rFonts w:cstheme="minorHAnsi"/>
                <w:lang w:val="nl-BE"/>
              </w:rPr>
            </w:pPr>
            <w:r>
              <w:rPr>
                <w:rFonts w:cstheme="minorHAnsi"/>
                <w:lang w:val="nl-BE"/>
              </w:rPr>
              <w:t>Dit wordt</w:t>
            </w:r>
            <w:r w:rsidR="003A381D">
              <w:rPr>
                <w:rFonts w:cstheme="minorHAnsi"/>
                <w:lang w:val="nl-BE"/>
              </w:rPr>
              <w:t xml:space="preserve"> meegenomen in de evaluatie van de energiescans (zie actie 22)</w:t>
            </w:r>
          </w:p>
          <w:p w14:paraId="6E715660" w14:textId="77777777" w:rsidR="003903E4" w:rsidRPr="00375AE6" w:rsidRDefault="003903E4" w:rsidP="00CE6118">
            <w:pPr>
              <w:jc w:val="both"/>
              <w:rPr>
                <w:rFonts w:cstheme="minorHAnsi"/>
                <w:lang w:val="nl-BE"/>
              </w:rPr>
            </w:pPr>
          </w:p>
        </w:tc>
      </w:tr>
      <w:tr w:rsidR="003A381D" w:rsidRPr="00686050" w14:paraId="7502130D" w14:textId="77777777" w:rsidTr="00CE6118">
        <w:tc>
          <w:tcPr>
            <w:tcW w:w="699" w:type="dxa"/>
          </w:tcPr>
          <w:p w14:paraId="123DAD4B" w14:textId="77777777" w:rsidR="003A381D" w:rsidRPr="00375AE6" w:rsidRDefault="003A381D" w:rsidP="00CE6118">
            <w:pPr>
              <w:rPr>
                <w:rFonts w:cstheme="minorHAnsi"/>
              </w:rPr>
            </w:pPr>
            <w:r>
              <w:rPr>
                <w:rFonts w:cstheme="minorHAnsi"/>
              </w:rPr>
              <w:t>15</w:t>
            </w:r>
          </w:p>
        </w:tc>
        <w:tc>
          <w:tcPr>
            <w:tcW w:w="7127" w:type="dxa"/>
          </w:tcPr>
          <w:p w14:paraId="632DDB07" w14:textId="1B27348E" w:rsidR="003A381D" w:rsidRPr="00375AE6" w:rsidRDefault="006F3AA9" w:rsidP="00CE6118">
            <w:pPr>
              <w:rPr>
                <w:rFonts w:cstheme="minorHAnsi"/>
                <w:lang w:val="nl-BE"/>
              </w:rPr>
            </w:pPr>
            <w:r>
              <w:rPr>
                <w:rFonts w:cstheme="minorHAnsi"/>
                <w:lang w:val="nl-NL"/>
              </w:rPr>
              <w:t xml:space="preserve">Informatiedoorstroming &amp; communicatie: </w:t>
            </w:r>
            <w:r>
              <w:rPr>
                <w:rFonts w:cstheme="minorHAnsi"/>
                <w:lang w:val="nl-BE"/>
              </w:rPr>
              <w:t>g</w:t>
            </w:r>
            <w:r w:rsidR="003A381D" w:rsidRPr="00375AE6">
              <w:rPr>
                <w:rFonts w:cstheme="minorHAnsi"/>
                <w:lang w:val="nl-BE"/>
              </w:rPr>
              <w:t xml:space="preserve">ezamenlijk met netbeheerders, VVSG, armoedeverenigingen en andere relevante actoren via overleg een communicatieplan (met toepassing van het draaiboek op </w:t>
            </w:r>
            <w:hyperlink r:id="rId9" w:history="1">
              <w:r w:rsidR="003A381D" w:rsidRPr="00375AE6">
                <w:rPr>
                  <w:rFonts w:cstheme="minorHAnsi"/>
                  <w:lang w:val="nl-BE"/>
                </w:rPr>
                <w:t>www.communicerenmetarmen.be</w:t>
              </w:r>
            </w:hyperlink>
            <w:r w:rsidR="003A381D" w:rsidRPr="00375AE6">
              <w:rPr>
                <w:rFonts w:cstheme="minorHAnsi"/>
                <w:lang w:val="nl-BE"/>
              </w:rPr>
              <w:t>) vastleggen en implementeren voor eind 2016.</w:t>
            </w:r>
          </w:p>
        </w:tc>
        <w:tc>
          <w:tcPr>
            <w:tcW w:w="6917" w:type="dxa"/>
          </w:tcPr>
          <w:p w14:paraId="71389200" w14:textId="23B92F85" w:rsidR="003A381D" w:rsidRPr="00375AE6" w:rsidRDefault="004E7D9A" w:rsidP="00CE6118">
            <w:pPr>
              <w:jc w:val="both"/>
              <w:rPr>
                <w:rFonts w:cstheme="minorHAnsi"/>
                <w:highlight w:val="yellow"/>
                <w:lang w:val="nl-BE"/>
              </w:rPr>
            </w:pPr>
            <w:r>
              <w:rPr>
                <w:rFonts w:cstheme="minorHAnsi"/>
                <w:lang w:val="nl-BE"/>
              </w:rPr>
              <w:t xml:space="preserve">Voorbereiding is lopende. </w:t>
            </w:r>
            <w:r w:rsidR="003A381D">
              <w:rPr>
                <w:rFonts w:cstheme="minorHAnsi"/>
                <w:lang w:val="nl-BE"/>
              </w:rPr>
              <w:t>Implementatie wordt wel wat uitgesteld zodat ook de bijkomende wijzigingen waarvoor een regelgevende procedure volgt, kunnen worden meegenomen.</w:t>
            </w:r>
          </w:p>
          <w:p w14:paraId="224610E0" w14:textId="77777777" w:rsidR="003A381D" w:rsidRPr="00375AE6" w:rsidRDefault="003A381D" w:rsidP="00CE6118">
            <w:pPr>
              <w:ind w:left="360"/>
              <w:contextualSpacing/>
              <w:jc w:val="both"/>
              <w:rPr>
                <w:rFonts w:cstheme="minorHAnsi"/>
                <w:lang w:val="nl-BE"/>
              </w:rPr>
            </w:pPr>
          </w:p>
        </w:tc>
      </w:tr>
      <w:tr w:rsidR="003A381D" w:rsidRPr="00686050" w14:paraId="33268D79" w14:textId="77777777" w:rsidTr="00CE6118">
        <w:tc>
          <w:tcPr>
            <w:tcW w:w="699" w:type="dxa"/>
          </w:tcPr>
          <w:p w14:paraId="6BA1C3F8" w14:textId="77777777" w:rsidR="003A381D" w:rsidRPr="00375AE6" w:rsidRDefault="003A381D" w:rsidP="00CE6118">
            <w:pPr>
              <w:rPr>
                <w:rFonts w:cstheme="minorHAnsi"/>
              </w:rPr>
            </w:pPr>
            <w:r>
              <w:rPr>
                <w:rFonts w:cstheme="minorHAnsi"/>
              </w:rPr>
              <w:t>16</w:t>
            </w:r>
          </w:p>
        </w:tc>
        <w:tc>
          <w:tcPr>
            <w:tcW w:w="7127" w:type="dxa"/>
          </w:tcPr>
          <w:p w14:paraId="37E7F0D0" w14:textId="4A17DC97" w:rsidR="003A381D" w:rsidRPr="00375AE6" w:rsidRDefault="006F3AA9" w:rsidP="00CE6118">
            <w:pPr>
              <w:rPr>
                <w:rFonts w:cstheme="minorHAnsi"/>
                <w:lang w:val="nl-BE"/>
              </w:rPr>
            </w:pPr>
            <w:r>
              <w:rPr>
                <w:rFonts w:cstheme="minorHAnsi"/>
                <w:lang w:val="nl-NL"/>
              </w:rPr>
              <w:t xml:space="preserve">Informatiedoorstroming &amp; communicatie: </w:t>
            </w:r>
            <w:r>
              <w:rPr>
                <w:rFonts w:cstheme="minorHAnsi"/>
                <w:lang w:val="nl-BE"/>
              </w:rPr>
              <w:t>o</w:t>
            </w:r>
            <w:r w:rsidR="003A381D" w:rsidRPr="00375AE6">
              <w:rPr>
                <w:rFonts w:cstheme="minorHAnsi"/>
                <w:lang w:val="nl-BE"/>
              </w:rPr>
              <w:t>ok wat betreft de minimale levering aardgas zullen de OCMW’s en de doelgroep blijvend worden gesensibiliseerd om de maatregel waar nuttig toe te passen.</w:t>
            </w:r>
          </w:p>
        </w:tc>
        <w:tc>
          <w:tcPr>
            <w:tcW w:w="6917" w:type="dxa"/>
          </w:tcPr>
          <w:p w14:paraId="580E2ECF" w14:textId="54F696E7" w:rsidR="003A381D" w:rsidRPr="00375AE6" w:rsidRDefault="003A381D" w:rsidP="00CE6118">
            <w:pPr>
              <w:jc w:val="both"/>
              <w:rPr>
                <w:rFonts w:cstheme="minorHAnsi"/>
                <w:lang w:val="nl-BE"/>
              </w:rPr>
            </w:pPr>
            <w:r>
              <w:rPr>
                <w:rFonts w:cstheme="minorHAnsi"/>
                <w:lang w:val="nl-BE"/>
              </w:rPr>
              <w:t xml:space="preserve">Op 23 september 2016 bezorgde </w:t>
            </w:r>
            <w:r w:rsidR="00F17197">
              <w:rPr>
                <w:rFonts w:cstheme="minorHAnsi"/>
                <w:lang w:val="nl-BE"/>
              </w:rPr>
              <w:t>ik</w:t>
            </w:r>
            <w:r>
              <w:rPr>
                <w:rFonts w:cstheme="minorHAnsi"/>
                <w:lang w:val="nl-BE"/>
              </w:rPr>
              <w:t xml:space="preserve"> een brief aan alle OCMW’s waarin de uitbreiding van de toepassingsperiode (actie </w:t>
            </w:r>
            <w:r w:rsidR="00065847">
              <w:rPr>
                <w:rFonts w:cstheme="minorHAnsi"/>
                <w:lang w:val="nl-BE"/>
              </w:rPr>
              <w:t xml:space="preserve">7) werd aangekondigd en </w:t>
            </w:r>
            <w:r w:rsidR="00F17197">
              <w:rPr>
                <w:rFonts w:cstheme="minorHAnsi"/>
                <w:lang w:val="nl-BE"/>
              </w:rPr>
              <w:t>waarmee ik alle</w:t>
            </w:r>
            <w:r w:rsidR="00F9745E">
              <w:rPr>
                <w:rFonts w:cstheme="minorHAnsi"/>
                <w:lang w:val="nl-BE"/>
              </w:rPr>
              <w:t xml:space="preserve"> </w:t>
            </w:r>
            <w:r w:rsidR="00065847">
              <w:rPr>
                <w:rFonts w:cstheme="minorHAnsi"/>
                <w:lang w:val="nl-BE"/>
              </w:rPr>
              <w:t xml:space="preserve">OCMW’s </w:t>
            </w:r>
            <w:r w:rsidR="00F17197">
              <w:rPr>
                <w:rFonts w:cstheme="minorHAnsi"/>
                <w:lang w:val="nl-BE"/>
              </w:rPr>
              <w:t xml:space="preserve">opriep </w:t>
            </w:r>
            <w:r w:rsidR="00065847">
              <w:rPr>
                <w:rFonts w:cstheme="minorHAnsi"/>
                <w:lang w:val="nl-BE"/>
              </w:rPr>
              <w:t xml:space="preserve">de maatregel </w:t>
            </w:r>
            <w:r w:rsidR="00F17197">
              <w:rPr>
                <w:rFonts w:cstheme="minorHAnsi"/>
                <w:lang w:val="nl-BE"/>
              </w:rPr>
              <w:t xml:space="preserve">zoveel mogelijk </w:t>
            </w:r>
            <w:r w:rsidR="00065847">
              <w:rPr>
                <w:rFonts w:cstheme="minorHAnsi"/>
                <w:lang w:val="nl-BE"/>
              </w:rPr>
              <w:t>toe te passen. Vanuit het VEA w</w:t>
            </w:r>
            <w:r w:rsidR="00F17197">
              <w:rPr>
                <w:rFonts w:cstheme="minorHAnsi"/>
                <w:lang w:val="nl-BE"/>
              </w:rPr>
              <w:t>erden</w:t>
            </w:r>
            <w:r w:rsidR="00065847">
              <w:rPr>
                <w:rFonts w:cstheme="minorHAnsi"/>
                <w:lang w:val="nl-BE"/>
              </w:rPr>
              <w:t xml:space="preserve"> op 17 oktober per post</w:t>
            </w:r>
            <w:r w:rsidR="00F17197">
              <w:rPr>
                <w:rFonts w:cstheme="minorHAnsi"/>
                <w:lang w:val="nl-BE"/>
              </w:rPr>
              <w:t xml:space="preserve"> ook nog eens</w:t>
            </w:r>
            <w:r w:rsidR="00065847">
              <w:rPr>
                <w:rFonts w:cstheme="minorHAnsi"/>
                <w:lang w:val="nl-BE"/>
              </w:rPr>
              <w:t xml:space="preserve"> 12.500 flyers verspreid naar 308 OCMW’s en ruim 60 armenverenigingen.</w:t>
            </w:r>
          </w:p>
        </w:tc>
      </w:tr>
      <w:tr w:rsidR="003A381D" w:rsidRPr="00686050" w14:paraId="61960997" w14:textId="77777777" w:rsidTr="00CE6118">
        <w:tc>
          <w:tcPr>
            <w:tcW w:w="699" w:type="dxa"/>
          </w:tcPr>
          <w:p w14:paraId="690E1F5D" w14:textId="77777777" w:rsidR="003A381D" w:rsidRPr="00375AE6" w:rsidRDefault="003A381D" w:rsidP="00CE6118">
            <w:pPr>
              <w:shd w:val="clear" w:color="auto" w:fill="FFFFFF"/>
              <w:rPr>
                <w:rFonts w:cstheme="minorHAnsi"/>
              </w:rPr>
            </w:pPr>
            <w:r w:rsidRPr="00375AE6">
              <w:rPr>
                <w:rFonts w:cstheme="minorHAnsi"/>
              </w:rPr>
              <w:t>17</w:t>
            </w:r>
          </w:p>
        </w:tc>
        <w:tc>
          <w:tcPr>
            <w:tcW w:w="7127" w:type="dxa"/>
          </w:tcPr>
          <w:p w14:paraId="5DD62CC4" w14:textId="7ECCDF01" w:rsidR="003A381D" w:rsidRPr="00375AE6" w:rsidRDefault="005A0D61" w:rsidP="00CE6118">
            <w:pPr>
              <w:rPr>
                <w:rFonts w:cstheme="minorHAnsi"/>
                <w:lang w:val="nl-BE"/>
              </w:rPr>
            </w:pPr>
            <w:r w:rsidRPr="00375AE6">
              <w:rPr>
                <w:rFonts w:cstheme="minorHAnsi"/>
                <w:lang w:val="nl-BE"/>
              </w:rPr>
              <w:t>Central Heating Management</w:t>
            </w:r>
            <w:r w:rsidR="006F3AA9">
              <w:rPr>
                <w:rFonts w:cstheme="minorHAnsi"/>
                <w:lang w:val="nl-BE"/>
              </w:rPr>
              <w:t xml:space="preserve"> (CHM)</w:t>
            </w:r>
            <w:r w:rsidRPr="00375AE6">
              <w:rPr>
                <w:rFonts w:cstheme="minorHAnsi"/>
                <w:lang w:val="nl-BE"/>
              </w:rPr>
              <w:t>: signaleren naar het bevoegde federale niveau van de nood aan een regulerend kader voor de levering van energie (“warmte”) bij collectieve verwarming en/of c</w:t>
            </w:r>
            <w:r w:rsidRPr="005A0D61">
              <w:rPr>
                <w:rFonts w:cstheme="minorHAnsi"/>
                <w:lang w:val="nl-BE"/>
              </w:rPr>
              <w:t xml:space="preserve">oncrete maatregelen om de sociale openbaredienstverplichtingen </w:t>
            </w:r>
            <w:r w:rsidRPr="00375AE6">
              <w:rPr>
                <w:rFonts w:cstheme="minorHAnsi"/>
                <w:lang w:val="nl-BE"/>
              </w:rPr>
              <w:t>te garanderen met inbegrip van het recht op afrekening van het verbruik herrekend naar de sociale maximumprijzen.</w:t>
            </w:r>
          </w:p>
        </w:tc>
        <w:tc>
          <w:tcPr>
            <w:tcW w:w="6917" w:type="dxa"/>
          </w:tcPr>
          <w:p w14:paraId="7C805050" w14:textId="275FEF3E" w:rsidR="003A381D" w:rsidRPr="00375AE6" w:rsidRDefault="00065847" w:rsidP="00CE6118">
            <w:pPr>
              <w:jc w:val="both"/>
              <w:rPr>
                <w:rFonts w:cstheme="minorHAnsi"/>
                <w:lang w:val="nl-BE"/>
              </w:rPr>
            </w:pPr>
            <w:r w:rsidRPr="00065847">
              <w:rPr>
                <w:rFonts w:cstheme="minorHAnsi"/>
                <w:lang w:val="nl-BE"/>
              </w:rPr>
              <w:t xml:space="preserve">Overleg met federale niveau </w:t>
            </w:r>
            <w:r w:rsidR="0068364D">
              <w:rPr>
                <w:rFonts w:cstheme="minorHAnsi"/>
                <w:lang w:val="nl-BE"/>
              </w:rPr>
              <w:t>zal</w:t>
            </w:r>
            <w:r w:rsidR="004E7D9A">
              <w:rPr>
                <w:rFonts w:cstheme="minorHAnsi"/>
                <w:lang w:val="nl-BE"/>
              </w:rPr>
              <w:t xml:space="preserve"> worden opgestart, dit werd wel al een aantal aangekaart binnen ENOVER.</w:t>
            </w:r>
          </w:p>
        </w:tc>
      </w:tr>
      <w:tr w:rsidR="003A381D" w:rsidRPr="00686050" w14:paraId="177AE68A" w14:textId="77777777" w:rsidTr="00CE6118">
        <w:tc>
          <w:tcPr>
            <w:tcW w:w="699" w:type="dxa"/>
          </w:tcPr>
          <w:p w14:paraId="53FAE1DC" w14:textId="77777777" w:rsidR="003A381D" w:rsidRPr="00375AE6" w:rsidRDefault="003A381D" w:rsidP="00CE6118">
            <w:pPr>
              <w:shd w:val="clear" w:color="auto" w:fill="FFFFFF"/>
              <w:spacing w:before="100" w:beforeAutospacing="1" w:after="100" w:afterAutospacing="1"/>
              <w:rPr>
                <w:rFonts w:eastAsia="Times New Roman" w:cstheme="minorHAnsi"/>
                <w:lang w:val="nl-NL" w:eastAsia="nl-BE"/>
              </w:rPr>
            </w:pPr>
            <w:r w:rsidRPr="00375AE6">
              <w:rPr>
                <w:rFonts w:eastAsia="Times New Roman" w:cstheme="minorHAnsi"/>
                <w:lang w:val="nl-NL" w:eastAsia="nl-BE"/>
              </w:rPr>
              <w:t>18</w:t>
            </w:r>
          </w:p>
        </w:tc>
        <w:tc>
          <w:tcPr>
            <w:tcW w:w="7127" w:type="dxa"/>
          </w:tcPr>
          <w:p w14:paraId="5AB7A65D" w14:textId="5A9263CC" w:rsidR="003A381D" w:rsidRPr="00375AE6" w:rsidRDefault="006F3AA9" w:rsidP="00CE6118">
            <w:pPr>
              <w:rPr>
                <w:rFonts w:cstheme="minorHAnsi"/>
                <w:lang w:val="nl-BE"/>
              </w:rPr>
            </w:pPr>
            <w:r>
              <w:rPr>
                <w:rFonts w:cstheme="minorHAnsi"/>
                <w:lang w:val="nl-NL"/>
              </w:rPr>
              <w:t>Werkgroep energie en armoede: h</w:t>
            </w:r>
            <w:r w:rsidR="003A381D" w:rsidRPr="00375AE6">
              <w:rPr>
                <w:rFonts w:cstheme="minorHAnsi"/>
                <w:lang w:val="nl-BE"/>
              </w:rPr>
              <w:t>et VEA zal met Eandis afspraken maken om deze werkgroep uit te breiden met andere relevante actoren in de strijd tegen energiearmoede en minimaal 2 bijeenkomsten per jaar te organiseren.</w:t>
            </w:r>
          </w:p>
        </w:tc>
        <w:tc>
          <w:tcPr>
            <w:tcW w:w="6917" w:type="dxa"/>
          </w:tcPr>
          <w:p w14:paraId="527617C6" w14:textId="6E32C5EF" w:rsidR="003A381D" w:rsidRPr="00375AE6" w:rsidRDefault="00DF7FBE" w:rsidP="00CE6118">
            <w:pPr>
              <w:jc w:val="both"/>
              <w:rPr>
                <w:rFonts w:cstheme="minorHAnsi"/>
                <w:lang w:val="nl-BE"/>
              </w:rPr>
            </w:pPr>
            <w:r>
              <w:rPr>
                <w:rFonts w:cstheme="minorHAnsi"/>
                <w:lang w:val="nl-BE"/>
              </w:rPr>
              <w:t>Dit is g</w:t>
            </w:r>
            <w:r w:rsidR="00BE0BAF">
              <w:rPr>
                <w:rFonts w:cstheme="minorHAnsi"/>
                <w:lang w:val="nl-BE"/>
              </w:rPr>
              <w:t>erealise</w:t>
            </w:r>
            <w:r w:rsidR="00065847">
              <w:rPr>
                <w:rFonts w:cstheme="minorHAnsi"/>
                <w:lang w:val="nl-BE"/>
              </w:rPr>
              <w:t xml:space="preserve">erd. De werkgroep komt 3 keer per jaar samen. </w:t>
            </w:r>
            <w:r w:rsidR="006F3AA9">
              <w:rPr>
                <w:rFonts w:cstheme="minorHAnsi"/>
                <w:lang w:val="nl-BE"/>
              </w:rPr>
              <w:t>Er is</w:t>
            </w:r>
            <w:r w:rsidR="0068364D">
              <w:rPr>
                <w:rFonts w:cstheme="minorHAnsi"/>
                <w:lang w:val="nl-BE"/>
              </w:rPr>
              <w:t xml:space="preserve"> </w:t>
            </w:r>
            <w:r w:rsidR="006F3AA9">
              <w:rPr>
                <w:rFonts w:cstheme="minorHAnsi"/>
                <w:lang w:val="nl-BE"/>
              </w:rPr>
              <w:t>v</w:t>
            </w:r>
            <w:r w:rsidR="003A381D" w:rsidRPr="00375AE6">
              <w:rPr>
                <w:rFonts w:cstheme="minorHAnsi"/>
                <w:lang w:val="nl-BE"/>
              </w:rPr>
              <w:t>oorlopig geen structurele uitbreiding</w:t>
            </w:r>
            <w:r w:rsidR="00065847">
              <w:rPr>
                <w:rFonts w:cstheme="minorHAnsi"/>
                <w:lang w:val="nl-BE"/>
              </w:rPr>
              <w:t xml:space="preserve"> van deelnemers</w:t>
            </w:r>
            <w:r w:rsidR="006F3AA9">
              <w:rPr>
                <w:rFonts w:cstheme="minorHAnsi"/>
                <w:lang w:val="nl-BE"/>
              </w:rPr>
              <w:t xml:space="preserve"> voorzien, maar</w:t>
            </w:r>
            <w:r w:rsidR="0068364D">
              <w:rPr>
                <w:rFonts w:cstheme="minorHAnsi"/>
                <w:lang w:val="nl-BE"/>
              </w:rPr>
              <w:t xml:space="preserve"> </w:t>
            </w:r>
            <w:r w:rsidR="006F3AA9">
              <w:rPr>
                <w:rFonts w:cstheme="minorHAnsi"/>
                <w:lang w:val="nl-BE"/>
              </w:rPr>
              <w:t>ad</w:t>
            </w:r>
            <w:r w:rsidR="003A381D" w:rsidRPr="00375AE6">
              <w:rPr>
                <w:rFonts w:cstheme="minorHAnsi"/>
                <w:lang w:val="nl-BE"/>
              </w:rPr>
              <w:t xml:space="preserve"> hoc </w:t>
            </w:r>
            <w:r w:rsidR="00065847">
              <w:rPr>
                <w:rFonts w:cstheme="minorHAnsi"/>
                <w:lang w:val="nl-BE"/>
              </w:rPr>
              <w:t>worden</w:t>
            </w:r>
            <w:r w:rsidR="006F3AA9">
              <w:rPr>
                <w:rFonts w:cstheme="minorHAnsi"/>
                <w:lang w:val="nl-BE"/>
              </w:rPr>
              <w:t xml:space="preserve"> wel</w:t>
            </w:r>
            <w:r w:rsidR="00065847">
              <w:rPr>
                <w:rFonts w:cstheme="minorHAnsi"/>
                <w:lang w:val="nl-BE"/>
              </w:rPr>
              <w:t xml:space="preserve"> andere deelnemers uitgenodigd.</w:t>
            </w:r>
          </w:p>
        </w:tc>
      </w:tr>
      <w:tr w:rsidR="003A381D" w:rsidRPr="00686050" w14:paraId="1509D761" w14:textId="77777777" w:rsidTr="00CE6118">
        <w:tc>
          <w:tcPr>
            <w:tcW w:w="699" w:type="dxa"/>
          </w:tcPr>
          <w:p w14:paraId="60EB0D47" w14:textId="77777777" w:rsidR="003A381D" w:rsidRPr="00375AE6" w:rsidRDefault="003A381D" w:rsidP="00CE6118">
            <w:pPr>
              <w:shd w:val="clear" w:color="auto" w:fill="FFFFFF"/>
              <w:spacing w:before="100" w:beforeAutospacing="1" w:after="100" w:afterAutospacing="1"/>
              <w:contextualSpacing/>
              <w:rPr>
                <w:rFonts w:eastAsia="Times New Roman" w:cstheme="minorHAnsi"/>
                <w:lang w:val="nl-NL" w:eastAsia="nl-BE"/>
              </w:rPr>
            </w:pPr>
            <w:r w:rsidRPr="00375AE6">
              <w:rPr>
                <w:rFonts w:eastAsia="Times New Roman" w:cstheme="minorHAnsi"/>
                <w:lang w:val="nl-NL" w:eastAsia="nl-BE"/>
              </w:rPr>
              <w:t>19</w:t>
            </w:r>
          </w:p>
        </w:tc>
        <w:tc>
          <w:tcPr>
            <w:tcW w:w="7127" w:type="dxa"/>
          </w:tcPr>
          <w:p w14:paraId="34695222" w14:textId="2CE05F7B" w:rsidR="003A381D" w:rsidRPr="00375AE6" w:rsidRDefault="006F3AA9" w:rsidP="00CE6118">
            <w:pPr>
              <w:rPr>
                <w:rFonts w:cstheme="minorHAnsi"/>
                <w:lang w:val="nl-BE"/>
              </w:rPr>
            </w:pPr>
            <w:r>
              <w:rPr>
                <w:rFonts w:cstheme="minorHAnsi"/>
                <w:lang w:val="nl-NL"/>
              </w:rPr>
              <w:t>Armoedetoets: v</w:t>
            </w:r>
            <w:r w:rsidR="003A381D" w:rsidRPr="00375AE6">
              <w:rPr>
                <w:rFonts w:cstheme="minorHAnsi"/>
                <w:lang w:val="nl-BE"/>
              </w:rPr>
              <w:t>oor zover nieuwe regelgeving wordt voorbereid met impact op de energiefactuur, past het VEA een armoedetoets toe.</w:t>
            </w:r>
          </w:p>
        </w:tc>
        <w:tc>
          <w:tcPr>
            <w:tcW w:w="6917" w:type="dxa"/>
          </w:tcPr>
          <w:p w14:paraId="4780A710" w14:textId="36BBBCB0" w:rsidR="003A381D" w:rsidRPr="00125104" w:rsidRDefault="006F3AA9" w:rsidP="00CE6118">
            <w:pPr>
              <w:jc w:val="both"/>
              <w:rPr>
                <w:rFonts w:cstheme="minorHAnsi"/>
                <w:lang w:val="nl-BE"/>
              </w:rPr>
            </w:pPr>
            <w:r>
              <w:rPr>
                <w:rFonts w:cstheme="minorHAnsi"/>
                <w:lang w:val="nl-BE"/>
              </w:rPr>
              <w:t>Dit loopt continu. In</w:t>
            </w:r>
            <w:r w:rsidR="00125104" w:rsidRPr="00125104">
              <w:rPr>
                <w:rFonts w:cstheme="minorHAnsi"/>
                <w:lang w:val="nl-BE"/>
              </w:rPr>
              <w:t xml:space="preserve"> 2016 werden door het VEA al twee armoedetoetsen opgemaakt:</w:t>
            </w:r>
          </w:p>
          <w:p w14:paraId="2D95D9F2" w14:textId="77777777" w:rsidR="00125104" w:rsidRDefault="005A0D61" w:rsidP="00CE6118">
            <w:pPr>
              <w:pStyle w:val="Lijstalinea"/>
              <w:numPr>
                <w:ilvl w:val="0"/>
                <w:numId w:val="9"/>
              </w:numPr>
              <w:jc w:val="both"/>
              <w:rPr>
                <w:rFonts w:cstheme="minorHAnsi"/>
                <w:lang w:val="nl-BE"/>
              </w:rPr>
            </w:pPr>
            <w:r>
              <w:rPr>
                <w:rFonts w:cstheme="minorHAnsi"/>
                <w:lang w:val="nl-BE"/>
              </w:rPr>
              <w:t>Definitief</w:t>
            </w:r>
            <w:r w:rsidR="00241A61">
              <w:rPr>
                <w:rFonts w:cstheme="minorHAnsi"/>
                <w:lang w:val="nl-BE"/>
              </w:rPr>
              <w:t xml:space="preserve"> goedgekeur</w:t>
            </w:r>
            <w:r w:rsidR="00125104">
              <w:rPr>
                <w:rFonts w:cstheme="minorHAnsi"/>
                <w:lang w:val="nl-BE"/>
              </w:rPr>
              <w:t>d wijzigingsbesluit energiepremies</w:t>
            </w:r>
          </w:p>
          <w:p w14:paraId="68D6D72D" w14:textId="77777777" w:rsidR="00125104" w:rsidRPr="00125104" w:rsidRDefault="00125104" w:rsidP="00CE6118">
            <w:pPr>
              <w:pStyle w:val="Lijstalinea"/>
              <w:numPr>
                <w:ilvl w:val="0"/>
                <w:numId w:val="9"/>
              </w:numPr>
              <w:jc w:val="both"/>
              <w:rPr>
                <w:rFonts w:cstheme="minorHAnsi"/>
                <w:lang w:val="nl-BE"/>
              </w:rPr>
            </w:pPr>
            <w:r>
              <w:rPr>
                <w:rFonts w:cstheme="minorHAnsi"/>
                <w:lang w:val="nl-BE"/>
              </w:rPr>
              <w:t>Ontwerp wijzigingsbesluit over de energielening</w:t>
            </w:r>
          </w:p>
        </w:tc>
      </w:tr>
      <w:tr w:rsidR="006F3AA9" w:rsidRPr="00686050" w14:paraId="0B8B9042" w14:textId="77777777" w:rsidTr="00CE6118">
        <w:tc>
          <w:tcPr>
            <w:tcW w:w="699" w:type="dxa"/>
          </w:tcPr>
          <w:p w14:paraId="317AABE7" w14:textId="77777777" w:rsidR="006F3AA9" w:rsidRPr="00375AE6" w:rsidRDefault="006F3AA9" w:rsidP="00CE6118">
            <w:pPr>
              <w:shd w:val="clear" w:color="auto" w:fill="FFFFFF"/>
              <w:spacing w:before="100" w:beforeAutospacing="1" w:after="100" w:afterAutospacing="1"/>
              <w:contextualSpacing/>
              <w:rPr>
                <w:rFonts w:eastAsia="Times New Roman" w:cstheme="minorHAnsi"/>
                <w:lang w:val="nl-NL" w:eastAsia="nl-BE"/>
              </w:rPr>
            </w:pPr>
          </w:p>
        </w:tc>
        <w:tc>
          <w:tcPr>
            <w:tcW w:w="7127" w:type="dxa"/>
          </w:tcPr>
          <w:p w14:paraId="4A2194A9" w14:textId="5910E2BF" w:rsidR="006F3AA9" w:rsidRPr="008C6721" w:rsidRDefault="006F3AA9" w:rsidP="00CE6118">
            <w:pPr>
              <w:rPr>
                <w:rFonts w:cstheme="minorHAnsi"/>
                <w:b/>
              </w:rPr>
            </w:pPr>
            <w:r w:rsidRPr="008C6721">
              <w:rPr>
                <w:rFonts w:cstheme="minorHAnsi"/>
                <w:b/>
              </w:rPr>
              <w:t>REG-MAATREGELEN KWETSBARE DOELGROEPEN</w:t>
            </w:r>
          </w:p>
        </w:tc>
        <w:tc>
          <w:tcPr>
            <w:tcW w:w="6917" w:type="dxa"/>
          </w:tcPr>
          <w:p w14:paraId="0550E5C6" w14:textId="77777777" w:rsidR="006F3AA9" w:rsidRDefault="006F3AA9" w:rsidP="00CE6118">
            <w:pPr>
              <w:contextualSpacing/>
              <w:jc w:val="both"/>
              <w:rPr>
                <w:rFonts w:cstheme="minorHAnsi"/>
              </w:rPr>
            </w:pPr>
          </w:p>
        </w:tc>
      </w:tr>
      <w:tr w:rsidR="003A381D" w:rsidRPr="00686050" w14:paraId="33CE401C" w14:textId="77777777" w:rsidTr="00CE6118">
        <w:tc>
          <w:tcPr>
            <w:tcW w:w="699" w:type="dxa"/>
          </w:tcPr>
          <w:p w14:paraId="35986BA5" w14:textId="77777777" w:rsidR="003A381D" w:rsidRPr="00375AE6" w:rsidRDefault="003A381D" w:rsidP="00CE6118">
            <w:pPr>
              <w:shd w:val="clear" w:color="auto" w:fill="FFFFFF"/>
              <w:spacing w:before="100" w:beforeAutospacing="1" w:after="100" w:afterAutospacing="1"/>
              <w:contextualSpacing/>
              <w:rPr>
                <w:rFonts w:eastAsia="Times New Roman" w:cstheme="minorHAnsi"/>
                <w:lang w:val="nl-NL" w:eastAsia="nl-BE"/>
              </w:rPr>
            </w:pPr>
            <w:r w:rsidRPr="00375AE6">
              <w:rPr>
                <w:rFonts w:eastAsia="Times New Roman" w:cstheme="minorHAnsi"/>
                <w:lang w:val="nl-NL" w:eastAsia="nl-BE"/>
              </w:rPr>
              <w:t>20</w:t>
            </w:r>
          </w:p>
        </w:tc>
        <w:tc>
          <w:tcPr>
            <w:tcW w:w="7127" w:type="dxa"/>
          </w:tcPr>
          <w:p w14:paraId="336676C1" w14:textId="5B427EF5" w:rsidR="003A381D" w:rsidRPr="00375AE6" w:rsidRDefault="00DF7FBE" w:rsidP="00CE6118">
            <w:pPr>
              <w:rPr>
                <w:rFonts w:cstheme="minorHAnsi"/>
                <w:lang w:val="nl-BE"/>
              </w:rPr>
            </w:pPr>
            <w:r>
              <w:rPr>
                <w:rFonts w:cstheme="minorHAnsi"/>
                <w:lang w:val="nl-BE"/>
              </w:rPr>
              <w:t>Verder harmoniseren van de doelgroepen: h</w:t>
            </w:r>
            <w:r w:rsidR="003A381D" w:rsidRPr="00375AE6">
              <w:rPr>
                <w:rFonts w:cstheme="minorHAnsi"/>
                <w:lang w:val="nl-BE"/>
              </w:rPr>
              <w:t xml:space="preserve">et bedrag voor de huurprijs, vermeld in categorie 6 van de doelgroep van kwetsbare afnemers die voor </w:t>
            </w:r>
            <w:r w:rsidR="003A381D" w:rsidRPr="00375AE6">
              <w:rPr>
                <w:rFonts w:cstheme="minorHAnsi"/>
                <w:lang w:val="nl-BE"/>
              </w:rPr>
              <w:lastRenderedPageBreak/>
              <w:t>een energiescan en sociale dakisolatieprojecten in aanmerking komen, wordt met als referentiebasis 2013 tot op heden geïndexeerd op basis van de gezondheidsindex en zal ook voortaan periodiek worden geïndexeerd.</w:t>
            </w:r>
          </w:p>
        </w:tc>
        <w:tc>
          <w:tcPr>
            <w:tcW w:w="6917" w:type="dxa"/>
          </w:tcPr>
          <w:p w14:paraId="7CE68D78" w14:textId="4EAA0895" w:rsidR="003A381D" w:rsidRPr="00375AE6" w:rsidRDefault="00DF7FBE" w:rsidP="00CE6118">
            <w:pPr>
              <w:contextualSpacing/>
              <w:jc w:val="both"/>
              <w:rPr>
                <w:rFonts w:cstheme="minorHAnsi"/>
                <w:lang w:val="nl-BE"/>
              </w:rPr>
            </w:pPr>
            <w:r>
              <w:rPr>
                <w:rFonts w:cstheme="minorHAnsi"/>
                <w:lang w:val="nl-BE"/>
              </w:rPr>
              <w:lastRenderedPageBreak/>
              <w:t>Dit is</w:t>
            </w:r>
            <w:r w:rsidR="00F9745E">
              <w:rPr>
                <w:rFonts w:cstheme="minorHAnsi"/>
                <w:lang w:val="nl-BE"/>
              </w:rPr>
              <w:t xml:space="preserve"> g</w:t>
            </w:r>
            <w:r w:rsidR="00125104">
              <w:rPr>
                <w:rFonts w:cstheme="minorHAnsi"/>
                <w:lang w:val="nl-BE"/>
              </w:rPr>
              <w:t>er</w:t>
            </w:r>
            <w:r w:rsidR="0043734A">
              <w:rPr>
                <w:rFonts w:cstheme="minorHAnsi"/>
                <w:lang w:val="nl-BE"/>
              </w:rPr>
              <w:t>ealiseerd</w:t>
            </w:r>
            <w:r>
              <w:rPr>
                <w:lang w:val="nl-BE"/>
              </w:rPr>
              <w:t xml:space="preserve"> als </w:t>
            </w:r>
            <w:r w:rsidR="002D4B27" w:rsidRPr="002D4B27">
              <w:rPr>
                <w:lang w:val="nl-BE"/>
              </w:rPr>
              <w:t xml:space="preserve">onderdeel van definitieve goedkeuring door de Vlaamse Regering van de </w:t>
            </w:r>
            <w:r w:rsidR="002D4B27">
              <w:rPr>
                <w:lang w:val="nl-BE"/>
              </w:rPr>
              <w:t>he</w:t>
            </w:r>
            <w:r w:rsidR="0043734A">
              <w:rPr>
                <w:lang w:val="nl-BE"/>
              </w:rPr>
              <w:t>rvorming van de energiepremies.</w:t>
            </w:r>
          </w:p>
        </w:tc>
      </w:tr>
      <w:tr w:rsidR="003A381D" w:rsidRPr="00686050" w14:paraId="6DE1CD60" w14:textId="77777777" w:rsidTr="00CE6118">
        <w:tc>
          <w:tcPr>
            <w:tcW w:w="699" w:type="dxa"/>
          </w:tcPr>
          <w:p w14:paraId="0A7E5468" w14:textId="77777777" w:rsidR="003A381D" w:rsidRPr="008C6721" w:rsidRDefault="003A381D" w:rsidP="00CE6118">
            <w:pPr>
              <w:shd w:val="clear" w:color="auto" w:fill="FFFFFF"/>
              <w:rPr>
                <w:rFonts w:eastAsia="Times New Roman" w:cstheme="minorHAnsi"/>
                <w:u w:val="single"/>
                <w:lang w:val="nl-BE" w:eastAsia="nl-BE"/>
              </w:rPr>
            </w:pPr>
            <w:r w:rsidRPr="00DF7FBE">
              <w:rPr>
                <w:rFonts w:eastAsia="Times New Roman" w:cstheme="minorHAnsi"/>
                <w:lang w:eastAsia="nl-BE"/>
              </w:rPr>
              <w:lastRenderedPageBreak/>
              <w:t>21</w:t>
            </w:r>
          </w:p>
        </w:tc>
        <w:tc>
          <w:tcPr>
            <w:tcW w:w="7127" w:type="dxa"/>
          </w:tcPr>
          <w:p w14:paraId="2B78D247" w14:textId="245DFB5B" w:rsidR="003A381D" w:rsidRPr="00375AE6" w:rsidRDefault="00DF7FBE" w:rsidP="00CE6118">
            <w:pPr>
              <w:rPr>
                <w:rFonts w:cstheme="minorHAnsi"/>
                <w:lang w:val="nl-BE"/>
              </w:rPr>
            </w:pPr>
            <w:r>
              <w:rPr>
                <w:rFonts w:cstheme="minorHAnsi"/>
                <w:lang w:val="nl-BE"/>
              </w:rPr>
              <w:t>Verder harmoniseren van de doelgroepen: a</w:t>
            </w:r>
            <w:r w:rsidR="003A381D" w:rsidRPr="00375AE6">
              <w:rPr>
                <w:rFonts w:cstheme="minorHAnsi"/>
                <w:lang w:val="nl-BE"/>
              </w:rPr>
              <w:t>angezien een gecombineerde inzet van bestaande doelgroepgerichte instrumenten hun benutting en impact vergroot, wordt voorgesteld om in een eerste fase de doelgroep die in aanmerking komt voor de renteloze energielening te verruimen met beschermde afnemers. In een tweede fase wordt gekeken in hoeverre de kwetsbare doelgroepen beter bereikt kunnen worden. We wachten hiervoor de oefening af die binnen de Vlaamse overheid zal gemaakt worden omtrent het in kaart brengen en evalueren van begunstigden voor sociale correcties</w:t>
            </w:r>
            <w:r>
              <w:rPr>
                <w:rFonts w:cstheme="minorHAnsi"/>
                <w:lang w:val="nl-BE"/>
              </w:rPr>
              <w:t>.</w:t>
            </w:r>
            <w:r w:rsidR="003A381D" w:rsidRPr="00375AE6">
              <w:rPr>
                <w:rFonts w:cstheme="minorHAnsi"/>
                <w:lang w:val="nl-BE"/>
              </w:rPr>
              <w:t>).</w:t>
            </w:r>
          </w:p>
        </w:tc>
        <w:tc>
          <w:tcPr>
            <w:tcW w:w="6917" w:type="dxa"/>
          </w:tcPr>
          <w:p w14:paraId="5527C5FC" w14:textId="77777777" w:rsidR="002D4B27" w:rsidRDefault="002D4B27" w:rsidP="00CE6118">
            <w:pPr>
              <w:numPr>
                <w:ilvl w:val="0"/>
                <w:numId w:val="4"/>
              </w:numPr>
              <w:contextualSpacing/>
              <w:jc w:val="both"/>
              <w:rPr>
                <w:rFonts w:cstheme="minorHAnsi"/>
                <w:lang w:val="nl-BE"/>
              </w:rPr>
            </w:pPr>
            <w:r>
              <w:rPr>
                <w:rFonts w:cstheme="minorHAnsi"/>
                <w:lang w:val="nl-BE"/>
              </w:rPr>
              <w:t>De uitbreiding van de doelgroep is onderdeel van het wijzigingsbesluit aangaan</w:t>
            </w:r>
            <w:r w:rsidR="007C1B1A">
              <w:rPr>
                <w:rFonts w:cstheme="minorHAnsi"/>
                <w:lang w:val="nl-BE"/>
              </w:rPr>
              <w:t>de</w:t>
            </w:r>
            <w:r>
              <w:rPr>
                <w:rFonts w:cstheme="minorHAnsi"/>
                <w:lang w:val="nl-BE"/>
              </w:rPr>
              <w:t xml:space="preserve"> de energielening dat door de Vlaamse Regeri</w:t>
            </w:r>
            <w:r w:rsidR="00BE0BAF">
              <w:rPr>
                <w:rFonts w:cstheme="minorHAnsi"/>
                <w:lang w:val="nl-BE"/>
              </w:rPr>
              <w:t>ng voor de principie</w:t>
            </w:r>
            <w:r>
              <w:rPr>
                <w:rFonts w:cstheme="minorHAnsi"/>
                <w:lang w:val="nl-BE"/>
              </w:rPr>
              <w:t>el werd goedgekeurd</w:t>
            </w:r>
            <w:r w:rsidR="007C1B1A">
              <w:rPr>
                <w:rFonts w:cstheme="minorHAnsi"/>
                <w:lang w:val="nl-BE"/>
              </w:rPr>
              <w:t xml:space="preserve"> op 8 juni 2016.</w:t>
            </w:r>
          </w:p>
          <w:p w14:paraId="71E3265E" w14:textId="2669DCD7" w:rsidR="002D4B27" w:rsidRPr="002D4B27" w:rsidRDefault="002D4B27" w:rsidP="00CE6118">
            <w:pPr>
              <w:numPr>
                <w:ilvl w:val="0"/>
                <w:numId w:val="4"/>
              </w:numPr>
              <w:contextualSpacing/>
              <w:jc w:val="both"/>
              <w:rPr>
                <w:rFonts w:cstheme="minorHAnsi"/>
                <w:lang w:val="nl-BE"/>
              </w:rPr>
            </w:pPr>
            <w:r>
              <w:rPr>
                <w:rFonts w:cstheme="minorHAnsi"/>
                <w:lang w:val="nl-BE"/>
              </w:rPr>
              <w:t>In het kader van de lopende oefening rond het in kaart brengen van</w:t>
            </w:r>
            <w:r w:rsidR="00BE0BAF">
              <w:rPr>
                <w:rFonts w:cstheme="minorHAnsi"/>
                <w:lang w:val="nl-BE"/>
              </w:rPr>
              <w:t xml:space="preserve"> </w:t>
            </w:r>
            <w:r>
              <w:rPr>
                <w:rFonts w:cstheme="minorHAnsi"/>
                <w:lang w:val="nl-BE"/>
              </w:rPr>
              <w:t>sociale correcties, leverde het VEA op 14 oktober</w:t>
            </w:r>
            <w:r w:rsidR="004E7D9A">
              <w:rPr>
                <w:rFonts w:cstheme="minorHAnsi"/>
                <w:lang w:val="nl-BE"/>
              </w:rPr>
              <w:t xml:space="preserve"> 2016</w:t>
            </w:r>
            <w:r>
              <w:rPr>
                <w:rFonts w:cstheme="minorHAnsi"/>
                <w:lang w:val="nl-BE"/>
              </w:rPr>
              <w:t xml:space="preserve"> de gevraagde input</w:t>
            </w:r>
            <w:r w:rsidR="00BE0BAF">
              <w:rPr>
                <w:rFonts w:cstheme="minorHAnsi"/>
                <w:lang w:val="nl-BE"/>
              </w:rPr>
              <w:t xml:space="preserve"> </w:t>
            </w:r>
            <w:r>
              <w:rPr>
                <w:rFonts w:cstheme="minorHAnsi"/>
                <w:lang w:val="nl-BE"/>
              </w:rPr>
              <w:t xml:space="preserve">aan de studiedienst van de Vlaamse Regering, die dit project in opdracht van </w:t>
            </w:r>
            <w:r w:rsidR="0068364D">
              <w:rPr>
                <w:rFonts w:cstheme="minorHAnsi"/>
                <w:lang w:val="nl-BE"/>
              </w:rPr>
              <w:t>M</w:t>
            </w:r>
            <w:r>
              <w:rPr>
                <w:rFonts w:cstheme="minorHAnsi"/>
                <w:lang w:val="nl-BE"/>
              </w:rPr>
              <w:t>inister-</w:t>
            </w:r>
            <w:r w:rsidR="0068364D">
              <w:rPr>
                <w:rFonts w:cstheme="minorHAnsi"/>
                <w:lang w:val="nl-BE"/>
              </w:rPr>
              <w:t>P</w:t>
            </w:r>
            <w:r>
              <w:rPr>
                <w:rFonts w:cstheme="minorHAnsi"/>
                <w:lang w:val="nl-BE"/>
              </w:rPr>
              <w:t>resident Bourgeois coördineert</w:t>
            </w:r>
            <w:r w:rsidR="00BE0BAF">
              <w:rPr>
                <w:rFonts w:cstheme="minorHAnsi"/>
                <w:lang w:val="nl-BE"/>
              </w:rPr>
              <w:t>.</w:t>
            </w:r>
          </w:p>
          <w:p w14:paraId="3243CB7A" w14:textId="77777777" w:rsidR="003A381D" w:rsidRPr="00375AE6" w:rsidRDefault="003A381D" w:rsidP="00CE6118">
            <w:pPr>
              <w:ind w:left="360"/>
              <w:contextualSpacing/>
              <w:jc w:val="both"/>
              <w:rPr>
                <w:rFonts w:cstheme="minorHAnsi"/>
                <w:lang w:val="nl-BE"/>
              </w:rPr>
            </w:pPr>
          </w:p>
        </w:tc>
      </w:tr>
      <w:tr w:rsidR="003A381D" w:rsidRPr="00686050" w14:paraId="4FA35AB0" w14:textId="77777777" w:rsidTr="00CE6118">
        <w:tc>
          <w:tcPr>
            <w:tcW w:w="699" w:type="dxa"/>
          </w:tcPr>
          <w:p w14:paraId="0A90D5B6" w14:textId="77777777" w:rsidR="003A381D" w:rsidRPr="00375AE6" w:rsidRDefault="003A381D" w:rsidP="00CE6118">
            <w:pPr>
              <w:shd w:val="clear" w:color="auto" w:fill="FFFFFF"/>
              <w:spacing w:before="100" w:beforeAutospacing="1" w:after="100" w:afterAutospacing="1"/>
              <w:rPr>
                <w:rFonts w:eastAsia="Times New Roman" w:cstheme="minorHAnsi"/>
                <w:lang w:val="nl-NL" w:eastAsia="nl-BE"/>
              </w:rPr>
            </w:pPr>
            <w:r w:rsidRPr="00375AE6">
              <w:rPr>
                <w:rFonts w:eastAsia="Times New Roman" w:cstheme="minorHAnsi"/>
                <w:lang w:val="nl-NL" w:eastAsia="nl-BE"/>
              </w:rPr>
              <w:t>22</w:t>
            </w:r>
          </w:p>
        </w:tc>
        <w:tc>
          <w:tcPr>
            <w:tcW w:w="7127" w:type="dxa"/>
          </w:tcPr>
          <w:p w14:paraId="71636814" w14:textId="3C504303" w:rsidR="003A381D" w:rsidRPr="00375AE6" w:rsidRDefault="00DF7FBE" w:rsidP="00CE6118">
            <w:pPr>
              <w:rPr>
                <w:rFonts w:cstheme="minorHAnsi"/>
                <w:lang w:val="nl-BE"/>
              </w:rPr>
            </w:pPr>
            <w:r>
              <w:rPr>
                <w:rFonts w:cstheme="minorHAnsi"/>
                <w:lang w:val="nl-BE"/>
              </w:rPr>
              <w:t xml:space="preserve">Energiescans: </w:t>
            </w:r>
            <w:r w:rsidR="003A381D" w:rsidRPr="00375AE6">
              <w:rPr>
                <w:rFonts w:cstheme="minorHAnsi"/>
                <w:lang w:val="nl-BE"/>
              </w:rPr>
              <w:t>begin 2016 zal de energiescan geëvalueerd worden op basis van cijfers over de bereikte doelgroepen en over de mate waarin de energiescan finaal leidt tot de uitvoering van energiebesparende werken.</w:t>
            </w:r>
          </w:p>
        </w:tc>
        <w:tc>
          <w:tcPr>
            <w:tcW w:w="6917" w:type="dxa"/>
          </w:tcPr>
          <w:p w14:paraId="0D9CB39E" w14:textId="23B82D81" w:rsidR="003A381D" w:rsidRPr="00375AE6" w:rsidRDefault="007C1B1A" w:rsidP="00CE6118">
            <w:pPr>
              <w:contextualSpacing/>
              <w:jc w:val="both"/>
              <w:rPr>
                <w:rFonts w:cstheme="minorHAnsi"/>
                <w:lang w:val="nl-BE"/>
              </w:rPr>
            </w:pPr>
            <w:r>
              <w:rPr>
                <w:rFonts w:cstheme="minorHAnsi"/>
                <w:lang w:val="nl-BE"/>
              </w:rPr>
              <w:t xml:space="preserve">Het VEA </w:t>
            </w:r>
            <w:r w:rsidR="008C6721">
              <w:rPr>
                <w:rFonts w:cstheme="minorHAnsi"/>
                <w:lang w:val="nl-BE"/>
              </w:rPr>
              <w:t>zorgt</w:t>
            </w:r>
            <w:r>
              <w:rPr>
                <w:rFonts w:cstheme="minorHAnsi"/>
                <w:lang w:val="nl-BE"/>
              </w:rPr>
              <w:t xml:space="preserve"> voor evaluatienota aan </w:t>
            </w:r>
            <w:r w:rsidR="00DF7FBE">
              <w:rPr>
                <w:rFonts w:cstheme="minorHAnsi"/>
                <w:lang w:val="nl-BE"/>
              </w:rPr>
              <w:t>mijn</w:t>
            </w:r>
            <w:r>
              <w:rPr>
                <w:rFonts w:cstheme="minorHAnsi"/>
                <w:lang w:val="nl-BE"/>
              </w:rPr>
              <w:t xml:space="preserve"> kabinet</w:t>
            </w:r>
            <w:r w:rsidR="00B41F14">
              <w:rPr>
                <w:rFonts w:cstheme="minorHAnsi"/>
                <w:lang w:val="nl-BE"/>
              </w:rPr>
              <w:t>. Op</w:t>
            </w:r>
            <w:r>
              <w:rPr>
                <w:rFonts w:cstheme="minorHAnsi"/>
                <w:lang w:val="nl-BE"/>
              </w:rPr>
              <w:t xml:space="preserve"> basis </w:t>
            </w:r>
            <w:r w:rsidR="00B41F14">
              <w:rPr>
                <w:rFonts w:cstheme="minorHAnsi"/>
                <w:lang w:val="nl-BE"/>
              </w:rPr>
              <w:t>hiervan</w:t>
            </w:r>
            <w:r>
              <w:rPr>
                <w:rFonts w:cstheme="minorHAnsi"/>
                <w:lang w:val="nl-BE"/>
              </w:rPr>
              <w:t xml:space="preserve"> zal beslist wor</w:t>
            </w:r>
            <w:r w:rsidR="00BD35E5">
              <w:rPr>
                <w:rFonts w:cstheme="minorHAnsi"/>
                <w:lang w:val="nl-BE"/>
              </w:rPr>
              <w:t>den welke verdere stappen ondern</w:t>
            </w:r>
            <w:r>
              <w:rPr>
                <w:rFonts w:cstheme="minorHAnsi"/>
                <w:lang w:val="nl-BE"/>
              </w:rPr>
              <w:t xml:space="preserve">omen worden. </w:t>
            </w:r>
          </w:p>
        </w:tc>
      </w:tr>
      <w:tr w:rsidR="00F9745E" w:rsidRPr="00686050" w14:paraId="64744A99" w14:textId="77777777" w:rsidTr="00CE6118">
        <w:tc>
          <w:tcPr>
            <w:tcW w:w="699" w:type="dxa"/>
          </w:tcPr>
          <w:p w14:paraId="0BE47B47" w14:textId="77777777" w:rsidR="00F9745E" w:rsidRPr="008C6721" w:rsidRDefault="00F9745E" w:rsidP="00CE6118">
            <w:pPr>
              <w:shd w:val="clear" w:color="auto" w:fill="FFFFFF"/>
              <w:spacing w:before="100" w:beforeAutospacing="1" w:after="100" w:afterAutospacing="1"/>
              <w:rPr>
                <w:rFonts w:eastAsia="Times New Roman" w:cstheme="minorHAnsi"/>
                <w:lang w:val="nl-BE" w:eastAsia="nl-BE"/>
              </w:rPr>
            </w:pPr>
          </w:p>
        </w:tc>
        <w:tc>
          <w:tcPr>
            <w:tcW w:w="7127" w:type="dxa"/>
          </w:tcPr>
          <w:p w14:paraId="575A0F7C" w14:textId="5C5ECBE3" w:rsidR="00F9745E" w:rsidRPr="008C6721" w:rsidRDefault="00F9745E" w:rsidP="00CE6118">
            <w:pPr>
              <w:rPr>
                <w:rFonts w:cstheme="minorHAnsi"/>
                <w:i/>
              </w:rPr>
            </w:pPr>
            <w:r w:rsidRPr="008C6721">
              <w:rPr>
                <w:rFonts w:cstheme="minorHAnsi"/>
                <w:i/>
              </w:rPr>
              <w:t>Maatregelen voor private huurmarkt</w:t>
            </w:r>
          </w:p>
        </w:tc>
        <w:tc>
          <w:tcPr>
            <w:tcW w:w="6917" w:type="dxa"/>
          </w:tcPr>
          <w:p w14:paraId="3510E6D5" w14:textId="77777777" w:rsidR="00F9745E" w:rsidRDefault="00F9745E" w:rsidP="00CE6118">
            <w:pPr>
              <w:contextualSpacing/>
              <w:jc w:val="both"/>
              <w:rPr>
                <w:rFonts w:cstheme="minorHAnsi"/>
              </w:rPr>
            </w:pPr>
          </w:p>
        </w:tc>
      </w:tr>
      <w:tr w:rsidR="003A381D" w:rsidRPr="00686050" w14:paraId="4BDD9FD8" w14:textId="77777777" w:rsidTr="00CE6118">
        <w:tc>
          <w:tcPr>
            <w:tcW w:w="699" w:type="dxa"/>
          </w:tcPr>
          <w:p w14:paraId="48DAE4CF" w14:textId="77777777" w:rsidR="003A381D" w:rsidRPr="00375AE6" w:rsidRDefault="003A381D" w:rsidP="00CE6118">
            <w:pPr>
              <w:shd w:val="clear" w:color="auto" w:fill="FFFFFF"/>
              <w:spacing w:before="100" w:beforeAutospacing="1" w:after="100" w:afterAutospacing="1"/>
              <w:rPr>
                <w:rFonts w:eastAsia="Times New Roman" w:cstheme="minorHAnsi"/>
                <w:lang w:eastAsia="nl-BE"/>
              </w:rPr>
            </w:pPr>
            <w:r w:rsidRPr="00375AE6">
              <w:rPr>
                <w:rFonts w:eastAsia="Times New Roman" w:cstheme="minorHAnsi"/>
                <w:lang w:eastAsia="nl-BE"/>
              </w:rPr>
              <w:t>23</w:t>
            </w:r>
          </w:p>
        </w:tc>
        <w:tc>
          <w:tcPr>
            <w:tcW w:w="7127" w:type="dxa"/>
          </w:tcPr>
          <w:p w14:paraId="1088AEFF" w14:textId="4283CE5F" w:rsidR="003A381D" w:rsidRPr="00375AE6" w:rsidRDefault="00DF7FBE" w:rsidP="00CE6118">
            <w:pPr>
              <w:rPr>
                <w:rFonts w:cstheme="minorHAnsi"/>
                <w:lang w:val="nl-BE"/>
              </w:rPr>
            </w:pPr>
            <w:r w:rsidRPr="008C6721">
              <w:rPr>
                <w:rFonts w:cstheme="minorHAnsi"/>
                <w:lang w:val="nl-BE"/>
              </w:rPr>
              <w:t>Sociale dakisolatie</w:t>
            </w:r>
            <w:r>
              <w:rPr>
                <w:rFonts w:cstheme="minorHAnsi"/>
                <w:lang w:val="nl-BE"/>
              </w:rPr>
              <w:t>, en uit te werken projecten spouwmuur en hoogrendementsglas,</w:t>
            </w:r>
            <w:r w:rsidRPr="008C6721">
              <w:rPr>
                <w:rFonts w:cstheme="minorHAnsi"/>
                <w:lang w:val="nl-BE"/>
              </w:rPr>
              <w:t xml:space="preserve"> in private huurwoningen: </w:t>
            </w:r>
            <w:r w:rsidR="00294F02">
              <w:rPr>
                <w:rFonts w:cstheme="minorHAnsi"/>
                <w:lang w:val="nl-BE"/>
              </w:rPr>
              <w:t xml:space="preserve">is </w:t>
            </w:r>
            <w:r w:rsidR="003A381D" w:rsidRPr="00375AE6">
              <w:rPr>
                <w:rFonts w:cstheme="minorHAnsi"/>
                <w:lang w:val="nl-BE"/>
              </w:rPr>
              <w:t>een aparte forfaitaire vergoeding van 200 euro voorzien voor de kosten die verbonden zijn aan de opdrachten van de projectpromotor en 20 euro premie voor uitvoering van de werken (50% van de gemiddelde kost). Met een gemiddelde oppervlakte geplaatste dakisolatie van 78 m² blijft de totale kost gelijk. In ieder geval moet ook de inzet van de Energielening maximaal worden gepromoot.</w:t>
            </w:r>
          </w:p>
        </w:tc>
        <w:tc>
          <w:tcPr>
            <w:tcW w:w="6917" w:type="dxa"/>
          </w:tcPr>
          <w:p w14:paraId="66AE1F49" w14:textId="6A7871CC" w:rsidR="003A381D" w:rsidRPr="00375AE6" w:rsidRDefault="00294F02" w:rsidP="00CE6118">
            <w:pPr>
              <w:contextualSpacing/>
              <w:jc w:val="both"/>
              <w:rPr>
                <w:rFonts w:cstheme="minorHAnsi"/>
                <w:lang w:val="nl-BE"/>
              </w:rPr>
            </w:pPr>
            <w:r>
              <w:rPr>
                <w:rFonts w:cstheme="minorHAnsi"/>
                <w:lang w:val="nl-BE"/>
              </w:rPr>
              <w:t>In uitvoering.</w:t>
            </w:r>
          </w:p>
          <w:p w14:paraId="40F32BA1" w14:textId="77777777" w:rsidR="003A381D" w:rsidRPr="00375AE6" w:rsidRDefault="003A381D" w:rsidP="00CE6118">
            <w:pPr>
              <w:jc w:val="both"/>
              <w:rPr>
                <w:rFonts w:cstheme="minorHAnsi"/>
                <w:lang w:val="nl-BE"/>
              </w:rPr>
            </w:pPr>
          </w:p>
        </w:tc>
      </w:tr>
      <w:tr w:rsidR="003A381D" w:rsidRPr="00686050" w14:paraId="2E187961" w14:textId="77777777" w:rsidTr="00CE6118">
        <w:tc>
          <w:tcPr>
            <w:tcW w:w="699" w:type="dxa"/>
          </w:tcPr>
          <w:p w14:paraId="104A11F0" w14:textId="77777777" w:rsidR="003A381D" w:rsidRPr="00375AE6" w:rsidRDefault="003A381D" w:rsidP="00CE6118">
            <w:pPr>
              <w:rPr>
                <w:rFonts w:cstheme="minorHAnsi"/>
              </w:rPr>
            </w:pPr>
            <w:r w:rsidRPr="00375AE6">
              <w:rPr>
                <w:rFonts w:cstheme="minorHAnsi"/>
              </w:rPr>
              <w:t>24</w:t>
            </w:r>
          </w:p>
        </w:tc>
        <w:tc>
          <w:tcPr>
            <w:tcW w:w="7127" w:type="dxa"/>
          </w:tcPr>
          <w:p w14:paraId="049EF052" w14:textId="3A932B9F" w:rsidR="003A381D" w:rsidRPr="00375AE6" w:rsidRDefault="00DF7FBE" w:rsidP="00CE6118">
            <w:pPr>
              <w:rPr>
                <w:rFonts w:cstheme="minorHAnsi"/>
                <w:lang w:val="nl-BE"/>
              </w:rPr>
            </w:pPr>
            <w:r>
              <w:rPr>
                <w:rFonts w:cstheme="minorHAnsi"/>
                <w:lang w:val="nl-BE"/>
              </w:rPr>
              <w:t>Bijkomende programma’s voor spou</w:t>
            </w:r>
            <w:r w:rsidR="00F9745E">
              <w:rPr>
                <w:rFonts w:cstheme="minorHAnsi"/>
                <w:lang w:val="nl-BE"/>
              </w:rPr>
              <w:t>w</w:t>
            </w:r>
            <w:r>
              <w:rPr>
                <w:rFonts w:cstheme="minorHAnsi"/>
                <w:lang w:val="nl-BE"/>
              </w:rPr>
              <w:t>muurisolatie en hoogrendementsglas in private huurwoningen: i</w:t>
            </w:r>
            <w:r w:rsidR="003A381D" w:rsidRPr="00375AE6">
              <w:rPr>
                <w:rFonts w:cstheme="minorHAnsi"/>
                <w:lang w:val="nl-BE"/>
              </w:rPr>
              <w:t>n navolging van de sociale dakisolatieprojecten, zullen voor de doelgroep van kwetsbare afnemers projecten met het oog op begeleiding en uitvoering van spouwmuurisolatie en hoogrendementsglas worden opgezet.</w:t>
            </w:r>
          </w:p>
        </w:tc>
        <w:tc>
          <w:tcPr>
            <w:tcW w:w="6917" w:type="dxa"/>
          </w:tcPr>
          <w:p w14:paraId="60761BE1" w14:textId="3AFD3E84" w:rsidR="003A381D" w:rsidRPr="00E65DCF" w:rsidRDefault="00A83CB5" w:rsidP="00CE6118">
            <w:pPr>
              <w:contextualSpacing/>
              <w:jc w:val="both"/>
              <w:rPr>
                <w:rFonts w:cstheme="minorHAnsi"/>
                <w:lang w:val="nl-BE"/>
              </w:rPr>
            </w:pPr>
            <w:r>
              <w:rPr>
                <w:rFonts w:cstheme="minorHAnsi"/>
                <w:lang w:val="nl-BE"/>
              </w:rPr>
              <w:t>Dit is g</w:t>
            </w:r>
            <w:r w:rsidR="00C02453" w:rsidRPr="00E65DCF">
              <w:rPr>
                <w:rFonts w:cstheme="minorHAnsi"/>
                <w:lang w:val="nl-BE"/>
              </w:rPr>
              <w:t>erealiseerd als onderdeel van de hervorming van de energiepremies waaraan de Vlaamse Regering op 15 juli 2016 haar definitieve goedkeuring hechtte.</w:t>
            </w:r>
          </w:p>
        </w:tc>
      </w:tr>
      <w:tr w:rsidR="003A381D" w:rsidRPr="00686050" w14:paraId="5F8D2AA9" w14:textId="77777777" w:rsidTr="00CE6118">
        <w:tc>
          <w:tcPr>
            <w:tcW w:w="699" w:type="dxa"/>
          </w:tcPr>
          <w:p w14:paraId="7BF554A1" w14:textId="77777777" w:rsidR="003A381D" w:rsidRPr="00375AE6" w:rsidRDefault="003A381D" w:rsidP="00CE6118">
            <w:pPr>
              <w:shd w:val="clear" w:color="auto" w:fill="FFFFFF"/>
              <w:spacing w:before="100" w:beforeAutospacing="1" w:after="100" w:afterAutospacing="1"/>
              <w:rPr>
                <w:rFonts w:eastAsia="Times New Roman" w:cstheme="minorHAnsi"/>
                <w:lang w:val="nl-NL" w:eastAsia="nl-BE"/>
              </w:rPr>
            </w:pPr>
            <w:r w:rsidRPr="00375AE6">
              <w:rPr>
                <w:rFonts w:eastAsia="Times New Roman" w:cstheme="minorHAnsi"/>
                <w:lang w:val="nl-NL" w:eastAsia="nl-BE"/>
              </w:rPr>
              <w:t>25</w:t>
            </w:r>
          </w:p>
        </w:tc>
        <w:tc>
          <w:tcPr>
            <w:tcW w:w="7127" w:type="dxa"/>
          </w:tcPr>
          <w:p w14:paraId="0DBC8EE4" w14:textId="77777777" w:rsidR="003A381D" w:rsidRPr="00375AE6" w:rsidRDefault="003A381D" w:rsidP="00CE6118">
            <w:pPr>
              <w:rPr>
                <w:rFonts w:cstheme="minorHAnsi"/>
                <w:lang w:val="nl-BE"/>
              </w:rPr>
            </w:pPr>
            <w:r w:rsidRPr="00375AE6">
              <w:rPr>
                <w:rFonts w:cstheme="minorHAnsi"/>
                <w:lang w:val="nl-BE"/>
              </w:rPr>
              <w:t xml:space="preserve">Energielening: zoals vermeld onder het item ‘harmoniseren van de doelgroepen’ wordt voorgesteld om de prioritaire doelgroep voor de energielening uit te breiden met de doelgroep van beschermde afnemers. </w:t>
            </w:r>
          </w:p>
        </w:tc>
        <w:tc>
          <w:tcPr>
            <w:tcW w:w="6917" w:type="dxa"/>
          </w:tcPr>
          <w:p w14:paraId="15C2719C" w14:textId="205419EF" w:rsidR="003A381D" w:rsidRPr="00375AE6" w:rsidRDefault="00DF7FBE" w:rsidP="00CE6118">
            <w:pPr>
              <w:contextualSpacing/>
              <w:jc w:val="both"/>
              <w:rPr>
                <w:rFonts w:cstheme="minorHAnsi"/>
                <w:lang w:val="nl-BE"/>
              </w:rPr>
            </w:pPr>
            <w:r>
              <w:rPr>
                <w:lang w:val="nl-BE"/>
              </w:rPr>
              <w:t>Dit is lopende</w:t>
            </w:r>
            <w:r w:rsidR="00C02453">
              <w:rPr>
                <w:lang w:val="nl-BE"/>
              </w:rPr>
              <w:t>, zie actie 21</w:t>
            </w:r>
            <w:r w:rsidR="006A6EAE">
              <w:rPr>
                <w:lang w:val="nl-BE"/>
              </w:rPr>
              <w:t>.</w:t>
            </w:r>
          </w:p>
        </w:tc>
      </w:tr>
      <w:tr w:rsidR="003A381D" w:rsidRPr="00686050" w14:paraId="7C6D8095" w14:textId="77777777" w:rsidTr="00CE6118">
        <w:tc>
          <w:tcPr>
            <w:tcW w:w="699" w:type="dxa"/>
          </w:tcPr>
          <w:p w14:paraId="45AA900D" w14:textId="77777777" w:rsidR="003A381D" w:rsidRPr="00375AE6" w:rsidRDefault="003A381D" w:rsidP="00CE6118">
            <w:pPr>
              <w:shd w:val="clear" w:color="auto" w:fill="FFFFFF"/>
              <w:spacing w:before="100" w:beforeAutospacing="1" w:after="100" w:afterAutospacing="1"/>
              <w:rPr>
                <w:rFonts w:eastAsia="Times New Roman" w:cstheme="minorHAnsi"/>
                <w:lang w:val="nl-NL" w:eastAsia="nl-BE"/>
              </w:rPr>
            </w:pPr>
            <w:r w:rsidRPr="00375AE6">
              <w:rPr>
                <w:rFonts w:eastAsia="Times New Roman" w:cstheme="minorHAnsi"/>
                <w:lang w:val="nl-NL" w:eastAsia="nl-BE"/>
              </w:rPr>
              <w:t>26</w:t>
            </w:r>
          </w:p>
        </w:tc>
        <w:tc>
          <w:tcPr>
            <w:tcW w:w="7127" w:type="dxa"/>
          </w:tcPr>
          <w:p w14:paraId="3B6529D3" w14:textId="77777777" w:rsidR="003A381D" w:rsidRPr="00375AE6" w:rsidRDefault="003A381D" w:rsidP="00CE6118">
            <w:pPr>
              <w:rPr>
                <w:rFonts w:cstheme="minorHAnsi"/>
                <w:lang w:val="nl-BE"/>
              </w:rPr>
            </w:pPr>
            <w:r w:rsidRPr="00375AE6">
              <w:rPr>
                <w:rFonts w:cstheme="minorHAnsi"/>
                <w:lang w:val="nl-BE"/>
              </w:rPr>
              <w:t>Energielening: onderzoeken of deze uitbreidingen van leenbedragen en looptijden voor bepaalde doelgroepen opportuun is.</w:t>
            </w:r>
          </w:p>
        </w:tc>
        <w:tc>
          <w:tcPr>
            <w:tcW w:w="6917" w:type="dxa"/>
          </w:tcPr>
          <w:p w14:paraId="33025B18" w14:textId="5573A058" w:rsidR="003A381D" w:rsidRPr="008C6721" w:rsidRDefault="006A6EAE" w:rsidP="00CE6118">
            <w:pPr>
              <w:contextualSpacing/>
              <w:jc w:val="both"/>
              <w:rPr>
                <w:rFonts w:cstheme="minorHAnsi"/>
                <w:lang w:val="nl-BE"/>
              </w:rPr>
            </w:pPr>
            <w:r>
              <w:rPr>
                <w:lang w:val="nl-BE"/>
              </w:rPr>
              <w:t>Dit is lopende,</w:t>
            </w:r>
            <w:r w:rsidR="00C02453">
              <w:rPr>
                <w:lang w:val="nl-BE"/>
              </w:rPr>
              <w:t xml:space="preserve"> zie actie 21</w:t>
            </w:r>
            <w:r>
              <w:rPr>
                <w:lang w:val="nl-BE"/>
              </w:rPr>
              <w:t>.</w:t>
            </w:r>
            <w:r w:rsidR="0068364D">
              <w:rPr>
                <w:lang w:val="nl-BE"/>
              </w:rPr>
              <w:t xml:space="preserve"> In het</w:t>
            </w:r>
            <w:r>
              <w:rPr>
                <w:lang w:val="nl-BE"/>
              </w:rPr>
              <w:t xml:space="preserve"> </w:t>
            </w:r>
            <w:r w:rsidR="0068364D">
              <w:rPr>
                <w:lang w:val="nl-BE"/>
              </w:rPr>
              <w:t xml:space="preserve">hierboven aangehaalde </w:t>
            </w:r>
            <w:r>
              <w:rPr>
                <w:lang w:val="nl-BE"/>
              </w:rPr>
              <w:t>wijzigingsbesluit</w:t>
            </w:r>
            <w:r w:rsidR="0068364D">
              <w:rPr>
                <w:lang w:val="nl-BE"/>
              </w:rPr>
              <w:t xml:space="preserve"> </w:t>
            </w:r>
            <w:r>
              <w:rPr>
                <w:lang w:val="nl-BE"/>
              </w:rPr>
              <w:t xml:space="preserve">stel ik voor de leenbedragen te verhogen tot 15.000 euro en de looptijd te </w:t>
            </w:r>
            <w:r>
              <w:rPr>
                <w:lang w:val="nl-BE"/>
              </w:rPr>
              <w:lastRenderedPageBreak/>
              <w:t>verlengen tot 10 jaar</w:t>
            </w:r>
            <w:r w:rsidR="00A83CB5">
              <w:rPr>
                <w:lang w:val="nl-BE"/>
              </w:rPr>
              <w:t xml:space="preserve"> (120 maanden)</w:t>
            </w:r>
            <w:r>
              <w:rPr>
                <w:lang w:val="nl-BE"/>
              </w:rPr>
              <w:t>. Zo word</w:t>
            </w:r>
            <w:r w:rsidR="00A83CB5">
              <w:rPr>
                <w:lang w:val="nl-BE"/>
              </w:rPr>
              <w:t>en ook voor de doelgroep energie-efficiënte-</w:t>
            </w:r>
            <w:r>
              <w:rPr>
                <w:lang w:val="nl-BE"/>
              </w:rPr>
              <w:t>renovatie</w:t>
            </w:r>
            <w:r w:rsidR="00A83CB5">
              <w:rPr>
                <w:lang w:val="nl-BE"/>
              </w:rPr>
              <w:t>s</w:t>
            </w:r>
            <w:r>
              <w:rPr>
                <w:lang w:val="nl-BE"/>
              </w:rPr>
              <w:t xml:space="preserve"> een haalbare kaart. </w:t>
            </w:r>
          </w:p>
        </w:tc>
      </w:tr>
      <w:tr w:rsidR="003A381D" w:rsidRPr="00686050" w14:paraId="3E57178A" w14:textId="77777777" w:rsidTr="00CE6118">
        <w:tc>
          <w:tcPr>
            <w:tcW w:w="699" w:type="dxa"/>
          </w:tcPr>
          <w:p w14:paraId="0FEABE4E" w14:textId="77777777" w:rsidR="003A381D" w:rsidRPr="00375AE6" w:rsidRDefault="003A381D" w:rsidP="00CE6118">
            <w:pPr>
              <w:shd w:val="clear" w:color="auto" w:fill="FFFFFF"/>
              <w:spacing w:before="100" w:beforeAutospacing="1" w:after="100" w:afterAutospacing="1"/>
              <w:rPr>
                <w:rFonts w:eastAsia="Times New Roman" w:cstheme="minorHAnsi"/>
                <w:lang w:val="nl-NL" w:eastAsia="nl-BE"/>
              </w:rPr>
            </w:pPr>
            <w:r w:rsidRPr="00375AE6">
              <w:rPr>
                <w:rFonts w:eastAsia="Times New Roman" w:cstheme="minorHAnsi"/>
                <w:lang w:val="nl-NL" w:eastAsia="nl-BE"/>
              </w:rPr>
              <w:lastRenderedPageBreak/>
              <w:t>27</w:t>
            </w:r>
          </w:p>
        </w:tc>
        <w:tc>
          <w:tcPr>
            <w:tcW w:w="7127" w:type="dxa"/>
          </w:tcPr>
          <w:p w14:paraId="3B9378A6" w14:textId="4FDB247D" w:rsidR="003A381D" w:rsidRPr="00375AE6" w:rsidRDefault="003A381D" w:rsidP="00CE6118">
            <w:pPr>
              <w:rPr>
                <w:rFonts w:cstheme="minorHAnsi"/>
                <w:lang w:val="nl-BE"/>
              </w:rPr>
            </w:pPr>
            <w:r w:rsidRPr="00375AE6">
              <w:rPr>
                <w:rFonts w:cstheme="minorHAnsi"/>
                <w:lang w:val="nl-BE"/>
              </w:rPr>
              <w:t>Energielening: het toepassen van subrogatie van premies waarvoor ontleners in aanmerking komen maximaal toepassen zodat het te pre-financieren bedrag krimpt. Bijvoorbeeld</w:t>
            </w:r>
            <w:r w:rsidR="006A6EAE">
              <w:rPr>
                <w:rFonts w:cstheme="minorHAnsi"/>
                <w:lang w:val="nl-BE"/>
              </w:rPr>
              <w:t>:</w:t>
            </w:r>
            <w:r w:rsidRPr="00375AE6">
              <w:rPr>
                <w:rFonts w:cstheme="minorHAnsi"/>
                <w:lang w:val="nl-BE"/>
              </w:rPr>
              <w:t xml:space="preserve"> iemand wil dakisolatie leggen, men leent voor de kost min de premie, het energiehuis regelt de premie met de netbeheerder.</w:t>
            </w:r>
          </w:p>
        </w:tc>
        <w:tc>
          <w:tcPr>
            <w:tcW w:w="6917" w:type="dxa"/>
          </w:tcPr>
          <w:p w14:paraId="238848A1" w14:textId="02426C64" w:rsidR="003A381D" w:rsidRPr="00375AE6" w:rsidRDefault="006A6EAE" w:rsidP="00CE6118">
            <w:pPr>
              <w:contextualSpacing/>
              <w:jc w:val="both"/>
              <w:rPr>
                <w:rFonts w:cstheme="minorHAnsi"/>
                <w:lang w:val="nl-BE"/>
              </w:rPr>
            </w:pPr>
            <w:r>
              <w:rPr>
                <w:lang w:val="nl-BE"/>
              </w:rPr>
              <w:t>Momenteel onderzoekt het</w:t>
            </w:r>
            <w:r w:rsidR="00C02453" w:rsidRPr="00C02453">
              <w:rPr>
                <w:lang w:val="nl-BE"/>
              </w:rPr>
              <w:t xml:space="preserve"> VEA </w:t>
            </w:r>
            <w:r w:rsidR="0068364D">
              <w:rPr>
                <w:lang w:val="nl-BE"/>
              </w:rPr>
              <w:t>de pistes</w:t>
            </w:r>
            <w:r w:rsidR="0068364D" w:rsidRPr="00C02453">
              <w:rPr>
                <w:lang w:val="nl-BE"/>
              </w:rPr>
              <w:t xml:space="preserve"> </w:t>
            </w:r>
            <w:r w:rsidR="00C02453" w:rsidRPr="00C02453">
              <w:rPr>
                <w:lang w:val="nl-BE"/>
              </w:rPr>
              <w:t xml:space="preserve">hiervoor. </w:t>
            </w:r>
            <w:r>
              <w:rPr>
                <w:lang w:val="nl-BE"/>
              </w:rPr>
              <w:t xml:space="preserve">Het blijkt </w:t>
            </w:r>
            <w:r w:rsidR="00C02453">
              <w:rPr>
                <w:lang w:val="nl-BE"/>
              </w:rPr>
              <w:t>niet makkelijk te integreren in de bestaande registratietools van de verschillende betrokken actoren.</w:t>
            </w:r>
          </w:p>
        </w:tc>
      </w:tr>
      <w:tr w:rsidR="003A381D" w:rsidRPr="00686050" w14:paraId="2E4DFC24" w14:textId="77777777" w:rsidTr="00CE6118">
        <w:tc>
          <w:tcPr>
            <w:tcW w:w="699" w:type="dxa"/>
          </w:tcPr>
          <w:p w14:paraId="2E2ED4D0" w14:textId="77777777" w:rsidR="003A381D" w:rsidRPr="00375AE6" w:rsidRDefault="003A381D" w:rsidP="00CE6118">
            <w:pPr>
              <w:rPr>
                <w:rFonts w:cstheme="minorHAnsi"/>
              </w:rPr>
            </w:pPr>
            <w:r w:rsidRPr="00375AE6">
              <w:rPr>
                <w:rFonts w:cstheme="minorHAnsi"/>
              </w:rPr>
              <w:t>28</w:t>
            </w:r>
          </w:p>
        </w:tc>
        <w:tc>
          <w:tcPr>
            <w:tcW w:w="7127" w:type="dxa"/>
          </w:tcPr>
          <w:p w14:paraId="55A6F492" w14:textId="77777777" w:rsidR="003A381D" w:rsidRPr="00375AE6" w:rsidRDefault="003A381D" w:rsidP="00CE6118">
            <w:pPr>
              <w:rPr>
                <w:rFonts w:cstheme="minorHAnsi"/>
                <w:lang w:val="nl-BE"/>
              </w:rPr>
            </w:pPr>
            <w:r w:rsidRPr="00375AE6">
              <w:rPr>
                <w:rFonts w:cstheme="minorHAnsi"/>
                <w:lang w:val="nl-BE"/>
              </w:rPr>
              <w:t>Energielening: de lopende experimenten in het kader van de Energielening van nabij opvolgen en evalueren.</w:t>
            </w:r>
          </w:p>
        </w:tc>
        <w:tc>
          <w:tcPr>
            <w:tcW w:w="6917" w:type="dxa"/>
          </w:tcPr>
          <w:p w14:paraId="01016A0C" w14:textId="70FAD355" w:rsidR="003A381D" w:rsidRPr="00375AE6" w:rsidRDefault="006A6EAE" w:rsidP="00CE6118">
            <w:pPr>
              <w:contextualSpacing/>
              <w:jc w:val="both"/>
              <w:rPr>
                <w:rFonts w:cstheme="minorHAnsi"/>
                <w:lang w:val="nl-BE"/>
              </w:rPr>
            </w:pPr>
            <w:r>
              <w:rPr>
                <w:lang w:val="nl-BE"/>
              </w:rPr>
              <w:t xml:space="preserve">Dit wordt continu opgevolgd door het VEA. </w:t>
            </w:r>
          </w:p>
        </w:tc>
      </w:tr>
      <w:tr w:rsidR="00E65DCF" w:rsidRPr="00686050" w14:paraId="2DF98216" w14:textId="77777777" w:rsidTr="00CE6118">
        <w:tc>
          <w:tcPr>
            <w:tcW w:w="699" w:type="dxa"/>
          </w:tcPr>
          <w:p w14:paraId="00CECA40" w14:textId="77777777" w:rsidR="00E65DCF" w:rsidRPr="00375AE6" w:rsidRDefault="00E65DCF" w:rsidP="00CE6118">
            <w:pPr>
              <w:rPr>
                <w:rFonts w:cstheme="minorHAnsi"/>
              </w:rPr>
            </w:pPr>
            <w:r>
              <w:rPr>
                <w:rFonts w:cstheme="minorHAnsi"/>
              </w:rPr>
              <w:t>29</w:t>
            </w:r>
          </w:p>
        </w:tc>
        <w:tc>
          <w:tcPr>
            <w:tcW w:w="7127" w:type="dxa"/>
          </w:tcPr>
          <w:p w14:paraId="183197B6" w14:textId="618A4AE7" w:rsidR="00E65DCF" w:rsidRPr="00E65DCF" w:rsidRDefault="006A6EAE" w:rsidP="00CE6118">
            <w:pPr>
              <w:rPr>
                <w:rFonts w:cstheme="minorHAnsi"/>
                <w:lang w:val="nl-BE"/>
              </w:rPr>
            </w:pPr>
            <w:r>
              <w:rPr>
                <w:lang w:val="nl-BE"/>
              </w:rPr>
              <w:t>Energieleningen: o</w:t>
            </w:r>
            <w:r w:rsidR="00E65DCF" w:rsidRPr="00E65DCF">
              <w:rPr>
                <w:lang w:val="nl-BE"/>
              </w:rPr>
              <w:t>nderzoeken of leningen aan de vereniging van mede-eigenaars kunnen worden toegekend</w:t>
            </w:r>
          </w:p>
        </w:tc>
        <w:tc>
          <w:tcPr>
            <w:tcW w:w="6917" w:type="dxa"/>
          </w:tcPr>
          <w:p w14:paraId="4195E185" w14:textId="71C709A6" w:rsidR="00E65DCF" w:rsidRPr="00E65DCF" w:rsidRDefault="006A6EAE" w:rsidP="00CE6118">
            <w:pPr>
              <w:contextualSpacing/>
              <w:jc w:val="both"/>
              <w:rPr>
                <w:lang w:val="nl-BE"/>
              </w:rPr>
            </w:pPr>
            <w:r>
              <w:rPr>
                <w:lang w:val="nl-BE"/>
              </w:rPr>
              <w:t xml:space="preserve">Dit onderzoek </w:t>
            </w:r>
            <w:r w:rsidR="009F4713">
              <w:rPr>
                <w:lang w:val="nl-BE"/>
              </w:rPr>
              <w:t xml:space="preserve">is </w:t>
            </w:r>
            <w:r>
              <w:rPr>
                <w:lang w:val="nl-BE"/>
              </w:rPr>
              <w:t xml:space="preserve">opgestart. </w:t>
            </w:r>
          </w:p>
        </w:tc>
      </w:tr>
      <w:tr w:rsidR="003A381D" w:rsidRPr="00686050" w14:paraId="3BF4E3DF" w14:textId="77777777" w:rsidTr="00CE6118">
        <w:tc>
          <w:tcPr>
            <w:tcW w:w="699" w:type="dxa"/>
          </w:tcPr>
          <w:p w14:paraId="58004681" w14:textId="77777777" w:rsidR="003A381D" w:rsidRPr="008C6721" w:rsidRDefault="00E65DCF" w:rsidP="00CE6118">
            <w:pPr>
              <w:rPr>
                <w:rFonts w:cstheme="minorHAnsi"/>
                <w:lang w:val="nl-BE"/>
              </w:rPr>
            </w:pPr>
            <w:r w:rsidRPr="006A6EAE">
              <w:rPr>
                <w:rFonts w:cstheme="minorHAnsi"/>
              </w:rPr>
              <w:t>30</w:t>
            </w:r>
          </w:p>
        </w:tc>
        <w:tc>
          <w:tcPr>
            <w:tcW w:w="7127" w:type="dxa"/>
          </w:tcPr>
          <w:p w14:paraId="1D9DABC4" w14:textId="6FA386F8" w:rsidR="003A381D" w:rsidRPr="00375AE6" w:rsidRDefault="006A6EAE" w:rsidP="00CE6118">
            <w:pPr>
              <w:rPr>
                <w:rFonts w:cstheme="minorHAnsi"/>
                <w:lang w:val="nl-BE"/>
              </w:rPr>
            </w:pPr>
            <w:r>
              <w:rPr>
                <w:rFonts w:cstheme="minorHAnsi"/>
                <w:lang w:val="nl-BE"/>
              </w:rPr>
              <w:t>Fiscaliteit: b</w:t>
            </w:r>
            <w:r w:rsidR="003A381D" w:rsidRPr="00375AE6">
              <w:rPr>
                <w:rFonts w:cstheme="minorHAnsi"/>
                <w:lang w:val="nl-BE"/>
              </w:rPr>
              <w:t>ehoud van de 30% belastingvermindering dakisolatie, eventueel uitbreiding naar andere maatregelen.</w:t>
            </w:r>
          </w:p>
        </w:tc>
        <w:tc>
          <w:tcPr>
            <w:tcW w:w="6917" w:type="dxa"/>
          </w:tcPr>
          <w:p w14:paraId="44D33D11" w14:textId="77777777" w:rsidR="00BC1BB4" w:rsidRPr="00BC1BB4" w:rsidRDefault="00BC1BB4" w:rsidP="00CE6118">
            <w:pPr>
              <w:jc w:val="both"/>
              <w:rPr>
                <w:lang w:val="nl-BE"/>
              </w:rPr>
            </w:pPr>
            <w:r w:rsidRPr="00BC1BB4">
              <w:rPr>
                <w:lang w:val="nl-BE"/>
              </w:rPr>
              <w:t>In 2020 wordt de dakisolatienorm van kracht en moe</w:t>
            </w:r>
            <w:r w:rsidR="00BE0BAF">
              <w:rPr>
                <w:lang w:val="nl-BE"/>
              </w:rPr>
              <w:t xml:space="preserve">t elke woning in Vlaanderen </w:t>
            </w:r>
            <w:r w:rsidRPr="00BC1BB4">
              <w:rPr>
                <w:lang w:val="nl-BE"/>
              </w:rPr>
              <w:t>verplicht een geïsoleerd dak hebben. Om die reden bouwt de Vlaamse Regering langzaamaan de financiële steun voor dakisolatie af.</w:t>
            </w:r>
          </w:p>
          <w:p w14:paraId="76DA9E39" w14:textId="208F549C" w:rsidR="003A381D" w:rsidRPr="00BC1BB4" w:rsidRDefault="00BC1BB4" w:rsidP="00CE6118">
            <w:pPr>
              <w:jc w:val="both"/>
              <w:rPr>
                <w:lang w:val="nl-BE"/>
              </w:rPr>
            </w:pPr>
            <w:r w:rsidRPr="0069479A">
              <w:rPr>
                <w:lang w:val="nl-BE"/>
              </w:rPr>
              <w:t xml:space="preserve">In 2017 verdwijnt het fiscaal voordeel voor dakisolatie. </w:t>
            </w:r>
            <w:r w:rsidRPr="00BC1BB4">
              <w:rPr>
                <w:lang w:val="nl-BE"/>
              </w:rPr>
              <w:t xml:space="preserve">Voor kwetsbare groepen </w:t>
            </w:r>
            <w:r>
              <w:rPr>
                <w:lang w:val="nl-BE"/>
              </w:rPr>
              <w:t xml:space="preserve">op de private huurmarkt </w:t>
            </w:r>
            <w:r w:rsidRPr="00BC1BB4">
              <w:rPr>
                <w:lang w:val="nl-BE"/>
              </w:rPr>
              <w:t xml:space="preserve">blijft de sociale dakisolatiepremie </w:t>
            </w:r>
            <w:r w:rsidR="006A6EAE">
              <w:rPr>
                <w:lang w:val="nl-BE"/>
              </w:rPr>
              <w:t xml:space="preserve">echter van </w:t>
            </w:r>
            <w:r w:rsidRPr="00BC1BB4">
              <w:rPr>
                <w:lang w:val="nl-BE"/>
              </w:rPr>
              <w:t>kracht</w:t>
            </w:r>
            <w:r w:rsidR="009F4713">
              <w:rPr>
                <w:lang w:val="nl-BE"/>
              </w:rPr>
              <w:t xml:space="preserve">. </w:t>
            </w:r>
          </w:p>
        </w:tc>
      </w:tr>
      <w:tr w:rsidR="003A381D" w:rsidRPr="00686050" w14:paraId="7FD48707" w14:textId="77777777" w:rsidTr="00CE6118">
        <w:tc>
          <w:tcPr>
            <w:tcW w:w="699" w:type="dxa"/>
          </w:tcPr>
          <w:p w14:paraId="3CD6C2E5" w14:textId="77777777" w:rsidR="003A381D" w:rsidRPr="00375AE6" w:rsidRDefault="00E65DCF" w:rsidP="00CE6118">
            <w:pPr>
              <w:shd w:val="clear" w:color="auto" w:fill="FFFFFF"/>
              <w:spacing w:before="100" w:beforeAutospacing="1" w:after="100" w:afterAutospacing="1"/>
              <w:rPr>
                <w:rFonts w:cstheme="minorHAnsi"/>
              </w:rPr>
            </w:pPr>
            <w:r>
              <w:rPr>
                <w:rFonts w:cstheme="minorHAnsi"/>
              </w:rPr>
              <w:t>31</w:t>
            </w:r>
          </w:p>
        </w:tc>
        <w:tc>
          <w:tcPr>
            <w:tcW w:w="7127" w:type="dxa"/>
          </w:tcPr>
          <w:p w14:paraId="15FF9FB7" w14:textId="77777777" w:rsidR="00B3187E" w:rsidRDefault="00B3187E" w:rsidP="00CE6118">
            <w:pPr>
              <w:rPr>
                <w:rFonts w:cstheme="minorHAnsi"/>
                <w:lang w:val="nl-BE"/>
              </w:rPr>
            </w:pPr>
            <w:r>
              <w:rPr>
                <w:rFonts w:cstheme="minorHAnsi"/>
                <w:lang w:val="nl-BE"/>
              </w:rPr>
              <w:t>Oprichting van een rollend fonds voor renovatiesubsidies</w:t>
            </w:r>
          </w:p>
          <w:p w14:paraId="0A9EDEC4" w14:textId="77777777" w:rsidR="00B3187E" w:rsidRDefault="00B3187E" w:rsidP="00CE6118">
            <w:pPr>
              <w:rPr>
                <w:rFonts w:cstheme="minorHAnsi"/>
                <w:lang w:val="nl-BE"/>
              </w:rPr>
            </w:pPr>
          </w:p>
          <w:p w14:paraId="0BD4A9EC" w14:textId="77777777" w:rsidR="003A381D" w:rsidRPr="00375AE6" w:rsidRDefault="003A381D" w:rsidP="00CE6118">
            <w:pPr>
              <w:contextualSpacing/>
              <w:rPr>
                <w:rFonts w:cstheme="minorHAnsi"/>
                <w:lang w:val="nl-BE"/>
              </w:rPr>
            </w:pPr>
          </w:p>
        </w:tc>
        <w:tc>
          <w:tcPr>
            <w:tcW w:w="6917" w:type="dxa"/>
          </w:tcPr>
          <w:p w14:paraId="7887765B" w14:textId="343F8860" w:rsidR="003A381D" w:rsidRPr="00375AE6" w:rsidRDefault="00B3187E" w:rsidP="00CE6118">
            <w:pPr>
              <w:jc w:val="both"/>
              <w:rPr>
                <w:rFonts w:cstheme="minorHAnsi"/>
                <w:lang w:val="nl-BE"/>
              </w:rPr>
            </w:pPr>
            <w:r w:rsidRPr="00B3187E">
              <w:rPr>
                <w:lang w:val="nl-BE"/>
              </w:rPr>
              <w:t>Aan PMV werd een opdracht toegekend om te onderzoeken onder welke voorwaarden een dergelijk fonds samengesteld uit publieke en private m</w:t>
            </w:r>
            <w:r>
              <w:rPr>
                <w:lang w:val="nl-BE"/>
              </w:rPr>
              <w:t>iddelen</w:t>
            </w:r>
            <w:r w:rsidR="00BE0BAF">
              <w:rPr>
                <w:lang w:val="nl-BE"/>
              </w:rPr>
              <w:t xml:space="preserve"> levensvatbaar is</w:t>
            </w:r>
            <w:r>
              <w:rPr>
                <w:lang w:val="nl-BE"/>
              </w:rPr>
              <w:t>.</w:t>
            </w:r>
          </w:p>
        </w:tc>
      </w:tr>
      <w:tr w:rsidR="003A381D" w:rsidRPr="00686050" w14:paraId="651AFC7F" w14:textId="77777777" w:rsidTr="00CE6118">
        <w:tc>
          <w:tcPr>
            <w:tcW w:w="699" w:type="dxa"/>
          </w:tcPr>
          <w:p w14:paraId="174D0F0E" w14:textId="77777777" w:rsidR="003A381D" w:rsidRPr="00375AE6" w:rsidRDefault="00E65DCF" w:rsidP="00CE6118">
            <w:pPr>
              <w:shd w:val="clear" w:color="auto" w:fill="FFFFFF"/>
              <w:spacing w:before="100" w:beforeAutospacing="1" w:after="100" w:afterAutospacing="1"/>
              <w:rPr>
                <w:rFonts w:cstheme="minorHAnsi"/>
              </w:rPr>
            </w:pPr>
            <w:r>
              <w:rPr>
                <w:rFonts w:cstheme="minorHAnsi"/>
              </w:rPr>
              <w:t>32</w:t>
            </w:r>
          </w:p>
        </w:tc>
        <w:tc>
          <w:tcPr>
            <w:tcW w:w="7127" w:type="dxa"/>
          </w:tcPr>
          <w:p w14:paraId="02475B24" w14:textId="72BC2219" w:rsidR="003A381D" w:rsidRPr="00375AE6" w:rsidRDefault="003A381D" w:rsidP="00CE6118">
            <w:pPr>
              <w:rPr>
                <w:rFonts w:cstheme="minorHAnsi"/>
                <w:lang w:val="nl-BE"/>
              </w:rPr>
            </w:pPr>
            <w:r w:rsidRPr="00375AE6">
              <w:rPr>
                <w:rFonts w:cstheme="minorHAnsi"/>
                <w:lang w:val="nl-BE"/>
              </w:rPr>
              <w:t xml:space="preserve">Bevorderen </w:t>
            </w:r>
            <w:r w:rsidR="00C60660">
              <w:rPr>
                <w:rFonts w:cstheme="minorHAnsi"/>
                <w:lang w:val="nl-BE"/>
              </w:rPr>
              <w:t xml:space="preserve">van </w:t>
            </w:r>
            <w:r w:rsidRPr="00375AE6">
              <w:rPr>
                <w:rFonts w:cstheme="minorHAnsi"/>
                <w:lang w:val="nl-BE"/>
              </w:rPr>
              <w:t xml:space="preserve">totaalinvesteringen: behouden van de  50% verhoging </w:t>
            </w:r>
            <w:r w:rsidR="00B3187E">
              <w:rPr>
                <w:rFonts w:cstheme="minorHAnsi"/>
                <w:lang w:val="nl-BE"/>
              </w:rPr>
              <w:t xml:space="preserve">voor </w:t>
            </w:r>
            <w:r w:rsidR="005A0D61">
              <w:rPr>
                <w:rFonts w:cstheme="minorHAnsi"/>
                <w:lang w:val="nl-BE"/>
              </w:rPr>
              <w:t>beschermde</w:t>
            </w:r>
            <w:r w:rsidR="00B3187E">
              <w:rPr>
                <w:rFonts w:cstheme="minorHAnsi"/>
                <w:lang w:val="nl-BE"/>
              </w:rPr>
              <w:t xml:space="preserve"> afnemers </w:t>
            </w:r>
            <w:r w:rsidRPr="00375AE6">
              <w:rPr>
                <w:rFonts w:cstheme="minorHAnsi"/>
                <w:lang w:val="nl-BE"/>
              </w:rPr>
              <w:t>op de premies per individuele maatregel</w:t>
            </w:r>
          </w:p>
        </w:tc>
        <w:tc>
          <w:tcPr>
            <w:tcW w:w="6917" w:type="dxa"/>
          </w:tcPr>
          <w:p w14:paraId="06801965" w14:textId="27ABEF33" w:rsidR="00B3187E" w:rsidRPr="008C6721" w:rsidRDefault="00C60660" w:rsidP="00CE6118">
            <w:pPr>
              <w:jc w:val="both"/>
              <w:rPr>
                <w:rFonts w:eastAsia="Times New Roman"/>
                <w:color w:val="000000"/>
                <w:lang w:val="nl-BE" w:eastAsia="nl-BE"/>
              </w:rPr>
            </w:pPr>
            <w:r>
              <w:rPr>
                <w:rFonts w:cstheme="minorHAnsi"/>
                <w:lang w:val="nl-BE"/>
              </w:rPr>
              <w:t>Dit is gerealiseerd</w:t>
            </w:r>
            <w:r w:rsidRPr="00C60660">
              <w:rPr>
                <w:rFonts w:cstheme="minorHAnsi"/>
                <w:lang w:val="nl-BE"/>
              </w:rPr>
              <w:t xml:space="preserve"> </w:t>
            </w:r>
            <w:r w:rsidR="00A74A1D" w:rsidRPr="00C60660">
              <w:rPr>
                <w:rFonts w:cstheme="minorHAnsi"/>
                <w:lang w:val="nl-BE"/>
              </w:rPr>
              <w:t xml:space="preserve">(met ingang vanaf 2017) </w:t>
            </w:r>
            <w:r w:rsidR="00B3187E" w:rsidRPr="00C60660">
              <w:rPr>
                <w:rFonts w:cstheme="minorHAnsi"/>
                <w:lang w:val="nl-BE"/>
              </w:rPr>
              <w:t xml:space="preserve">als onderdeel van de </w:t>
            </w:r>
            <w:r w:rsidR="00B3187E" w:rsidRPr="008C6721">
              <w:rPr>
                <w:rFonts w:eastAsia="Times New Roman"/>
                <w:color w:val="000000"/>
                <w:lang w:val="nl-BE" w:eastAsia="nl-BE"/>
              </w:rPr>
              <w:t xml:space="preserve">hervorming van de energiepremies waaraan  de Vlaamse Regering op 15 juli 2016 haar definitieve goedkeuring </w:t>
            </w:r>
            <w:r w:rsidR="00A74A1D" w:rsidRPr="008C6721">
              <w:rPr>
                <w:rFonts w:eastAsia="Times New Roman"/>
                <w:color w:val="000000"/>
                <w:lang w:val="nl-BE" w:eastAsia="nl-BE"/>
              </w:rPr>
              <w:t>hechtte. V</w:t>
            </w:r>
            <w:r w:rsidR="00B3187E" w:rsidRPr="008C6721">
              <w:rPr>
                <w:rFonts w:eastAsia="Times New Roman"/>
                <w:color w:val="000000"/>
                <w:lang w:val="nl-BE" w:eastAsia="nl-BE"/>
              </w:rPr>
              <w:t xml:space="preserve">oor beschermde afnemers </w:t>
            </w:r>
            <w:r w:rsidR="00A74A1D" w:rsidRPr="008C6721">
              <w:rPr>
                <w:rFonts w:eastAsia="Times New Roman"/>
                <w:color w:val="000000"/>
                <w:lang w:val="nl-BE" w:eastAsia="nl-BE"/>
              </w:rPr>
              <w:t xml:space="preserve">blijft </w:t>
            </w:r>
            <w:r w:rsidR="00F724A9" w:rsidRPr="008C6721">
              <w:rPr>
                <w:rFonts w:eastAsia="Times New Roman"/>
                <w:color w:val="000000"/>
                <w:lang w:val="nl-BE" w:eastAsia="nl-BE"/>
              </w:rPr>
              <w:t xml:space="preserve">voor meerdere maatregelen </w:t>
            </w:r>
            <w:r w:rsidR="00A74A1D" w:rsidRPr="008C6721">
              <w:rPr>
                <w:rFonts w:eastAsia="Times New Roman"/>
                <w:color w:val="000000"/>
                <w:lang w:val="nl-BE" w:eastAsia="nl-BE"/>
              </w:rPr>
              <w:t xml:space="preserve">de 50% bonus behouden én </w:t>
            </w:r>
            <w:r w:rsidR="00B3187E" w:rsidRPr="008C6721">
              <w:rPr>
                <w:rFonts w:eastAsia="Times New Roman"/>
                <w:color w:val="000000"/>
                <w:lang w:val="nl-BE" w:eastAsia="nl-BE"/>
              </w:rPr>
              <w:t>de</w:t>
            </w:r>
            <w:r w:rsidR="00A74A1D" w:rsidRPr="008C6721">
              <w:rPr>
                <w:rFonts w:eastAsia="Times New Roman"/>
                <w:color w:val="000000"/>
                <w:lang w:val="nl-BE" w:eastAsia="nl-BE"/>
              </w:rPr>
              <w:t xml:space="preserve"> bonussen voor meerder</w:t>
            </w:r>
            <w:r w:rsidRPr="008C6721">
              <w:rPr>
                <w:rFonts w:eastAsia="Times New Roman"/>
                <w:color w:val="000000"/>
                <w:lang w:val="nl-BE" w:eastAsia="nl-BE"/>
              </w:rPr>
              <w:t>e</w:t>
            </w:r>
            <w:r w:rsidR="00A74A1D" w:rsidRPr="008C6721">
              <w:rPr>
                <w:rFonts w:eastAsia="Times New Roman"/>
                <w:color w:val="000000"/>
                <w:lang w:val="nl-BE" w:eastAsia="nl-BE"/>
              </w:rPr>
              <w:t xml:space="preserve"> </w:t>
            </w:r>
            <w:r w:rsidR="00B3187E" w:rsidRPr="008C6721">
              <w:rPr>
                <w:rFonts w:eastAsia="Times New Roman"/>
                <w:color w:val="000000"/>
                <w:lang w:val="nl-BE" w:eastAsia="nl-BE"/>
              </w:rPr>
              <w:t xml:space="preserve"> maatregelen bijkomend verhoogd</w:t>
            </w:r>
            <w:r w:rsidR="00A74A1D" w:rsidRPr="008C6721">
              <w:rPr>
                <w:rFonts w:eastAsia="Times New Roman"/>
                <w:color w:val="000000"/>
                <w:lang w:val="nl-BE" w:eastAsia="nl-BE"/>
              </w:rPr>
              <w:t>:</w:t>
            </w:r>
          </w:p>
          <w:p w14:paraId="7B5AFCB3" w14:textId="0A043712" w:rsidR="00B3187E" w:rsidRPr="008C6721" w:rsidRDefault="00B3187E" w:rsidP="00CE6118">
            <w:pPr>
              <w:jc w:val="both"/>
              <w:rPr>
                <w:rFonts w:eastAsia="Times New Roman"/>
                <w:color w:val="000000"/>
                <w:lang w:val="nl-BE" w:eastAsia="nl-BE"/>
              </w:rPr>
            </w:pPr>
            <w:r w:rsidRPr="008C6721">
              <w:rPr>
                <w:rFonts w:eastAsia="Times New Roman"/>
                <w:color w:val="000000"/>
                <w:lang w:val="nl-BE" w:eastAsia="nl-BE"/>
              </w:rPr>
              <w:t>- dakisolatie (bonus wordt 75%</w:t>
            </w:r>
            <w:r w:rsidR="00A74A1D" w:rsidRPr="008C6721">
              <w:rPr>
                <w:rFonts w:eastAsia="Times New Roman"/>
                <w:color w:val="000000"/>
                <w:lang w:val="nl-BE" w:eastAsia="nl-BE"/>
              </w:rPr>
              <w:t xml:space="preserve"> of 10,5 euro per m² ipv 6</w:t>
            </w:r>
            <w:r w:rsidRPr="008C6721">
              <w:rPr>
                <w:rFonts w:eastAsia="Times New Roman"/>
                <w:color w:val="000000"/>
                <w:lang w:val="nl-BE" w:eastAsia="nl-BE"/>
              </w:rPr>
              <w:t>))</w:t>
            </w:r>
          </w:p>
          <w:p w14:paraId="6C9D5B06" w14:textId="77777777" w:rsidR="00B3187E" w:rsidRPr="008C6721" w:rsidRDefault="00B3187E" w:rsidP="00CE6118">
            <w:pPr>
              <w:jc w:val="both"/>
              <w:rPr>
                <w:rFonts w:eastAsia="Times New Roman"/>
                <w:color w:val="000000"/>
                <w:lang w:val="nl-BE" w:eastAsia="nl-BE"/>
              </w:rPr>
            </w:pPr>
            <w:r w:rsidRPr="008C6721">
              <w:rPr>
                <w:rFonts w:eastAsia="Times New Roman"/>
                <w:color w:val="000000"/>
                <w:lang w:val="nl-BE" w:eastAsia="nl-BE"/>
              </w:rPr>
              <w:t>- hoogrendementsglas (bonus wordt 460% of 56 euro per m² ipv 10))</w:t>
            </w:r>
          </w:p>
          <w:p w14:paraId="6BB9D769" w14:textId="77777777" w:rsidR="00B3187E" w:rsidRPr="008C6721" w:rsidRDefault="00B3187E" w:rsidP="00CE6118">
            <w:pPr>
              <w:jc w:val="both"/>
              <w:rPr>
                <w:rFonts w:eastAsia="Times New Roman"/>
                <w:color w:val="000000"/>
                <w:lang w:val="nl-BE" w:eastAsia="nl-BE"/>
              </w:rPr>
            </w:pPr>
            <w:r w:rsidRPr="008C6721">
              <w:rPr>
                <w:rFonts w:eastAsia="Times New Roman"/>
                <w:color w:val="000000"/>
                <w:lang w:val="nl-BE" w:eastAsia="nl-BE"/>
              </w:rPr>
              <w:t>- Voor de plaatsing van een condensatieketel stijgt de premie van 800 naar 1800 euro (</w:t>
            </w:r>
            <w:r w:rsidR="00A74A1D" w:rsidRPr="008C6721">
              <w:rPr>
                <w:rFonts w:eastAsia="Times New Roman"/>
                <w:color w:val="000000"/>
                <w:lang w:val="nl-BE" w:eastAsia="nl-BE"/>
              </w:rPr>
              <w:t xml:space="preserve">+ </w:t>
            </w:r>
            <w:r w:rsidRPr="008C6721">
              <w:rPr>
                <w:rFonts w:eastAsia="Times New Roman"/>
                <w:color w:val="000000"/>
                <w:lang w:val="nl-BE" w:eastAsia="nl-BE"/>
              </w:rPr>
              <w:t>125%)</w:t>
            </w:r>
          </w:p>
          <w:p w14:paraId="5389B614" w14:textId="77777777" w:rsidR="00A74A1D" w:rsidRPr="00375AE6" w:rsidRDefault="00A74A1D" w:rsidP="00CE6118">
            <w:pPr>
              <w:jc w:val="both"/>
              <w:rPr>
                <w:rFonts w:eastAsia="Times New Roman"/>
                <w:color w:val="000000"/>
                <w:sz w:val="20"/>
                <w:szCs w:val="20"/>
                <w:lang w:val="nl-BE" w:eastAsia="nl-BE"/>
              </w:rPr>
            </w:pPr>
            <w:r w:rsidRPr="008C6721">
              <w:rPr>
                <w:rFonts w:eastAsia="Times New Roman"/>
                <w:color w:val="000000"/>
                <w:lang w:val="nl-BE" w:eastAsia="nl-BE"/>
              </w:rPr>
              <w:t>Bovendien komt er ook 50% verhoging van de bonusbedragen die in het kader van de totaalrenovatiebonus vanaf de derde maatregel worden toegekend.</w:t>
            </w:r>
          </w:p>
        </w:tc>
      </w:tr>
      <w:tr w:rsidR="003A381D" w:rsidRPr="00686050" w14:paraId="5AE07B4F" w14:textId="77777777" w:rsidTr="00CE6118">
        <w:tc>
          <w:tcPr>
            <w:tcW w:w="699" w:type="dxa"/>
          </w:tcPr>
          <w:p w14:paraId="57558F2B" w14:textId="77777777" w:rsidR="003A381D" w:rsidRPr="00375AE6" w:rsidRDefault="00E65DCF" w:rsidP="00CE6118">
            <w:pPr>
              <w:shd w:val="clear" w:color="auto" w:fill="FFFFFF"/>
              <w:rPr>
                <w:rFonts w:eastAsia="Times New Roman" w:cstheme="minorHAnsi"/>
                <w:lang w:eastAsia="nl-BE"/>
              </w:rPr>
            </w:pPr>
            <w:r>
              <w:rPr>
                <w:rFonts w:eastAsia="Times New Roman" w:cstheme="minorHAnsi"/>
                <w:lang w:eastAsia="nl-BE"/>
              </w:rPr>
              <w:lastRenderedPageBreak/>
              <w:t>33</w:t>
            </w:r>
          </w:p>
        </w:tc>
        <w:tc>
          <w:tcPr>
            <w:tcW w:w="7127" w:type="dxa"/>
          </w:tcPr>
          <w:p w14:paraId="08624834" w14:textId="3BE1A60E" w:rsidR="003A381D" w:rsidRPr="00375AE6" w:rsidRDefault="00C60660" w:rsidP="00CE6118">
            <w:pPr>
              <w:rPr>
                <w:rFonts w:cstheme="minorHAnsi"/>
                <w:lang w:val="nl-BE"/>
              </w:rPr>
            </w:pPr>
            <w:r>
              <w:rPr>
                <w:rFonts w:cstheme="minorHAnsi"/>
                <w:lang w:val="nl-BE"/>
              </w:rPr>
              <w:t>Bevorderen van w</w:t>
            </w:r>
            <w:r w:rsidR="003A381D" w:rsidRPr="00375AE6">
              <w:rPr>
                <w:rFonts w:cstheme="minorHAnsi"/>
                <w:lang w:val="nl-BE"/>
              </w:rPr>
              <w:t xml:space="preserve">ijkrenovatie: </w:t>
            </w:r>
            <w:r>
              <w:rPr>
                <w:rFonts w:cstheme="minorHAnsi"/>
                <w:lang w:val="nl-BE"/>
              </w:rPr>
              <w:t>in</w:t>
            </w:r>
            <w:r w:rsidR="003A381D" w:rsidRPr="00375AE6">
              <w:rPr>
                <w:rFonts w:cstheme="minorHAnsi"/>
                <w:lang w:val="nl-BE"/>
              </w:rPr>
              <w:t xml:space="preserve"> het bijzonder wordt gefocust op de ondersteuning van projecten voor wijkrenovaties voor kwetsbare gezinnen met extra begeleiding en ontzorging door dienstverleners die bij voorkeur actief zijn binnen de sociale economie.  </w:t>
            </w:r>
          </w:p>
        </w:tc>
        <w:tc>
          <w:tcPr>
            <w:tcW w:w="6917" w:type="dxa"/>
          </w:tcPr>
          <w:p w14:paraId="3D78B5BA" w14:textId="5AAC4B44" w:rsidR="006E1303" w:rsidRPr="008C6721" w:rsidRDefault="00A74A1D" w:rsidP="00CE6118">
            <w:pPr>
              <w:jc w:val="both"/>
              <w:rPr>
                <w:rFonts w:eastAsia="Times New Roman"/>
                <w:color w:val="000000"/>
                <w:lang w:val="nl-BE" w:eastAsia="nl-BE"/>
              </w:rPr>
            </w:pPr>
            <w:r w:rsidRPr="008C6721">
              <w:rPr>
                <w:rFonts w:eastAsia="Times New Roman"/>
                <w:color w:val="000000"/>
                <w:lang w:val="nl-BE" w:eastAsia="nl-BE"/>
              </w:rPr>
              <w:t>Met de  “</w:t>
            </w:r>
            <w:r w:rsidR="0068364D">
              <w:rPr>
                <w:rFonts w:eastAsia="Times New Roman"/>
                <w:color w:val="000000"/>
                <w:lang w:val="nl-BE" w:eastAsia="nl-BE"/>
              </w:rPr>
              <w:t>b</w:t>
            </w:r>
            <w:r w:rsidRPr="008C6721">
              <w:rPr>
                <w:rFonts w:eastAsia="Times New Roman"/>
                <w:color w:val="000000"/>
                <w:lang w:val="nl-BE" w:eastAsia="nl-BE"/>
              </w:rPr>
              <w:t>urenpremie” (onderdeel van de hervorming van de energiepremies waaraan  de Vlaamse Regering op 15 juli 2016 haar definitieve goedkeuring hechtte) beschikken we vanaf 2017 over een ondersteunend instrument</w:t>
            </w:r>
            <w:r w:rsidR="00BE0BAF" w:rsidRPr="008C6721">
              <w:rPr>
                <w:rFonts w:eastAsia="Times New Roman"/>
                <w:color w:val="000000"/>
                <w:lang w:val="nl-BE" w:eastAsia="nl-BE"/>
              </w:rPr>
              <w:t xml:space="preserve"> voor collectieve renovatie</w:t>
            </w:r>
            <w:r w:rsidRPr="008C6721">
              <w:rPr>
                <w:rFonts w:eastAsia="Times New Roman"/>
                <w:color w:val="000000"/>
                <w:lang w:val="nl-BE" w:eastAsia="nl-BE"/>
              </w:rPr>
              <w:t xml:space="preserve">. </w:t>
            </w:r>
            <w:r w:rsidR="006E1303" w:rsidRPr="008C6721">
              <w:rPr>
                <w:rFonts w:eastAsia="Times New Roman"/>
                <w:color w:val="000000"/>
                <w:lang w:val="nl-BE" w:eastAsia="nl-BE"/>
              </w:rPr>
              <w:t>Op basis van de eerste ervaringen zal met de netbeheerders worden afgestemd hoe deze projecten ook de kwetsbare gezinnen ten goede kunnen komen.</w:t>
            </w:r>
          </w:p>
        </w:tc>
      </w:tr>
      <w:tr w:rsidR="003A381D" w:rsidRPr="00686050" w14:paraId="6A4FE851" w14:textId="77777777" w:rsidTr="00CE6118">
        <w:tc>
          <w:tcPr>
            <w:tcW w:w="699" w:type="dxa"/>
          </w:tcPr>
          <w:p w14:paraId="70E75E43" w14:textId="77777777" w:rsidR="003A381D" w:rsidRPr="00375AE6" w:rsidRDefault="00E65DCF" w:rsidP="00CE6118">
            <w:pPr>
              <w:shd w:val="clear" w:color="auto" w:fill="FFFFFF"/>
              <w:rPr>
                <w:rFonts w:eastAsia="Times New Roman" w:cstheme="minorHAnsi"/>
                <w:lang w:eastAsia="nl-BE"/>
              </w:rPr>
            </w:pPr>
            <w:r>
              <w:rPr>
                <w:rFonts w:eastAsia="Times New Roman" w:cstheme="minorHAnsi"/>
                <w:lang w:eastAsia="nl-BE"/>
              </w:rPr>
              <w:t>34</w:t>
            </w:r>
          </w:p>
        </w:tc>
        <w:tc>
          <w:tcPr>
            <w:tcW w:w="7127" w:type="dxa"/>
          </w:tcPr>
          <w:p w14:paraId="77182500" w14:textId="0BB027DC" w:rsidR="003A381D" w:rsidRPr="00375AE6" w:rsidRDefault="00C60660" w:rsidP="00CE6118">
            <w:pPr>
              <w:rPr>
                <w:rFonts w:cstheme="minorHAnsi"/>
                <w:lang w:val="nl-BE"/>
              </w:rPr>
            </w:pPr>
            <w:r>
              <w:rPr>
                <w:rFonts w:cstheme="minorHAnsi"/>
                <w:lang w:val="nl-BE"/>
              </w:rPr>
              <w:t xml:space="preserve">Verlaagd BTW-tarief bij renovatie van woningen: </w:t>
            </w:r>
            <w:r w:rsidR="003A381D" w:rsidRPr="00375AE6">
              <w:rPr>
                <w:rFonts w:cstheme="minorHAnsi"/>
                <w:lang w:val="nl-BE"/>
              </w:rPr>
              <w:t>de Vlaamse minister, bevoegd voor het energiebeleid, kaart bij de federale bevoegde collega aan:</w:t>
            </w:r>
          </w:p>
          <w:p w14:paraId="74506A28" w14:textId="77777777" w:rsidR="003A381D" w:rsidRPr="00375AE6" w:rsidRDefault="003A381D" w:rsidP="00CE6118">
            <w:pPr>
              <w:numPr>
                <w:ilvl w:val="0"/>
                <w:numId w:val="2"/>
              </w:numPr>
              <w:contextualSpacing/>
              <w:rPr>
                <w:rFonts w:cstheme="minorHAnsi"/>
                <w:lang w:val="nl-BE"/>
              </w:rPr>
            </w:pPr>
            <w:r w:rsidRPr="00375AE6">
              <w:rPr>
                <w:rFonts w:cstheme="minorHAnsi"/>
                <w:lang w:val="nl-BE"/>
              </w:rPr>
              <w:t xml:space="preserve">de uitbreiding van het verlaagde BTW-tarief voor renovatie van de bouwheer  naar de particuliere koper. </w:t>
            </w:r>
          </w:p>
          <w:p w14:paraId="4C0575CB" w14:textId="77777777" w:rsidR="003A381D" w:rsidRPr="00BE0BAF" w:rsidRDefault="003A381D" w:rsidP="00CE6118">
            <w:pPr>
              <w:numPr>
                <w:ilvl w:val="0"/>
                <w:numId w:val="2"/>
              </w:numPr>
              <w:contextualSpacing/>
              <w:rPr>
                <w:rFonts w:cstheme="minorHAnsi"/>
                <w:lang w:val="nl-BE"/>
              </w:rPr>
            </w:pPr>
            <w:r w:rsidRPr="00375AE6">
              <w:rPr>
                <w:rFonts w:cstheme="minorHAnsi"/>
                <w:lang w:val="nl-BE"/>
              </w:rPr>
              <w:t>de uitbreiding van het toepassingsgebied voor het verlaagde BTW-tarief voor hernieuwbouw na sloop tot buiten de centrumsteden.</w:t>
            </w:r>
          </w:p>
        </w:tc>
        <w:tc>
          <w:tcPr>
            <w:tcW w:w="6917" w:type="dxa"/>
          </w:tcPr>
          <w:p w14:paraId="0884D0EE" w14:textId="40C6F920" w:rsidR="003A381D" w:rsidRPr="00375AE6" w:rsidRDefault="00BF1B5C" w:rsidP="00CE6118">
            <w:pPr>
              <w:jc w:val="both"/>
              <w:rPr>
                <w:rFonts w:cstheme="minorHAnsi"/>
                <w:lang w:val="nl-BE"/>
              </w:rPr>
            </w:pPr>
            <w:r w:rsidRPr="00BF1B5C">
              <w:rPr>
                <w:rFonts w:cstheme="minorHAnsi"/>
                <w:lang w:val="nl-BE"/>
              </w:rPr>
              <w:t>Deze problematiek werd afgelopen zomer aan</w:t>
            </w:r>
            <w:r w:rsidR="00294F02">
              <w:rPr>
                <w:rFonts w:cstheme="minorHAnsi"/>
                <w:lang w:val="nl-BE"/>
              </w:rPr>
              <w:t>gekaart op het federale niveau.</w:t>
            </w:r>
          </w:p>
        </w:tc>
      </w:tr>
    </w:tbl>
    <w:p w14:paraId="4114E215" w14:textId="2AB07657" w:rsidR="00375AE6" w:rsidRDefault="00CE6118">
      <w:r>
        <w:br w:type="textWrapping" w:clear="all"/>
      </w:r>
    </w:p>
    <w:sectPr w:rsidR="00375AE6" w:rsidSect="00375AE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50D5"/>
    <w:multiLevelType w:val="hybridMultilevel"/>
    <w:tmpl w:val="90709714"/>
    <w:lvl w:ilvl="0" w:tplc="AB68463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172A38"/>
    <w:multiLevelType w:val="hybridMultilevel"/>
    <w:tmpl w:val="9FE24300"/>
    <w:lvl w:ilvl="0" w:tplc="5F78DFC2">
      <w:numFmt w:val="bullet"/>
      <w:lvlText w:val="-"/>
      <w:lvlJc w:val="left"/>
      <w:pPr>
        <w:ind w:left="360" w:hanging="360"/>
      </w:pPr>
      <w:rPr>
        <w:rFonts w:ascii="Calibri" w:eastAsiaTheme="minorHAnsi"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1E54AAA"/>
    <w:multiLevelType w:val="hybridMultilevel"/>
    <w:tmpl w:val="32F67624"/>
    <w:lvl w:ilvl="0" w:tplc="5F78DFC2">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29F30AC"/>
    <w:multiLevelType w:val="multilevel"/>
    <w:tmpl w:val="73CE44F4"/>
    <w:lvl w:ilvl="0">
      <w:start w:val="4"/>
      <w:numFmt w:val="bullet"/>
      <w:lvlText w:val="-"/>
      <w:lvlJc w:val="left"/>
      <w:pPr>
        <w:tabs>
          <w:tab w:val="num" w:pos="360"/>
        </w:tabs>
        <w:ind w:left="360" w:hanging="360"/>
      </w:pPr>
      <w:rPr>
        <w:rFonts w:ascii="Times New Roman" w:eastAsia="Times New Roman" w:hAnsi="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4195FFE"/>
    <w:multiLevelType w:val="hybridMultilevel"/>
    <w:tmpl w:val="BC767FFC"/>
    <w:lvl w:ilvl="0" w:tplc="0813000F">
      <w:start w:val="1"/>
      <w:numFmt w:val="decimal"/>
      <w:lvlText w:val="%1."/>
      <w:lvlJc w:val="left"/>
      <w:pPr>
        <w:ind w:left="360" w:hanging="360"/>
      </w:pPr>
      <w:rPr>
        <w:rFonts w:hint="default"/>
        <w:sz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FD22DFF"/>
    <w:multiLevelType w:val="hybridMultilevel"/>
    <w:tmpl w:val="1ACAFC92"/>
    <w:lvl w:ilvl="0" w:tplc="AB68463A">
      <w:numFmt w:val="bullet"/>
      <w:lvlText w:val="-"/>
      <w:lvlJc w:val="left"/>
      <w:pPr>
        <w:ind w:left="360" w:hanging="360"/>
      </w:pPr>
      <w:rPr>
        <w:rFonts w:ascii="Calibri" w:eastAsiaTheme="minorHAnsi" w:hAnsi="Calibri" w:cs="Calibri" w:hint="default"/>
        <w:sz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64166A46"/>
    <w:multiLevelType w:val="hybridMultilevel"/>
    <w:tmpl w:val="784C8ED0"/>
    <w:lvl w:ilvl="0" w:tplc="AB68463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4F4732C"/>
    <w:multiLevelType w:val="hybridMultilevel"/>
    <w:tmpl w:val="F2D6969E"/>
    <w:lvl w:ilvl="0" w:tplc="B9BE37A6">
      <w:start w:val="4"/>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0"/>
  </w:num>
  <w:num w:numId="4">
    <w:abstractNumId w:val="6"/>
  </w:num>
  <w:num w:numId="5">
    <w:abstractNumId w:val="1"/>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EE"/>
    <w:rsid w:val="00011A20"/>
    <w:rsid w:val="00065847"/>
    <w:rsid w:val="00087E05"/>
    <w:rsid w:val="00125104"/>
    <w:rsid w:val="00150968"/>
    <w:rsid w:val="00152701"/>
    <w:rsid w:val="001F18C5"/>
    <w:rsid w:val="00215BB7"/>
    <w:rsid w:val="00241A61"/>
    <w:rsid w:val="0027612C"/>
    <w:rsid w:val="00294F02"/>
    <w:rsid w:val="002A368B"/>
    <w:rsid w:val="002D4B27"/>
    <w:rsid w:val="002E4D51"/>
    <w:rsid w:val="00375AE6"/>
    <w:rsid w:val="003903E4"/>
    <w:rsid w:val="003A381D"/>
    <w:rsid w:val="0043734A"/>
    <w:rsid w:val="00450F2E"/>
    <w:rsid w:val="004E7D9A"/>
    <w:rsid w:val="00505876"/>
    <w:rsid w:val="005656E3"/>
    <w:rsid w:val="00572514"/>
    <w:rsid w:val="005726B0"/>
    <w:rsid w:val="005A04EA"/>
    <w:rsid w:val="005A0D61"/>
    <w:rsid w:val="005A7228"/>
    <w:rsid w:val="005C1029"/>
    <w:rsid w:val="005E7ABB"/>
    <w:rsid w:val="006507F8"/>
    <w:rsid w:val="00664281"/>
    <w:rsid w:val="0068364D"/>
    <w:rsid w:val="00683CA5"/>
    <w:rsid w:val="00686050"/>
    <w:rsid w:val="0069479A"/>
    <w:rsid w:val="006A6EAE"/>
    <w:rsid w:val="006B1E67"/>
    <w:rsid w:val="006B4AC4"/>
    <w:rsid w:val="006E1303"/>
    <w:rsid w:val="006F1460"/>
    <w:rsid w:val="006F3AA9"/>
    <w:rsid w:val="00711EBC"/>
    <w:rsid w:val="00775888"/>
    <w:rsid w:val="007C1B1A"/>
    <w:rsid w:val="007E531F"/>
    <w:rsid w:val="008052C4"/>
    <w:rsid w:val="008C6721"/>
    <w:rsid w:val="008F3A24"/>
    <w:rsid w:val="009F4713"/>
    <w:rsid w:val="00A109E2"/>
    <w:rsid w:val="00A74A1D"/>
    <w:rsid w:val="00A83CB5"/>
    <w:rsid w:val="00AE687A"/>
    <w:rsid w:val="00AE747E"/>
    <w:rsid w:val="00B3187E"/>
    <w:rsid w:val="00B37209"/>
    <w:rsid w:val="00B41F14"/>
    <w:rsid w:val="00B501EE"/>
    <w:rsid w:val="00BC1BB4"/>
    <w:rsid w:val="00BD35E5"/>
    <w:rsid w:val="00BE0BAF"/>
    <w:rsid w:val="00BF1B5C"/>
    <w:rsid w:val="00C02453"/>
    <w:rsid w:val="00C60660"/>
    <w:rsid w:val="00C86EC7"/>
    <w:rsid w:val="00CE6118"/>
    <w:rsid w:val="00DE2B02"/>
    <w:rsid w:val="00DF7FBE"/>
    <w:rsid w:val="00E41D19"/>
    <w:rsid w:val="00E65DCF"/>
    <w:rsid w:val="00ED0E9D"/>
    <w:rsid w:val="00ED5B71"/>
    <w:rsid w:val="00F17197"/>
    <w:rsid w:val="00F509D2"/>
    <w:rsid w:val="00F724A9"/>
    <w:rsid w:val="00F9745E"/>
    <w:rsid w:val="00FA6E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5544"/>
  <w15:docId w15:val="{D9989A1D-D569-4F20-9CAB-E685F015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75AE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5AE6"/>
    <w:pPr>
      <w:ind w:left="720"/>
      <w:contextualSpacing/>
    </w:pPr>
  </w:style>
  <w:style w:type="paragraph" w:customStyle="1" w:styleId="Default">
    <w:name w:val="Default"/>
    <w:rsid w:val="00686050"/>
    <w:pPr>
      <w:autoSpaceDE w:val="0"/>
      <w:autoSpaceDN w:val="0"/>
      <w:adjustRightInd w:val="0"/>
      <w:spacing w:after="0" w:line="240" w:lineRule="auto"/>
    </w:pPr>
    <w:rPr>
      <w:rFonts w:ascii="FlandersArtSans-Regular" w:hAnsi="FlandersArtSans-Regular" w:cs="FlandersArtSans-Regular"/>
      <w:color w:val="000000"/>
      <w:sz w:val="24"/>
      <w:szCs w:val="24"/>
    </w:rPr>
  </w:style>
  <w:style w:type="paragraph" w:customStyle="1" w:styleId="Nummering">
    <w:name w:val="Nummering"/>
    <w:basedOn w:val="Lijstalinea"/>
    <w:link w:val="NummeringChar"/>
    <w:qFormat/>
    <w:rsid w:val="00572514"/>
    <w:pPr>
      <w:numPr>
        <w:numId w:val="7"/>
      </w:numPr>
      <w:spacing w:after="120" w:line="240" w:lineRule="auto"/>
      <w:contextualSpacing w:val="0"/>
      <w:jc w:val="both"/>
    </w:pPr>
    <w:rPr>
      <w:rFonts w:ascii="Verdana" w:eastAsia="Times New Roman" w:hAnsi="Verdana" w:cs="Times New Roman"/>
      <w:sz w:val="20"/>
      <w:szCs w:val="24"/>
      <w:lang w:val="en-US" w:eastAsia="nl-NL"/>
    </w:rPr>
  </w:style>
  <w:style w:type="character" w:customStyle="1" w:styleId="NummeringChar">
    <w:name w:val="Nummering Char"/>
    <w:link w:val="Nummering"/>
    <w:rsid w:val="00572514"/>
    <w:rPr>
      <w:rFonts w:ascii="Verdana" w:eastAsia="Times New Roman" w:hAnsi="Verdana" w:cs="Times New Roman"/>
      <w:sz w:val="20"/>
      <w:szCs w:val="24"/>
      <w:lang w:val="en-US" w:eastAsia="nl-NL"/>
    </w:rPr>
  </w:style>
  <w:style w:type="paragraph" w:styleId="Ballontekst">
    <w:name w:val="Balloon Text"/>
    <w:basedOn w:val="Standaard"/>
    <w:link w:val="BallontekstChar"/>
    <w:uiPriority w:val="99"/>
    <w:semiHidden/>
    <w:unhideWhenUsed/>
    <w:rsid w:val="00683C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3CA5"/>
    <w:rPr>
      <w:rFonts w:ascii="Tahoma" w:hAnsi="Tahoma" w:cs="Tahoma"/>
      <w:sz w:val="16"/>
      <w:szCs w:val="16"/>
    </w:rPr>
  </w:style>
  <w:style w:type="character" w:styleId="Verwijzingopmerking">
    <w:name w:val="annotation reference"/>
    <w:basedOn w:val="Standaardalinea-lettertype"/>
    <w:uiPriority w:val="99"/>
    <w:semiHidden/>
    <w:unhideWhenUsed/>
    <w:rsid w:val="00DE2B02"/>
    <w:rPr>
      <w:sz w:val="16"/>
      <w:szCs w:val="16"/>
    </w:rPr>
  </w:style>
  <w:style w:type="paragraph" w:styleId="Tekstopmerking">
    <w:name w:val="annotation text"/>
    <w:basedOn w:val="Standaard"/>
    <w:link w:val="TekstopmerkingChar"/>
    <w:uiPriority w:val="99"/>
    <w:semiHidden/>
    <w:unhideWhenUsed/>
    <w:rsid w:val="00DE2B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E2B02"/>
    <w:rPr>
      <w:sz w:val="20"/>
      <w:szCs w:val="20"/>
    </w:rPr>
  </w:style>
  <w:style w:type="paragraph" w:styleId="Onderwerpvanopmerking">
    <w:name w:val="annotation subject"/>
    <w:basedOn w:val="Tekstopmerking"/>
    <w:next w:val="Tekstopmerking"/>
    <w:link w:val="OnderwerpvanopmerkingChar"/>
    <w:uiPriority w:val="99"/>
    <w:semiHidden/>
    <w:unhideWhenUsed/>
    <w:rsid w:val="00DE2B02"/>
    <w:rPr>
      <w:b/>
      <w:bCs/>
    </w:rPr>
  </w:style>
  <w:style w:type="character" w:customStyle="1" w:styleId="OnderwerpvanopmerkingChar">
    <w:name w:val="Onderwerp van opmerking Char"/>
    <w:basedOn w:val="TekstopmerkingChar"/>
    <w:link w:val="Onderwerpvanopmerking"/>
    <w:uiPriority w:val="99"/>
    <w:semiHidden/>
    <w:rsid w:val="00DE2B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04279">
      <w:bodyDiv w:val="1"/>
      <w:marLeft w:val="0"/>
      <w:marRight w:val="0"/>
      <w:marTop w:val="0"/>
      <w:marBottom w:val="0"/>
      <w:divBdr>
        <w:top w:val="none" w:sz="0" w:space="0" w:color="auto"/>
        <w:left w:val="none" w:sz="0" w:space="0" w:color="auto"/>
        <w:bottom w:val="none" w:sz="0" w:space="0" w:color="auto"/>
        <w:right w:val="none" w:sz="0" w:space="0" w:color="auto"/>
      </w:divBdr>
    </w:div>
    <w:div w:id="555511411">
      <w:bodyDiv w:val="1"/>
      <w:marLeft w:val="0"/>
      <w:marRight w:val="0"/>
      <w:marTop w:val="0"/>
      <w:marBottom w:val="0"/>
      <w:divBdr>
        <w:top w:val="none" w:sz="0" w:space="0" w:color="auto"/>
        <w:left w:val="none" w:sz="0" w:space="0" w:color="auto"/>
        <w:bottom w:val="none" w:sz="0" w:space="0" w:color="auto"/>
        <w:right w:val="none" w:sz="0" w:space="0" w:color="auto"/>
      </w:divBdr>
    </w:div>
    <w:div w:id="10299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communicerenmetarm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eea632d-76ac-411f-9d56-e25a8bed84d9">TOMMEL-23-5829</_dlc_DocId>
    <_dlc_DocIdUrl xmlns="3eea632d-76ac-411f-9d56-e25a8bed84d9">
      <Url>https://kabinettommelein.vo.proximuscloudsharepoint.be/PR/_layouts/15/DocIdRedir.aspx?ID=TOMMEL-23-5829</Url>
      <Description>TOMMEL-23-5829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8CF79526C13C429E655B0F479D2CB0" ma:contentTypeVersion="2" ma:contentTypeDescription="Een nieuw document maken." ma:contentTypeScope="" ma:versionID="d1a9fe2dc7b7d6e6543101bbe5ec1601">
  <xsd:schema xmlns:xsd="http://www.w3.org/2001/XMLSchema" xmlns:xs="http://www.w3.org/2001/XMLSchema" xmlns:p="http://schemas.microsoft.com/office/2006/metadata/properties" xmlns:ns2="3eea632d-76ac-411f-9d56-e25a8bed84d9" targetNamespace="http://schemas.microsoft.com/office/2006/metadata/properties" ma:root="true" ma:fieldsID="6b5545d4283321233eb1a03558c0a54c" ns2:_="">
    <xsd:import namespace="3eea632d-76ac-411f-9d56-e25a8bed84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a632d-76ac-411f-9d56-e25a8bed84d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8B261-6812-48D2-98B0-F261544202F9}">
  <ds:schemaRefs>
    <ds:schemaRef ds:uri="http://schemas.microsoft.com/office/2006/metadata/properties"/>
    <ds:schemaRef ds:uri="http://schemas.microsoft.com/office/infopath/2007/PartnerControls"/>
    <ds:schemaRef ds:uri="3eea632d-76ac-411f-9d56-e25a8bed84d9"/>
  </ds:schemaRefs>
</ds:datastoreItem>
</file>

<file path=customXml/itemProps2.xml><?xml version="1.0" encoding="utf-8"?>
<ds:datastoreItem xmlns:ds="http://schemas.openxmlformats.org/officeDocument/2006/customXml" ds:itemID="{528412D9-CBA7-4365-BA7A-DAD46425F643}">
  <ds:schemaRefs>
    <ds:schemaRef ds:uri="http://schemas.microsoft.com/sharepoint/v3/contenttype/forms"/>
  </ds:schemaRefs>
</ds:datastoreItem>
</file>

<file path=customXml/itemProps3.xml><?xml version="1.0" encoding="utf-8"?>
<ds:datastoreItem xmlns:ds="http://schemas.openxmlformats.org/officeDocument/2006/customXml" ds:itemID="{48671BB8-D1DC-4A02-8D1B-339E484783AA}">
  <ds:schemaRefs>
    <ds:schemaRef ds:uri="http://schemas.microsoft.com/sharepoint/events"/>
  </ds:schemaRefs>
</ds:datastoreItem>
</file>

<file path=customXml/itemProps4.xml><?xml version="1.0" encoding="utf-8"?>
<ds:datastoreItem xmlns:ds="http://schemas.openxmlformats.org/officeDocument/2006/customXml" ds:itemID="{551BEB70-CE7C-404C-A603-37E13AE8B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a632d-76ac-411f-9d56-e25a8bed8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2810</Words>
  <Characters>15461</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Vermeiren, Roel</dc:creator>
  <cp:lastModifiedBy>Roobrouck, Nele</cp:lastModifiedBy>
  <cp:revision>5</cp:revision>
  <cp:lastPrinted>2016-10-25T10:05:00Z</cp:lastPrinted>
  <dcterms:created xsi:type="dcterms:W3CDTF">2017-01-16T20:36:00Z</dcterms:created>
  <dcterms:modified xsi:type="dcterms:W3CDTF">2017-01-16T20:46:00Z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c498f2ab-6b07-48bc-96df-387c861bb9a1</vt:lpwstr>
  </property>
  <property fmtid="{D5CDD505-2E9C-101B-9397-08002B2CF9AE}" pid="3" name="ContentTypeId">
    <vt:lpwstr>0x010100D18CF79526C13C429E655B0F479D2CB0</vt:lpwstr>
  </property>
</Properties>
</file>