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35" w:rsidRPr="00451CDB" w:rsidRDefault="007A2735" w:rsidP="006D7125">
      <w:r>
        <w:t xml:space="preserve">Bijlage 1 SV </w:t>
      </w:r>
      <w:r w:rsidRPr="00451CDB">
        <w:t xml:space="preserve">nr. </w:t>
      </w:r>
      <w:r>
        <w:t>165</w:t>
      </w:r>
    </w:p>
    <w:p w:rsidR="007A2735" w:rsidRPr="00451CDB" w:rsidRDefault="007A2735" w:rsidP="006D7125">
      <w:pPr>
        <w:rPr>
          <w:b/>
          <w:bCs/>
          <w:smallCaps/>
        </w:rPr>
      </w:pPr>
      <w:r w:rsidRPr="00451CDB">
        <w:t xml:space="preserve">van </w:t>
      </w:r>
      <w:r w:rsidRPr="00451CDB">
        <w:rPr>
          <w:b/>
          <w:bCs/>
          <w:smallCaps/>
        </w:rPr>
        <w:t>matthias diependaele</w:t>
      </w:r>
    </w:p>
    <w:p w:rsidR="007A2735" w:rsidRPr="006D7125" w:rsidRDefault="007A2735" w:rsidP="00EC4311">
      <w:r>
        <w:t>datum: 8</w:t>
      </w:r>
      <w:r w:rsidRPr="00451CDB">
        <w:t xml:space="preserve"> december 2015</w:t>
      </w:r>
      <w:bookmarkStart w:id="0" w:name="_GoBack"/>
      <w:bookmarkEnd w:id="0"/>
    </w:p>
    <w:p w:rsidR="007A2735" w:rsidRPr="00A40D76" w:rsidRDefault="007A2735" w:rsidP="00EC4311">
      <w:pPr>
        <w:pBdr>
          <w:bottom w:val="single" w:sz="4" w:space="1" w:color="auto"/>
        </w:pBdr>
        <w:rPr>
          <w:sz w:val="22"/>
          <w:szCs w:val="22"/>
          <w:lang w:val="fr-FR"/>
        </w:rPr>
      </w:pPr>
    </w:p>
    <w:p w:rsidR="007A2735" w:rsidRPr="0060794D" w:rsidRDefault="007A2735" w:rsidP="00EC4311">
      <w:pPr>
        <w:pStyle w:val="SVVlaamsParlement"/>
        <w:jc w:val="left"/>
        <w:rPr>
          <w:b w:val="0"/>
          <w:bCs w:val="0"/>
        </w:rPr>
      </w:pPr>
    </w:p>
    <w:p w:rsidR="007A2735" w:rsidRPr="00715DC4" w:rsidRDefault="007A2735" w:rsidP="00715DC4">
      <w:pPr>
        <w:pStyle w:val="PlainTex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670690">
        <w:t xml:space="preserve">a) – d) Overzicht van de spin-offs van </w:t>
      </w:r>
      <w:r>
        <w:t>i</w:t>
      </w:r>
      <w:r w:rsidRPr="00670690">
        <w:t xml:space="preserve">mec (naam, jaar van de oprichting en activiteiten, locatie en huidige status). Informatie over personeel en omzet van deze onafhankelijke (actieve) bedrijven zijn publiek </w:t>
      </w:r>
      <w:r>
        <w:t>beschikbaar via</w:t>
      </w:r>
      <w:r w:rsidRPr="00670690">
        <w:t xml:space="preserve"> de Kruispuntbank van Ondernemingen </w:t>
      </w:r>
      <w:r>
        <w:t>en de B</w:t>
      </w:r>
      <w:r w:rsidRPr="00670690">
        <w:t>alanscentrale van de Nationale Bank.</w:t>
      </w:r>
    </w:p>
    <w:p w:rsidR="007A2735" w:rsidRPr="00715DC4" w:rsidRDefault="007A2735" w:rsidP="00715DC4">
      <w:pPr>
        <w:pStyle w:val="PlainText"/>
        <w:tabs>
          <w:tab w:val="left" w:pos="284"/>
        </w:tabs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1772"/>
        <w:gridCol w:w="629"/>
        <w:gridCol w:w="2316"/>
        <w:gridCol w:w="1972"/>
        <w:gridCol w:w="2175"/>
      </w:tblGrid>
      <w:tr w:rsidR="007A2735" w:rsidRPr="00CF47C3">
        <w:tc>
          <w:tcPr>
            <w:tcW w:w="230" w:type="pct"/>
          </w:tcPr>
          <w:p w:rsidR="007A2735" w:rsidRPr="00253EEA" w:rsidRDefault="007A2735" w:rsidP="00AD4483">
            <w:pPr>
              <w:rPr>
                <w:b/>
                <w:bCs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b/>
                <w:bCs/>
                <w:color w:val="000000"/>
                <w:sz w:val="20"/>
                <w:szCs w:val="20"/>
                <w:lang w:val="en-US"/>
              </w:rPr>
              <w:t>Naam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Jaar 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7C3">
              <w:rPr>
                <w:b/>
                <w:bCs/>
                <w:color w:val="000000"/>
                <w:sz w:val="20"/>
                <w:szCs w:val="20"/>
              </w:rPr>
              <w:t>Activiteiten</w:t>
            </w:r>
          </w:p>
        </w:tc>
        <w:tc>
          <w:tcPr>
            <w:tcW w:w="1063" w:type="pct"/>
          </w:tcPr>
          <w:p w:rsidR="007A2735" w:rsidRDefault="007A2735" w:rsidP="00AD44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Locatie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Huidige status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JSR-Electronics/Desire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1986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  <w:lang w:val="nl-BE" w:eastAsia="nl-BE"/>
              </w:rPr>
              <w:t>Lithografische resist-materialen</w:t>
            </w:r>
            <w:r w:rsidRPr="00CF47C3">
              <w:rPr>
                <w:sz w:val="20"/>
                <w:szCs w:val="20"/>
              </w:rPr>
              <w:t xml:space="preserve"> en plasma </w:t>
            </w:r>
          </w:p>
        </w:tc>
        <w:tc>
          <w:tcPr>
            <w:tcW w:w="1063" w:type="pct"/>
          </w:tcPr>
          <w:p w:rsidR="007A2735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 xml:space="preserve"> Leuven</w:t>
            </w:r>
          </w:p>
          <w:p w:rsidR="007A2735" w:rsidRPr="00CF47C3" w:rsidRDefault="007A2735" w:rsidP="00AD4483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Dochteronderneming van Japanse JSRgroep.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en-US"/>
              </w:rPr>
            </w:pPr>
            <w:r w:rsidRPr="00CF47C3">
              <w:rPr>
                <w:sz w:val="20"/>
                <w:szCs w:val="20"/>
                <w:lang w:val="en-US"/>
              </w:rPr>
              <w:t>Cobrain/Matrix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en-US"/>
              </w:rPr>
            </w:pPr>
            <w:r w:rsidRPr="00CF47C3">
              <w:rPr>
                <w:sz w:val="20"/>
                <w:szCs w:val="20"/>
                <w:lang w:val="en-US"/>
              </w:rPr>
              <w:t>1987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E</w:t>
            </w:r>
            <w:r w:rsidRPr="00CF47C3">
              <w:rPr>
                <w:sz w:val="20"/>
                <w:szCs w:val="20"/>
                <w:lang w:val="nl-BE" w:eastAsia="nl-BE"/>
              </w:rPr>
              <w:t>tstechnologieën en toestellen voor plasma-etsen</w:t>
            </w:r>
            <w:r w:rsidRPr="00CF47C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Werd in 2003 overgenomen door Axcelis Technologies (US).</w:t>
            </w:r>
          </w:p>
        </w:tc>
      </w:tr>
      <w:tr w:rsidR="007A2735" w:rsidRPr="00CF47C3">
        <w:tc>
          <w:tcPr>
            <w:tcW w:w="230" w:type="pct"/>
          </w:tcPr>
          <w:p w:rsidR="007A2735" w:rsidRPr="00AD448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AD4483">
              <w:rPr>
                <w:color w:val="000000"/>
                <w:sz w:val="20"/>
                <w:szCs w:val="20"/>
                <w:lang w:val="nl-BE"/>
              </w:rPr>
              <w:t>3</w:t>
            </w:r>
          </w:p>
        </w:tc>
        <w:tc>
          <w:tcPr>
            <w:tcW w:w="951" w:type="pct"/>
          </w:tcPr>
          <w:p w:rsidR="007A2735" w:rsidRPr="00AD4483" w:rsidRDefault="007A2735" w:rsidP="00AD4483">
            <w:pPr>
              <w:rPr>
                <w:sz w:val="20"/>
                <w:szCs w:val="20"/>
                <w:lang w:val="nl-BE"/>
              </w:rPr>
            </w:pPr>
            <w:r w:rsidRPr="00AD4483">
              <w:rPr>
                <w:sz w:val="20"/>
                <w:szCs w:val="20"/>
                <w:lang w:val="nl-BE"/>
              </w:rPr>
              <w:t>Frontier Design</w:t>
            </w:r>
          </w:p>
        </w:tc>
        <w:tc>
          <w:tcPr>
            <w:tcW w:w="340" w:type="pct"/>
          </w:tcPr>
          <w:p w:rsidR="007A2735" w:rsidRPr="00AD4483" w:rsidRDefault="007A2735" w:rsidP="00AD4483">
            <w:pPr>
              <w:rPr>
                <w:sz w:val="20"/>
                <w:szCs w:val="20"/>
                <w:lang w:val="nl-BE"/>
              </w:rPr>
            </w:pPr>
            <w:r w:rsidRPr="00AD4483">
              <w:rPr>
                <w:sz w:val="20"/>
                <w:szCs w:val="20"/>
                <w:lang w:val="nl-BE"/>
              </w:rPr>
              <w:t>1989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O</w:t>
            </w:r>
            <w:r w:rsidRPr="00CF47C3">
              <w:rPr>
                <w:sz w:val="20"/>
                <w:szCs w:val="20"/>
                <w:lang w:val="nl-BE" w:eastAsia="nl-BE"/>
              </w:rPr>
              <w:t>ntwikkeling van CAE-ontwerpsoftware voor ASICs in het domein van DSP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 xml:space="preserve">Vennootschap werd in 2010 vereffend door ARM. </w:t>
            </w:r>
          </w:p>
        </w:tc>
      </w:tr>
      <w:tr w:rsidR="007A2735" w:rsidRPr="00CF47C3">
        <w:tc>
          <w:tcPr>
            <w:tcW w:w="230" w:type="pct"/>
          </w:tcPr>
          <w:p w:rsidR="007A2735" w:rsidRPr="009D4A92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9D4A92">
              <w:rPr>
                <w:color w:val="000000"/>
                <w:sz w:val="20"/>
                <w:szCs w:val="20"/>
                <w:lang w:val="nl-BE"/>
              </w:rPr>
              <w:t>4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Soltech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1989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rStyle w:val="Emphasis"/>
                <w:b w:val="0"/>
                <w:bCs w:val="0"/>
                <w:sz w:val="20"/>
                <w:szCs w:val="20"/>
              </w:rPr>
              <w:t>F</w:t>
            </w:r>
            <w:r w:rsidRPr="00CF47C3">
              <w:rPr>
                <w:rStyle w:val="Emphasis"/>
                <w:b w:val="0"/>
                <w:bCs w:val="0"/>
                <w:sz w:val="20"/>
                <w:szCs w:val="20"/>
              </w:rPr>
              <w:t>otovolta</w:t>
            </w:r>
            <w:r>
              <w:rPr>
                <w:rStyle w:val="Emphasis"/>
                <w:b w:val="0"/>
                <w:bCs w:val="0"/>
                <w:sz w:val="20"/>
                <w:szCs w:val="20"/>
              </w:rPr>
              <w:t>ï</w:t>
            </w:r>
            <w:r w:rsidRPr="00CF47C3">
              <w:rPr>
                <w:rStyle w:val="Emphasis"/>
                <w:b w:val="0"/>
                <w:bCs w:val="0"/>
                <w:sz w:val="20"/>
                <w:szCs w:val="20"/>
              </w:rPr>
              <w:t>sche</w:t>
            </w:r>
            <w:r w:rsidRPr="00CF47C3">
              <w:rPr>
                <w:color w:val="000000"/>
                <w:sz w:val="20"/>
                <w:szCs w:val="20"/>
              </w:rPr>
              <w:t xml:space="preserve">  systemen gebaseerd op “silk-screen” proces technologie.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rStyle w:val="Emphasis"/>
                <w:b w:val="0"/>
                <w:bCs w:val="0"/>
                <w:sz w:val="20"/>
                <w:szCs w:val="20"/>
              </w:rPr>
            </w:pPr>
            <w:r>
              <w:rPr>
                <w:rStyle w:val="Emphasis"/>
                <w:b w:val="0"/>
                <w:bCs w:val="0"/>
                <w:sz w:val="20"/>
                <w:szCs w:val="20"/>
              </w:rPr>
              <w:t>Tienen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rStyle w:val="Emphasis"/>
                <w:b w:val="0"/>
                <w:bCs w:val="0"/>
                <w:sz w:val="20"/>
                <w:szCs w:val="20"/>
              </w:rPr>
            </w:pPr>
            <w:r>
              <w:rPr>
                <w:rStyle w:val="Emphasis"/>
                <w:b w:val="0"/>
                <w:bCs w:val="0"/>
                <w:sz w:val="20"/>
                <w:szCs w:val="20"/>
              </w:rPr>
              <w:t xml:space="preserve">Actieve spin-off, in 2013 overgenomen door Franse groep Sol Invictus SA. </w:t>
            </w:r>
          </w:p>
        </w:tc>
      </w:tr>
      <w:tr w:rsidR="007A2735" w:rsidRPr="00CF47C3">
        <w:tc>
          <w:tcPr>
            <w:tcW w:w="230" w:type="pct"/>
          </w:tcPr>
          <w:p w:rsidR="007A2735" w:rsidRPr="00C9078E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5</w:t>
            </w:r>
          </w:p>
        </w:tc>
        <w:tc>
          <w:tcPr>
            <w:tcW w:w="951" w:type="pct"/>
          </w:tcPr>
          <w:p w:rsidR="007A2735" w:rsidRPr="00C9078E" w:rsidRDefault="007A2735" w:rsidP="00AD4483">
            <w:pPr>
              <w:rPr>
                <w:sz w:val="20"/>
                <w:szCs w:val="20"/>
                <w:lang w:val="nl-BE"/>
              </w:rPr>
            </w:pPr>
            <w:r w:rsidRPr="00C9078E">
              <w:rPr>
                <w:sz w:val="20"/>
                <w:szCs w:val="20"/>
                <w:lang w:val="nl-BE"/>
              </w:rPr>
              <w:t>Easics</w:t>
            </w:r>
          </w:p>
        </w:tc>
        <w:tc>
          <w:tcPr>
            <w:tcW w:w="340" w:type="pct"/>
          </w:tcPr>
          <w:p w:rsidR="007A2735" w:rsidRPr="00C9078E" w:rsidRDefault="007A2735" w:rsidP="00AD4483">
            <w:pPr>
              <w:rPr>
                <w:sz w:val="20"/>
                <w:szCs w:val="20"/>
                <w:lang w:val="nl-BE"/>
              </w:rPr>
            </w:pPr>
            <w:r w:rsidRPr="00C9078E">
              <w:rPr>
                <w:sz w:val="20"/>
                <w:szCs w:val="20"/>
                <w:lang w:val="nl-BE"/>
              </w:rPr>
              <w:t>1992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 w:eastAsia="nl-BE"/>
              </w:rPr>
              <w:t>O</w:t>
            </w:r>
            <w:r w:rsidRPr="00CF47C3">
              <w:rPr>
                <w:sz w:val="20"/>
                <w:szCs w:val="20"/>
                <w:lang w:val="nl-BE" w:eastAsia="nl-BE"/>
              </w:rPr>
              <w:t>ntwerp diensten voor VLSI-ASICs.</w:t>
            </w:r>
          </w:p>
        </w:tc>
        <w:tc>
          <w:tcPr>
            <w:tcW w:w="1063" w:type="pct"/>
          </w:tcPr>
          <w:p w:rsidR="007A2735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Leuven</w:t>
            </w:r>
          </w:p>
          <w:p w:rsidR="007A2735" w:rsidRPr="00CF47C3" w:rsidRDefault="007A2735" w:rsidP="00AD4483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 xml:space="preserve">Vennootschap werd in 2000 overgenomen door US groep TranSwitch en werd na een MBO in 2004 terug onafhankelijk. </w:t>
            </w:r>
          </w:p>
        </w:tc>
      </w:tr>
      <w:tr w:rsidR="007A2735" w:rsidRPr="00CF47C3">
        <w:tc>
          <w:tcPr>
            <w:tcW w:w="230" w:type="pct"/>
          </w:tcPr>
          <w:p w:rsidR="007A2735" w:rsidRPr="00C9078E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6</w:t>
            </w:r>
          </w:p>
        </w:tc>
        <w:tc>
          <w:tcPr>
            <w:tcW w:w="951" w:type="pct"/>
          </w:tcPr>
          <w:p w:rsidR="007A2735" w:rsidRPr="00C9078E" w:rsidRDefault="007A2735" w:rsidP="00AD4483">
            <w:pPr>
              <w:rPr>
                <w:sz w:val="20"/>
                <w:szCs w:val="20"/>
                <w:lang w:val="nl-BE"/>
              </w:rPr>
            </w:pPr>
            <w:r w:rsidRPr="00C9078E">
              <w:rPr>
                <w:sz w:val="20"/>
                <w:szCs w:val="20"/>
                <w:lang w:val="nl-BE"/>
              </w:rPr>
              <w:t>Alphabit</w:t>
            </w:r>
          </w:p>
        </w:tc>
        <w:tc>
          <w:tcPr>
            <w:tcW w:w="340" w:type="pct"/>
          </w:tcPr>
          <w:p w:rsidR="007A2735" w:rsidRPr="00C9078E" w:rsidRDefault="007A2735" w:rsidP="00AD4483">
            <w:pPr>
              <w:rPr>
                <w:sz w:val="20"/>
                <w:szCs w:val="20"/>
                <w:lang w:val="nl-BE"/>
              </w:rPr>
            </w:pPr>
            <w:r w:rsidRPr="00C9078E">
              <w:rPr>
                <w:sz w:val="20"/>
                <w:szCs w:val="20"/>
                <w:lang w:val="nl-BE"/>
              </w:rPr>
              <w:t>1992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color w:val="000000"/>
                <w:sz w:val="20"/>
                <w:szCs w:val="20"/>
              </w:rPr>
              <w:t>Ontwikkeling van CAE software voor “high-frequency” en “high-speed” elektronica.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Werd overgenomen en opgeslorpt door Agilent Technologies (US) in 1996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Destin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1992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 xml:space="preserve">Meten van de betrouwbaarheid van elektronische componenten en systemen. 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Faling in 2000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>8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Acunia/Smartmove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1996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color w:val="000000"/>
                <w:sz w:val="20"/>
                <w:szCs w:val="20"/>
              </w:rPr>
              <w:t>Ontwikkeling van een telematica platform voor transport.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Faling in 1998, deel van de activa werd opgenomen door Punch International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>9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C-Cam Technologies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1996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Marketing en diensten voor beeldsensoren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Faling in 1998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LCI-SmartPen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1996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Commercialisatie van LCI-SMARTpen.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Faling in 2002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Sirius Communications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1996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</w:rPr>
              <w:t xml:space="preserve">ICs voor satellietcommunicatie gebaseerd op “spread spectrum” technologie.  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Werd overgenomen en opgeslorpt door Agilent Technologies (US) in 2001.  De werknemers zijn nog steeds actief in Rotselaar.</w:t>
            </w:r>
          </w:p>
        </w:tc>
      </w:tr>
      <w:tr w:rsidR="007A2735" w:rsidRPr="00CF47C3">
        <w:tc>
          <w:tcPr>
            <w:tcW w:w="230" w:type="pct"/>
          </w:tcPr>
          <w:p w:rsidR="007A2735" w:rsidRPr="00C9078E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12</w:t>
            </w:r>
          </w:p>
        </w:tc>
        <w:tc>
          <w:tcPr>
            <w:tcW w:w="951" w:type="pct"/>
          </w:tcPr>
          <w:p w:rsidR="007A2735" w:rsidRPr="00C9078E" w:rsidRDefault="007A2735" w:rsidP="00AD4483">
            <w:pPr>
              <w:rPr>
                <w:sz w:val="20"/>
                <w:szCs w:val="20"/>
                <w:lang w:val="nl-BE"/>
              </w:rPr>
            </w:pPr>
            <w:r w:rsidRPr="00C9078E">
              <w:rPr>
                <w:sz w:val="20"/>
                <w:szCs w:val="20"/>
                <w:lang w:val="nl-BE"/>
              </w:rPr>
              <w:t>Target Compiler Technologies</w:t>
            </w:r>
          </w:p>
        </w:tc>
        <w:tc>
          <w:tcPr>
            <w:tcW w:w="340" w:type="pct"/>
          </w:tcPr>
          <w:p w:rsidR="007A2735" w:rsidRPr="00C9078E" w:rsidRDefault="007A2735" w:rsidP="00AD4483">
            <w:pPr>
              <w:rPr>
                <w:sz w:val="20"/>
                <w:szCs w:val="20"/>
                <w:lang w:val="nl-BE"/>
              </w:rPr>
            </w:pPr>
            <w:r w:rsidRPr="00C9078E">
              <w:rPr>
                <w:sz w:val="20"/>
                <w:szCs w:val="20"/>
                <w:lang w:val="nl-BE"/>
              </w:rPr>
              <w:t>1996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color w:val="000000"/>
                <w:sz w:val="20"/>
                <w:szCs w:val="20"/>
              </w:rPr>
              <w:t>Code generator voor het ontwerp en programmeren van DSP processoren.</w:t>
            </w:r>
          </w:p>
        </w:tc>
        <w:tc>
          <w:tcPr>
            <w:tcW w:w="1063" w:type="pct"/>
          </w:tcPr>
          <w:p w:rsidR="007A2735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Leuven</w:t>
            </w:r>
          </w:p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Werd overgenomen door Synopsys (US) in 2014 </w:t>
            </w:r>
          </w:p>
        </w:tc>
      </w:tr>
      <w:tr w:rsidR="007A2735" w:rsidRPr="009147A7">
        <w:tc>
          <w:tcPr>
            <w:tcW w:w="230" w:type="pct"/>
          </w:tcPr>
          <w:p w:rsidR="007A2735" w:rsidRPr="00C9078E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13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CoWare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1996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nl-BE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Hardware/software co-design</w:t>
            </w:r>
            <w:r w:rsidRPr="00CF47C3">
              <w:rPr>
                <w:sz w:val="20"/>
                <w:szCs w:val="20"/>
                <w:lang w:val="en-US" w:eastAsia="nl-BE"/>
              </w:rPr>
              <w:t xml:space="preserve"> voor  “single chip”- systemen (SoC)</w:t>
            </w:r>
          </w:p>
        </w:tc>
        <w:tc>
          <w:tcPr>
            <w:tcW w:w="1063" w:type="pct"/>
          </w:tcPr>
          <w:p w:rsidR="007A2735" w:rsidRPr="009147A7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Leuven</w:t>
            </w:r>
            <w:r>
              <w:rPr>
                <w:color w:val="000000"/>
                <w:sz w:val="20"/>
                <w:szCs w:val="20"/>
                <w:lang w:val="nl-BE"/>
              </w:rPr>
              <w:t>, als B</w:t>
            </w:r>
            <w:r w:rsidRPr="009147A7">
              <w:rPr>
                <w:color w:val="000000"/>
                <w:sz w:val="20"/>
                <w:szCs w:val="20"/>
                <w:lang w:val="nl-BE"/>
              </w:rPr>
              <w:t>elgi</w:t>
            </w:r>
            <w:r>
              <w:rPr>
                <w:color w:val="000000"/>
                <w:sz w:val="20"/>
                <w:szCs w:val="20"/>
                <w:lang w:val="nl-BE"/>
              </w:rPr>
              <w:t>sche vestiging van Synopsy</w:t>
            </w:r>
            <w:r w:rsidRPr="009147A7">
              <w:rPr>
                <w:color w:val="000000"/>
                <w:sz w:val="20"/>
                <w:szCs w:val="20"/>
                <w:lang w:val="nl-BE"/>
              </w:rPr>
              <w:t xml:space="preserve">s. </w:t>
            </w:r>
          </w:p>
        </w:tc>
        <w:tc>
          <w:tcPr>
            <w:tcW w:w="1174" w:type="pct"/>
          </w:tcPr>
          <w:p w:rsidR="007A2735" w:rsidRDefault="007A2735" w:rsidP="00AD44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Werd overgenomen en opgeslorpt door Synopsys (US) in 2010.</w:t>
            </w:r>
          </w:p>
          <w:p w:rsidR="007A2735" w:rsidRPr="009147A7" w:rsidRDefault="007A2735" w:rsidP="00AD44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l-BE"/>
              </w:rPr>
            </w:pPr>
          </w:p>
        </w:tc>
      </w:tr>
      <w:tr w:rsidR="007A2735" w:rsidRPr="00CF47C3">
        <w:tc>
          <w:tcPr>
            <w:tcW w:w="230" w:type="pct"/>
          </w:tcPr>
          <w:p w:rsidR="007A2735" w:rsidRPr="009147A7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9147A7">
              <w:rPr>
                <w:color w:val="000000"/>
                <w:sz w:val="20"/>
                <w:szCs w:val="20"/>
                <w:lang w:val="nl-BE"/>
              </w:rPr>
              <w:t>14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AnSem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1998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color w:val="000000"/>
                <w:sz w:val="20"/>
                <w:szCs w:val="20"/>
              </w:rPr>
              <w:t>Analoog ontwerp van elektronische schakelingen.</w:t>
            </w:r>
          </w:p>
        </w:tc>
        <w:tc>
          <w:tcPr>
            <w:tcW w:w="1063" w:type="pct"/>
          </w:tcPr>
          <w:p w:rsidR="007A2735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Leuven</w:t>
            </w:r>
          </w:p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9147A7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9147A7">
              <w:rPr>
                <w:color w:val="000000"/>
                <w:sz w:val="20"/>
                <w:szCs w:val="20"/>
                <w:lang w:val="nl-BE"/>
              </w:rPr>
              <w:t>15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 xml:space="preserve">OligoSense 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 w:rsidRPr="00CF47C3">
              <w:rPr>
                <w:sz w:val="20"/>
                <w:szCs w:val="20"/>
                <w:lang w:val="nl-BE" w:eastAsia="nl-BE"/>
              </w:rPr>
              <w:t>Productie van sensoren voor een elektronische neus steunend op elektrisch geleidende oligomeren</w:t>
            </w:r>
            <w:r w:rsidRPr="00CF47C3">
              <w:rPr>
                <w:sz w:val="20"/>
                <w:szCs w:val="20"/>
                <w:lang w:val="nl-BE"/>
              </w:rPr>
              <w:t>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Faling in 2006</w:t>
            </w:r>
          </w:p>
        </w:tc>
      </w:tr>
      <w:tr w:rsidR="007A2735" w:rsidRPr="00C9078E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3E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 xml:space="preserve">Duurzame energietechnologie en concepten.  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>Brussel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Fillfactory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 w:rsidRPr="00CF47C3">
              <w:rPr>
                <w:sz w:val="20"/>
                <w:szCs w:val="20"/>
                <w:lang w:val="nl-BE" w:eastAsia="nl-BE"/>
              </w:rPr>
              <w:t>CMOS beeldopnemers  voor commerciële en industriële</w:t>
            </w:r>
          </w:p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sz w:val="20"/>
                <w:szCs w:val="20"/>
                <w:lang w:val="nl-BE" w:eastAsia="nl-BE"/>
              </w:rPr>
              <w:t>toepassingen</w:t>
            </w:r>
            <w:r w:rsidRPr="00CF47C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Vlaanderen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 w:eastAsia="nl-BE"/>
              </w:rPr>
            </w:pPr>
            <w:r w:rsidRPr="00C9078E">
              <w:rPr>
                <w:sz w:val="20"/>
                <w:szCs w:val="20"/>
                <w:lang w:eastAsia="nl-BE"/>
              </w:rPr>
              <w:t xml:space="preserve">Werd overgenomen en opgeslorpt </w:t>
            </w:r>
            <w:r>
              <w:rPr>
                <w:sz w:val="20"/>
                <w:szCs w:val="20"/>
                <w:lang w:eastAsia="nl-BE"/>
              </w:rPr>
              <w:t xml:space="preserve">door Cypress Semiconductor in 2004 en doorverkocht aan On Semi in 2011. </w:t>
            </w:r>
          </w:p>
        </w:tc>
      </w:tr>
      <w:tr w:rsidR="007A2735" w:rsidRPr="00CF47C3">
        <w:tc>
          <w:tcPr>
            <w:tcW w:w="230" w:type="pct"/>
          </w:tcPr>
          <w:p w:rsidR="007A2735" w:rsidRPr="00C9078E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18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Q-Star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1999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sz w:val="20"/>
                <w:szCs w:val="20"/>
                <w:lang w:val="nl-BE" w:eastAsia="nl-BE"/>
              </w:rPr>
              <w:t>Commercialisatie van IDDQ-stroommonitoren.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Brugge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nl-BE" w:eastAsia="nl-BE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Septentrio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2000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color w:val="000000"/>
                <w:sz w:val="20"/>
                <w:szCs w:val="20"/>
              </w:rPr>
              <w:t xml:space="preserve">Ontwikkeling en  </w:t>
            </w:r>
            <w:r w:rsidRPr="00CF47C3">
              <w:rPr>
                <w:sz w:val="20"/>
                <w:szCs w:val="20"/>
              </w:rPr>
              <w:t>commercialisatie van</w:t>
            </w:r>
            <w:r w:rsidRPr="00CF47C3">
              <w:rPr>
                <w:color w:val="000000"/>
                <w:sz w:val="20"/>
                <w:szCs w:val="20"/>
              </w:rPr>
              <w:t xml:space="preserve"> </w:t>
            </w:r>
            <w:r w:rsidRPr="00CF47C3">
              <w:rPr>
                <w:sz w:val="20"/>
                <w:szCs w:val="20"/>
                <w:lang w:val="nl-BE" w:eastAsia="nl-BE"/>
              </w:rPr>
              <w:t>satellietnavigatiesystemen</w:t>
            </w:r>
            <w:r w:rsidRPr="00CF47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Leuven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XenICs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2000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color w:val="000000"/>
                <w:sz w:val="20"/>
                <w:szCs w:val="20"/>
              </w:rPr>
              <w:t xml:space="preserve">Ontwikkeling en  </w:t>
            </w:r>
            <w:r w:rsidRPr="00CF47C3">
              <w:rPr>
                <w:sz w:val="20"/>
                <w:szCs w:val="20"/>
              </w:rPr>
              <w:t>commercialisatie van</w:t>
            </w:r>
            <w:r w:rsidRPr="00CF47C3">
              <w:rPr>
                <w:color w:val="000000"/>
                <w:sz w:val="20"/>
                <w:szCs w:val="20"/>
              </w:rPr>
              <w:t xml:space="preserve"> infrarood beeldsensoren.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Leuven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Photovoltech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2001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Productie van f</w:t>
            </w:r>
            <w:r w:rsidRPr="00CF47C3">
              <w:rPr>
                <w:color w:val="000000"/>
                <w:sz w:val="20"/>
                <w:szCs w:val="20"/>
              </w:rPr>
              <w:t>otovolta</w:t>
            </w:r>
            <w:r>
              <w:rPr>
                <w:color w:val="000000"/>
                <w:sz w:val="20"/>
                <w:szCs w:val="20"/>
              </w:rPr>
              <w:t>ï</w:t>
            </w:r>
            <w:r w:rsidRPr="00CF47C3">
              <w:rPr>
                <w:color w:val="000000"/>
                <w:sz w:val="20"/>
                <w:szCs w:val="20"/>
              </w:rPr>
              <w:t>sche cellen.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Stopzetting activiteiten in 2012. </w:t>
            </w:r>
          </w:p>
        </w:tc>
      </w:tr>
      <w:tr w:rsidR="007A2735" w:rsidRPr="00CF47C3">
        <w:tc>
          <w:tcPr>
            <w:tcW w:w="230" w:type="pct"/>
          </w:tcPr>
          <w:p w:rsidR="007A2735" w:rsidRPr="005957B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5957B3">
              <w:rPr>
                <w:color w:val="000000"/>
                <w:sz w:val="20"/>
                <w:szCs w:val="20"/>
                <w:lang w:val="nl-BE"/>
              </w:rPr>
              <w:t>22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LoraNet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2002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 xml:space="preserve">Ontwikkeling en  </w:t>
            </w:r>
            <w:r w:rsidRPr="00CF47C3">
              <w:rPr>
                <w:sz w:val="20"/>
                <w:szCs w:val="20"/>
                <w:lang w:val="nl-BE"/>
              </w:rPr>
              <w:t>commercialisatie van</w:t>
            </w:r>
            <w:r w:rsidRPr="00CF47C3">
              <w:rPr>
                <w:color w:val="000000"/>
                <w:sz w:val="20"/>
                <w:szCs w:val="20"/>
                <w:lang w:val="nl-BE"/>
              </w:rPr>
              <w:t xml:space="preserve"> </w:t>
            </w:r>
            <w:r w:rsidRPr="00CF47C3">
              <w:rPr>
                <w:sz w:val="20"/>
                <w:szCs w:val="20"/>
                <w:lang w:val="nl-BE"/>
              </w:rPr>
              <w:t>netwerksystemen  voor draadloze communicatie (breedband).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 xml:space="preserve">Incubatieproject stopgezet in 2003 (vennootschap vereffend). </w:t>
            </w:r>
          </w:p>
        </w:tc>
      </w:tr>
      <w:tr w:rsidR="007A2735" w:rsidRPr="00CF47C3">
        <w:tc>
          <w:tcPr>
            <w:tcW w:w="230" w:type="pct"/>
          </w:tcPr>
          <w:p w:rsidR="007A2735" w:rsidRPr="00AE26FB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AE26FB">
              <w:rPr>
                <w:color w:val="000000"/>
                <w:sz w:val="20"/>
                <w:szCs w:val="20"/>
                <w:lang w:val="nl-BE"/>
              </w:rPr>
              <w:t>23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Vivactis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2002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  <w:lang w:val="nl-BE" w:eastAsia="nl-BE"/>
              </w:rPr>
            </w:pPr>
            <w:r w:rsidRPr="00CF47C3">
              <w:rPr>
                <w:color w:val="292526"/>
                <w:sz w:val="20"/>
                <w:szCs w:val="20"/>
                <w:lang w:val="nl-BE" w:eastAsia="nl-BE"/>
              </w:rPr>
              <w:t>Productie van een microcalorimetrietoestel voor de farmaceutische</w:t>
            </w:r>
          </w:p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292526"/>
                <w:sz w:val="20"/>
                <w:szCs w:val="20"/>
                <w:lang w:val="nl-BE" w:eastAsia="nl-BE"/>
              </w:rPr>
              <w:t>sector</w:t>
            </w:r>
            <w:r w:rsidRPr="00CF47C3">
              <w:rPr>
                <w:color w:val="000000"/>
                <w:sz w:val="20"/>
                <w:szCs w:val="20"/>
                <w:lang w:val="nl-BE"/>
              </w:rPr>
              <w:t>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  <w:lang w:val="nl-BE" w:eastAsia="nl-BE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  <w:lang w:val="nl-BE" w:eastAsia="nl-BE"/>
              </w:rPr>
            </w:pPr>
            <w:r>
              <w:rPr>
                <w:color w:val="292526"/>
                <w:sz w:val="20"/>
                <w:szCs w:val="20"/>
                <w:lang w:val="nl-BE" w:eastAsia="nl-BE"/>
              </w:rPr>
              <w:t xml:space="preserve">Activiteiten gestopt in 2008 (vennootschap vereffend). </w:t>
            </w:r>
          </w:p>
        </w:tc>
      </w:tr>
      <w:tr w:rsidR="007A2735" w:rsidRPr="00CF47C3">
        <w:tc>
          <w:tcPr>
            <w:tcW w:w="230" w:type="pct"/>
          </w:tcPr>
          <w:p w:rsidR="007A2735" w:rsidRPr="00AE26FB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AE26FB">
              <w:rPr>
                <w:color w:val="000000"/>
                <w:sz w:val="20"/>
                <w:szCs w:val="20"/>
                <w:lang w:val="nl-BE"/>
              </w:rPr>
              <w:t>24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Magwel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2003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CF47C3">
              <w:rPr>
                <w:color w:val="000000"/>
                <w:sz w:val="20"/>
                <w:szCs w:val="20"/>
              </w:rPr>
              <w:t xml:space="preserve">oftware  voor simulatie van hoogfrequent elektromagnetisch gedrag van passieve componenten en structuren. 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Leuven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PowerEscape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2003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>EDA tools voor ontwerp van digitale data-intensieve systemen (low power).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 xml:space="preserve">Asset sale aan ARM in </w:t>
            </w:r>
            <w:r w:rsidRPr="00AE26FB">
              <w:rPr>
                <w:color w:val="000000"/>
                <w:sz w:val="20"/>
                <w:szCs w:val="20"/>
                <w:lang w:val="nl-BE"/>
              </w:rPr>
              <w:t>2006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Gemidis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2004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>Microdisplays  voor hoge-resolutie projectoren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 w:eastAsia="nl-BE"/>
              </w:rPr>
              <w:t>Niet van toepassing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AE26FB">
              <w:rPr>
                <w:color w:val="000000"/>
                <w:sz w:val="20"/>
                <w:szCs w:val="20"/>
                <w:lang w:val="nl-BE"/>
              </w:rPr>
              <w:t>Faling in 2008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Essensium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2005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Ontwikkeling van elektronische oplossingen voor draadloze sensornetwerken  en systeem-op-chip oplossingen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Leuven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Trinean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2006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sz w:val="20"/>
                <w:szCs w:val="20"/>
                <w:lang w:val="nl-BE"/>
              </w:rPr>
              <w:t>Microfluïdisch-optisch lab</w:t>
            </w:r>
            <w:r w:rsidRPr="00CF47C3">
              <w:rPr>
                <w:color w:val="000000"/>
                <w:sz w:val="20"/>
                <w:szCs w:val="20"/>
                <w:lang w:val="nl-BE"/>
              </w:rPr>
              <w:t>-on-chip systeem voor biotech en levenswetenschappen.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Gentbrugge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M4S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2007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>Ontwikkeling van multi-mode en multi-band RF toestellen.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>Leuven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 xml:space="preserve">Deel van Chinese Huawei groep na overname </w:t>
            </w:r>
            <w:r w:rsidRPr="00AE26FB">
              <w:rPr>
                <w:color w:val="000000"/>
                <w:sz w:val="20"/>
                <w:szCs w:val="20"/>
                <w:lang w:val="nl-BE"/>
              </w:rPr>
              <w:t>in 2010.</w:t>
            </w:r>
            <w:r>
              <w:rPr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7A2735" w:rsidRPr="00CF47C3">
        <w:tc>
          <w:tcPr>
            <w:tcW w:w="230" w:type="pct"/>
          </w:tcPr>
          <w:p w:rsidR="007A2735" w:rsidRPr="005957B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5957B3">
              <w:rPr>
                <w:color w:val="000000"/>
                <w:sz w:val="20"/>
                <w:szCs w:val="20"/>
                <w:lang w:val="nl-BE"/>
              </w:rPr>
              <w:t>30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Magcam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>Hall sensoren voor het bepalen van magnetische velden.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>Leuven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Lumoza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Printbare elektronica (elektroluminiscente flexibele panelen)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Genk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Faling in 2014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Pepric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2009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7C3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Systemen voor moleculaire beeldvorming op basis van magnetische nanodeeltjes</w:t>
            </w:r>
            <w:r w:rsidRPr="00CF47C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Leuven</w:t>
            </w:r>
          </w:p>
        </w:tc>
        <w:tc>
          <w:tcPr>
            <w:tcW w:w="1174" w:type="pct"/>
          </w:tcPr>
          <w:p w:rsidR="007A2735" w:rsidRPr="00AE26FB" w:rsidRDefault="007A2735" w:rsidP="00AD4483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2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Caliopa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 w:rsidRPr="00CF47C3">
              <w:rPr>
                <w:sz w:val="20"/>
                <w:szCs w:val="20"/>
              </w:rPr>
              <w:t>2010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bdr w:val="none" w:sz="0" w:space="0" w:color="auto" w:frame="1"/>
              </w:rPr>
              <w:t>Ontwikkeling en de verkoop van optische zendontvangers voor data- en telecommunicatie op basis van silicium fotonica.</w:t>
            </w:r>
          </w:p>
        </w:tc>
        <w:tc>
          <w:tcPr>
            <w:tcW w:w="1063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Gent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 xml:space="preserve">Deel van Chinese Huawei groep na overname in 2013. </w:t>
            </w:r>
          </w:p>
        </w:tc>
      </w:tr>
      <w:tr w:rsidR="007A2735" w:rsidRPr="00CF47C3">
        <w:tc>
          <w:tcPr>
            <w:tcW w:w="230" w:type="pct"/>
          </w:tcPr>
          <w:p w:rsidR="007A2735" w:rsidRPr="00FD426D" w:rsidRDefault="007A2735" w:rsidP="00AD4483">
            <w:pPr>
              <w:rPr>
                <w:color w:val="000000"/>
                <w:sz w:val="20"/>
                <w:szCs w:val="20"/>
              </w:rPr>
            </w:pPr>
            <w:r w:rsidRPr="00FD426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Epigan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4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GaN-on-Si-materiaaloplossingen voor vermogenselektronica</w:t>
            </w:r>
          </w:p>
        </w:tc>
        <w:tc>
          <w:tcPr>
            <w:tcW w:w="1063" w:type="pct"/>
          </w:tcPr>
          <w:p w:rsidR="007A2735" w:rsidRDefault="007A2735" w:rsidP="00AD448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Hasselt</w:t>
            </w:r>
          </w:p>
        </w:tc>
        <w:tc>
          <w:tcPr>
            <w:tcW w:w="1174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FD426D" w:rsidRDefault="007A2735" w:rsidP="00AD4483">
            <w:pPr>
              <w:rPr>
                <w:color w:val="000000"/>
                <w:sz w:val="20"/>
                <w:szCs w:val="20"/>
              </w:rPr>
            </w:pPr>
            <w:r w:rsidRPr="00FD426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51" w:type="pct"/>
          </w:tcPr>
          <w:p w:rsidR="007A2735" w:rsidRPr="00CF47C3" w:rsidRDefault="007A2735" w:rsidP="00AD448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Atlas Neuroengineering</w:t>
            </w:r>
          </w:p>
        </w:tc>
        <w:tc>
          <w:tcPr>
            <w:tcW w:w="340" w:type="pct"/>
          </w:tcPr>
          <w:p w:rsidR="007A2735" w:rsidRPr="00CF47C3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44" w:type="pct"/>
          </w:tcPr>
          <w:p w:rsidR="007A2735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Ontwikkelt tools voor experimentele neuro-science toepassingen om neurale activiteit te meten en te stimuleren.</w:t>
            </w:r>
          </w:p>
        </w:tc>
        <w:tc>
          <w:tcPr>
            <w:tcW w:w="1063" w:type="pct"/>
          </w:tcPr>
          <w:p w:rsidR="007A2735" w:rsidRDefault="007A2735" w:rsidP="00AD448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Leuven</w:t>
            </w:r>
          </w:p>
        </w:tc>
        <w:tc>
          <w:tcPr>
            <w:tcW w:w="1174" w:type="pct"/>
          </w:tcPr>
          <w:p w:rsidR="007A2735" w:rsidRPr="00C9078E" w:rsidRDefault="007A2735" w:rsidP="00AD4483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Pr="00FD426D" w:rsidRDefault="007A2735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51" w:type="pct"/>
          </w:tcPr>
          <w:p w:rsidR="007A2735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Luceda Photonics</w:t>
            </w:r>
          </w:p>
        </w:tc>
        <w:tc>
          <w:tcPr>
            <w:tcW w:w="340" w:type="pct"/>
          </w:tcPr>
          <w:p w:rsidR="007A2735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44" w:type="pct"/>
          </w:tcPr>
          <w:p w:rsidR="007A2735" w:rsidRDefault="007A2735" w:rsidP="00AD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Biedt EDA tools en EDA services aan voor de intergrated silicon photonics markt. </w:t>
            </w:r>
          </w:p>
        </w:tc>
        <w:tc>
          <w:tcPr>
            <w:tcW w:w="1063" w:type="pct"/>
          </w:tcPr>
          <w:p w:rsidR="007A2735" w:rsidRDefault="007A2735" w:rsidP="00AD448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Dendermonde</w:t>
            </w:r>
          </w:p>
        </w:tc>
        <w:tc>
          <w:tcPr>
            <w:tcW w:w="1174" w:type="pct"/>
          </w:tcPr>
          <w:p w:rsidR="007A2735" w:rsidRPr="00C9078E" w:rsidRDefault="007A2735" w:rsidP="00AD4483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Default="007A2735" w:rsidP="00FD4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51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</w:t>
            </w:r>
          </w:p>
        </w:tc>
        <w:tc>
          <w:tcPr>
            <w:tcW w:w="340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44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Ontwikkelt draagbare en draadloze monitoringsystemen voor een betere opvolging van de zwangerschap. </w:t>
            </w:r>
          </w:p>
        </w:tc>
        <w:tc>
          <w:tcPr>
            <w:tcW w:w="1063" w:type="pct"/>
          </w:tcPr>
          <w:p w:rsidR="007A2735" w:rsidRDefault="007A2735" w:rsidP="00FD426D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Diepenbeek</w:t>
            </w:r>
          </w:p>
        </w:tc>
        <w:tc>
          <w:tcPr>
            <w:tcW w:w="1174" w:type="pct"/>
          </w:tcPr>
          <w:p w:rsidR="007A2735" w:rsidRPr="00C9078E" w:rsidRDefault="007A2735" w:rsidP="00FD426D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Default="007A2735" w:rsidP="00FD4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1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Uest NV</w:t>
            </w:r>
          </w:p>
        </w:tc>
        <w:tc>
          <w:tcPr>
            <w:tcW w:w="340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44" w:type="pct"/>
          </w:tcPr>
          <w:p w:rsidR="007A2735" w:rsidRPr="00FD426D" w:rsidRDefault="007A2735" w:rsidP="002D0CC1">
            <w:pPr>
              <w:pStyle w:val="Tekst"/>
              <w:tabs>
                <w:tab w:val="clear" w:pos="560"/>
                <w:tab w:val="clear" w:pos="1100"/>
              </w:tabs>
              <w:rPr>
                <w:lang w:val="nl-BE"/>
              </w:rPr>
            </w:pPr>
            <w:r>
              <w:rPr>
                <w:lang w:val="nl-BE"/>
              </w:rPr>
              <w:t>Ontwikkelt en commercialiseert draadloos monitoringsysteem (armband) voor senioren</w:t>
            </w:r>
          </w:p>
        </w:tc>
        <w:tc>
          <w:tcPr>
            <w:tcW w:w="1063" w:type="pct"/>
          </w:tcPr>
          <w:p w:rsidR="007A2735" w:rsidRDefault="007A2735" w:rsidP="00FD426D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Gent</w:t>
            </w:r>
          </w:p>
        </w:tc>
        <w:tc>
          <w:tcPr>
            <w:tcW w:w="1174" w:type="pct"/>
          </w:tcPr>
          <w:p w:rsidR="007A2735" w:rsidRPr="00C9078E" w:rsidRDefault="007A2735" w:rsidP="00FD426D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Default="007A2735" w:rsidP="00FD4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1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Surecore</w:t>
            </w:r>
          </w:p>
        </w:tc>
        <w:tc>
          <w:tcPr>
            <w:tcW w:w="340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44" w:type="pct"/>
          </w:tcPr>
          <w:p w:rsidR="007A2735" w:rsidRDefault="007A2735" w:rsidP="002D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Ontwikkelt en commercialiseert  low power SRAM memory </w:t>
            </w:r>
          </w:p>
        </w:tc>
        <w:tc>
          <w:tcPr>
            <w:tcW w:w="1063" w:type="pct"/>
          </w:tcPr>
          <w:p w:rsidR="007A2735" w:rsidRDefault="007A2735" w:rsidP="00FD426D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Leuven, als dochteronderneming van UK vennootschap (Leeds) </w:t>
            </w:r>
          </w:p>
        </w:tc>
        <w:tc>
          <w:tcPr>
            <w:tcW w:w="1174" w:type="pct"/>
          </w:tcPr>
          <w:p w:rsidR="007A2735" w:rsidRPr="00C9078E" w:rsidRDefault="007A2735" w:rsidP="00FD426D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  <w:tr w:rsidR="007A2735" w:rsidRPr="00CF47C3">
        <w:tc>
          <w:tcPr>
            <w:tcW w:w="230" w:type="pct"/>
          </w:tcPr>
          <w:p w:rsidR="007A2735" w:rsidRDefault="007A2735" w:rsidP="00FD4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MiDiagnostics</w:t>
            </w:r>
          </w:p>
        </w:tc>
        <w:tc>
          <w:tcPr>
            <w:tcW w:w="340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44" w:type="pct"/>
          </w:tcPr>
          <w:p w:rsidR="007A2735" w:rsidRDefault="007A2735" w:rsidP="00FD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Ontwikkelt een zelfdiagnoseplatform (lab on chip)</w:t>
            </w:r>
          </w:p>
        </w:tc>
        <w:tc>
          <w:tcPr>
            <w:tcW w:w="1063" w:type="pct"/>
          </w:tcPr>
          <w:p w:rsidR="007A2735" w:rsidRDefault="007A2735" w:rsidP="00FD426D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Leuven</w:t>
            </w:r>
          </w:p>
        </w:tc>
        <w:tc>
          <w:tcPr>
            <w:tcW w:w="1174" w:type="pct"/>
          </w:tcPr>
          <w:p w:rsidR="007A2735" w:rsidRPr="00C9078E" w:rsidRDefault="007A2735" w:rsidP="00FD426D">
            <w:pPr>
              <w:rPr>
                <w:color w:val="000000"/>
                <w:sz w:val="20"/>
                <w:szCs w:val="20"/>
              </w:rPr>
            </w:pPr>
            <w:r w:rsidRPr="00C9078E">
              <w:rPr>
                <w:color w:val="000000"/>
                <w:sz w:val="20"/>
                <w:szCs w:val="20"/>
              </w:rPr>
              <w:t>Autonome en actieve spin-off.</w:t>
            </w:r>
          </w:p>
        </w:tc>
      </w:tr>
    </w:tbl>
    <w:p w:rsidR="007A2735" w:rsidRDefault="007A2735" w:rsidP="009C2321">
      <w:pPr>
        <w:pStyle w:val="ListParagraph"/>
        <w:ind w:left="0"/>
        <w:rPr>
          <w:sz w:val="20"/>
          <w:szCs w:val="20"/>
        </w:rPr>
      </w:pPr>
    </w:p>
    <w:sectPr w:rsidR="007A2735" w:rsidSect="00987BA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82367"/>
    <w:multiLevelType w:val="hybridMultilevel"/>
    <w:tmpl w:val="C510779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E84F61"/>
    <w:multiLevelType w:val="hybridMultilevel"/>
    <w:tmpl w:val="EAE88C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5824234"/>
    <w:multiLevelType w:val="hybridMultilevel"/>
    <w:tmpl w:val="14708B0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0767DFD"/>
    <w:multiLevelType w:val="hybridMultilevel"/>
    <w:tmpl w:val="8668D45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D7D3C"/>
    <w:multiLevelType w:val="hybridMultilevel"/>
    <w:tmpl w:val="8C60B6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8C11C0"/>
    <w:multiLevelType w:val="hybridMultilevel"/>
    <w:tmpl w:val="51406A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6E8E"/>
    <w:multiLevelType w:val="hybridMultilevel"/>
    <w:tmpl w:val="0924F68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D0C7B"/>
    <w:multiLevelType w:val="hybridMultilevel"/>
    <w:tmpl w:val="8EDAD73C"/>
    <w:lvl w:ilvl="0" w:tplc="88303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FE010E"/>
    <w:multiLevelType w:val="hybridMultilevel"/>
    <w:tmpl w:val="CEAC13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772FA"/>
    <w:multiLevelType w:val="hybridMultilevel"/>
    <w:tmpl w:val="23B89C7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C2B6F"/>
    <w:multiLevelType w:val="hybridMultilevel"/>
    <w:tmpl w:val="126C19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6AE0"/>
    <w:multiLevelType w:val="hybridMultilevel"/>
    <w:tmpl w:val="F8ECFAF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E5935"/>
    <w:multiLevelType w:val="hybridMultilevel"/>
    <w:tmpl w:val="14A8CBF2"/>
    <w:lvl w:ilvl="0" w:tplc="DECA8372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A09F5"/>
    <w:multiLevelType w:val="hybridMultilevel"/>
    <w:tmpl w:val="79AEA9F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D0268"/>
    <w:multiLevelType w:val="hybridMultilevel"/>
    <w:tmpl w:val="D96CB3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630A"/>
    <w:multiLevelType w:val="hybridMultilevel"/>
    <w:tmpl w:val="23CCA3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66166F"/>
    <w:multiLevelType w:val="hybridMultilevel"/>
    <w:tmpl w:val="EC88CE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1B6F10"/>
    <w:multiLevelType w:val="hybridMultilevel"/>
    <w:tmpl w:val="10D876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43DDD"/>
    <w:multiLevelType w:val="hybridMultilevel"/>
    <w:tmpl w:val="59707C6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6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11"/>
  </w:num>
  <w:num w:numId="10">
    <w:abstractNumId w:val="0"/>
  </w:num>
  <w:num w:numId="11">
    <w:abstractNumId w:val="28"/>
  </w:num>
  <w:num w:numId="12">
    <w:abstractNumId w:val="2"/>
  </w:num>
  <w:num w:numId="13">
    <w:abstractNumId w:val="12"/>
  </w:num>
  <w:num w:numId="14">
    <w:abstractNumId w:val="29"/>
  </w:num>
  <w:num w:numId="15">
    <w:abstractNumId w:val="19"/>
  </w:num>
  <w:num w:numId="16">
    <w:abstractNumId w:val="27"/>
  </w:num>
  <w:num w:numId="17">
    <w:abstractNumId w:val="16"/>
  </w:num>
  <w:num w:numId="18">
    <w:abstractNumId w:val="13"/>
  </w:num>
  <w:num w:numId="19">
    <w:abstractNumId w:val="3"/>
  </w:num>
  <w:num w:numId="20">
    <w:abstractNumId w:val="30"/>
  </w:num>
  <w:num w:numId="21">
    <w:abstractNumId w:val="21"/>
  </w:num>
  <w:num w:numId="22">
    <w:abstractNumId w:val="20"/>
  </w:num>
  <w:num w:numId="23">
    <w:abstractNumId w:val="9"/>
  </w:num>
  <w:num w:numId="24">
    <w:abstractNumId w:val="10"/>
  </w:num>
  <w:num w:numId="25">
    <w:abstractNumId w:val="14"/>
  </w:num>
  <w:num w:numId="26">
    <w:abstractNumId w:val="8"/>
  </w:num>
  <w:num w:numId="27">
    <w:abstractNumId w:val="15"/>
  </w:num>
  <w:num w:numId="28">
    <w:abstractNumId w:val="23"/>
  </w:num>
  <w:num w:numId="29">
    <w:abstractNumId w:val="17"/>
  </w:num>
  <w:num w:numId="30">
    <w:abstractNumId w:val="25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198"/>
    <w:rsid w:val="00000546"/>
    <w:rsid w:val="000329B3"/>
    <w:rsid w:val="000464A2"/>
    <w:rsid w:val="00060866"/>
    <w:rsid w:val="00070064"/>
    <w:rsid w:val="00071DA4"/>
    <w:rsid w:val="000765E1"/>
    <w:rsid w:val="00080040"/>
    <w:rsid w:val="00095239"/>
    <w:rsid w:val="000E2A96"/>
    <w:rsid w:val="00171F2E"/>
    <w:rsid w:val="00187BFC"/>
    <w:rsid w:val="001E4BBA"/>
    <w:rsid w:val="001F20AC"/>
    <w:rsid w:val="001F7C8E"/>
    <w:rsid w:val="00227E7D"/>
    <w:rsid w:val="00253EEA"/>
    <w:rsid w:val="00255FB1"/>
    <w:rsid w:val="00281278"/>
    <w:rsid w:val="002A5BA1"/>
    <w:rsid w:val="002D0CC1"/>
    <w:rsid w:val="00343A8F"/>
    <w:rsid w:val="003B5116"/>
    <w:rsid w:val="003C07D2"/>
    <w:rsid w:val="00427E2D"/>
    <w:rsid w:val="00451CDB"/>
    <w:rsid w:val="004D7979"/>
    <w:rsid w:val="005051B9"/>
    <w:rsid w:val="00561898"/>
    <w:rsid w:val="005957B3"/>
    <w:rsid w:val="005A0D53"/>
    <w:rsid w:val="005E4682"/>
    <w:rsid w:val="0060794D"/>
    <w:rsid w:val="00610FA9"/>
    <w:rsid w:val="00637A9F"/>
    <w:rsid w:val="00667CE6"/>
    <w:rsid w:val="00670690"/>
    <w:rsid w:val="00693743"/>
    <w:rsid w:val="006D7125"/>
    <w:rsid w:val="006F29F5"/>
    <w:rsid w:val="006F49EA"/>
    <w:rsid w:val="00715DC4"/>
    <w:rsid w:val="007658E1"/>
    <w:rsid w:val="0078435B"/>
    <w:rsid w:val="007A2735"/>
    <w:rsid w:val="007A7738"/>
    <w:rsid w:val="007C5ADD"/>
    <w:rsid w:val="007D5B8F"/>
    <w:rsid w:val="007E2BBA"/>
    <w:rsid w:val="007E4E15"/>
    <w:rsid w:val="007F5A82"/>
    <w:rsid w:val="007F7F57"/>
    <w:rsid w:val="0083747B"/>
    <w:rsid w:val="00842F2E"/>
    <w:rsid w:val="00844521"/>
    <w:rsid w:val="008856C6"/>
    <w:rsid w:val="009147A7"/>
    <w:rsid w:val="00941198"/>
    <w:rsid w:val="00974E07"/>
    <w:rsid w:val="009864CE"/>
    <w:rsid w:val="00987BA8"/>
    <w:rsid w:val="009B088E"/>
    <w:rsid w:val="009C170D"/>
    <w:rsid w:val="009C2321"/>
    <w:rsid w:val="009D4A92"/>
    <w:rsid w:val="009F10A6"/>
    <w:rsid w:val="00A16694"/>
    <w:rsid w:val="00A40D76"/>
    <w:rsid w:val="00AD26F5"/>
    <w:rsid w:val="00AD4483"/>
    <w:rsid w:val="00AD78E8"/>
    <w:rsid w:val="00AE26FB"/>
    <w:rsid w:val="00B6547D"/>
    <w:rsid w:val="00BD07FB"/>
    <w:rsid w:val="00C75C7E"/>
    <w:rsid w:val="00C9078E"/>
    <w:rsid w:val="00CB2006"/>
    <w:rsid w:val="00CC63C8"/>
    <w:rsid w:val="00CE0EE2"/>
    <w:rsid w:val="00CF47C3"/>
    <w:rsid w:val="00CF4E65"/>
    <w:rsid w:val="00CF71B2"/>
    <w:rsid w:val="00D13116"/>
    <w:rsid w:val="00D8786E"/>
    <w:rsid w:val="00DB58A9"/>
    <w:rsid w:val="00DF6517"/>
    <w:rsid w:val="00E027C4"/>
    <w:rsid w:val="00EC1364"/>
    <w:rsid w:val="00EC4311"/>
    <w:rsid w:val="00ED3FD3"/>
    <w:rsid w:val="00EF296F"/>
    <w:rsid w:val="00EF4FB2"/>
    <w:rsid w:val="00F15ADB"/>
    <w:rsid w:val="00F52CAF"/>
    <w:rsid w:val="00FC1093"/>
    <w:rsid w:val="00FC489F"/>
    <w:rsid w:val="00FD426D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9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239"/>
    <w:pPr>
      <w:keepNext/>
      <w:numPr>
        <w:numId w:val="2"/>
      </w:numPr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239"/>
    <w:pPr>
      <w:keepNext/>
      <w:tabs>
        <w:tab w:val="num" w:pos="567"/>
      </w:tabs>
      <w:ind w:left="567" w:hanging="567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239"/>
    <w:pPr>
      <w:keepNext/>
      <w:tabs>
        <w:tab w:val="num" w:pos="567"/>
      </w:tabs>
      <w:ind w:left="567" w:hanging="567"/>
      <w:outlineLvl w:val="2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892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892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892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EnvelopeAddress">
    <w:name w:val="envelope address"/>
    <w:basedOn w:val="Normal"/>
    <w:uiPriority w:val="99"/>
    <w:rsid w:val="00095239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095239"/>
  </w:style>
  <w:style w:type="paragraph" w:styleId="TOC1">
    <w:name w:val="toc 1"/>
    <w:basedOn w:val="Normal"/>
    <w:next w:val="Normal"/>
    <w:autoRedefine/>
    <w:uiPriority w:val="99"/>
    <w:semiHidden/>
    <w:rsid w:val="00095239"/>
    <w:pPr>
      <w:tabs>
        <w:tab w:val="right" w:leader="dot" w:pos="9741"/>
      </w:tabs>
      <w:spacing w:before="180" w:after="180"/>
      <w:ind w:left="567" w:hanging="567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095239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095239"/>
    <w:pPr>
      <w:tabs>
        <w:tab w:val="right" w:leader="dot" w:pos="9741"/>
      </w:tabs>
      <w:spacing w:before="40" w:after="40"/>
      <w:ind w:left="1701" w:hanging="567"/>
    </w:pPr>
    <w:rPr>
      <w:i/>
      <w:iCs/>
    </w:rPr>
  </w:style>
  <w:style w:type="paragraph" w:styleId="BodyText2">
    <w:name w:val="Body Text 2"/>
    <w:basedOn w:val="Normal"/>
    <w:link w:val="BodyText2Char"/>
    <w:uiPriority w:val="99"/>
    <w:rsid w:val="00095239"/>
    <w:pPr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2892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99"/>
    <w:qFormat/>
    <w:rsid w:val="003C07D2"/>
    <w:pPr>
      <w:ind w:left="708"/>
    </w:pPr>
  </w:style>
  <w:style w:type="paragraph" w:customStyle="1" w:styleId="SVVlaamsParlement">
    <w:name w:val="SV Vlaams Parlement"/>
    <w:basedOn w:val="Normal"/>
    <w:uiPriority w:val="99"/>
    <w:rsid w:val="00095239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Normal"/>
    <w:uiPriority w:val="99"/>
    <w:rsid w:val="00095239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Normal"/>
    <w:uiPriority w:val="99"/>
    <w:rsid w:val="00095239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7A9F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99"/>
    <w:rsid w:val="008856C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C2321"/>
    <w:rPr>
      <w:rFonts w:ascii="Calibri" w:hAnsi="Calibri" w:cs="Calibri"/>
      <w:sz w:val="22"/>
      <w:szCs w:val="22"/>
      <w:lang w:val="nl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2321"/>
    <w:rPr>
      <w:rFonts w:ascii="Calibri" w:eastAsia="Times New Roman" w:hAnsi="Calibri" w:cs="Calibri"/>
      <w:sz w:val="21"/>
      <w:szCs w:val="21"/>
      <w:lang w:eastAsia="en-US"/>
    </w:rPr>
  </w:style>
  <w:style w:type="paragraph" w:styleId="NoSpacing">
    <w:name w:val="No Spacing"/>
    <w:uiPriority w:val="99"/>
    <w:qFormat/>
    <w:rsid w:val="009C2321"/>
    <w:rPr>
      <w:rFonts w:ascii="Calibri" w:hAnsi="Calibri" w:cs="Calibri"/>
      <w:lang w:eastAsia="en-US"/>
    </w:rPr>
  </w:style>
  <w:style w:type="character" w:styleId="Emphasis">
    <w:name w:val="Emphasis"/>
    <w:basedOn w:val="DefaultParagraphFont"/>
    <w:uiPriority w:val="99"/>
    <w:qFormat/>
    <w:rsid w:val="009C2321"/>
    <w:rPr>
      <w:b/>
      <w:bCs/>
    </w:rPr>
  </w:style>
  <w:style w:type="character" w:styleId="Strong">
    <w:name w:val="Strong"/>
    <w:basedOn w:val="DefaultParagraphFont"/>
    <w:uiPriority w:val="99"/>
    <w:qFormat/>
    <w:rsid w:val="009C2321"/>
    <w:rPr>
      <w:b/>
      <w:bCs/>
    </w:rPr>
  </w:style>
  <w:style w:type="paragraph" w:customStyle="1" w:styleId="Tekst">
    <w:name w:val="Tekst"/>
    <w:basedOn w:val="Normal"/>
    <w:uiPriority w:val="99"/>
    <w:rsid w:val="00FD426D"/>
    <w:pPr>
      <w:tabs>
        <w:tab w:val="left" w:pos="560"/>
        <w:tab w:val="left" w:pos="1100"/>
      </w:tabs>
      <w:jc w:val="both"/>
    </w:pPr>
    <w:rPr>
      <w:rFonts w:ascii="Palatino" w:hAnsi="Palatino" w:cs="Palatin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20FCACB3F920A6458C5B1316D3779E09007A0C4141FAF4F7408B20290F5A9D10EC" ma:contentTypeVersion="174" ma:contentTypeDescription="" ma:contentTypeScope="" ma:versionID="a158a835a521d62aebdb8ad86f5da0a2">
  <xsd:schema xmlns:xsd="http://www.w3.org/2001/XMLSchema" xmlns:xs="http://www.w3.org/2001/XMLSchema" xmlns:p="http://schemas.microsoft.com/office/2006/metadata/properties" xmlns:ns1="http://schemas.microsoft.com/sharepoint/v3" xmlns:ns2="52e9a9ce-d07c-4d94-8c99-c922eb37927e" xmlns:ns3="409d3652-7c76-4e6a-a296-562aaaabe861" xmlns:ns4="305d8879-db1a-45a6-8b18-50186d80ea1c" targetNamespace="http://schemas.microsoft.com/office/2006/metadata/properties" ma:root="true" ma:fieldsID="d93e71280ea5fb5df552c0fd6eeb99ad" ns1:_="" ns2:_="" ns3:_="" ns4:_="">
    <xsd:import namespace="http://schemas.microsoft.com/sharepoint/v3"/>
    <xsd:import namespace="52e9a9ce-d07c-4d94-8c99-c922eb37927e"/>
    <xsd:import namespace="409d3652-7c76-4e6a-a296-562aaaabe861"/>
    <xsd:import namespace="305d8879-db1a-45a6-8b18-50186d80ea1c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ProcessInstanceID" minOccurs="0"/>
                <xsd:element ref="ns3:TaxCatchAll" minOccurs="0"/>
                <xsd:element ref="ns3:TaxCatchAllLabel" minOccurs="0"/>
                <xsd:element ref="ns4:OpmerkingenExterneAgentschappen" minOccurs="0"/>
                <xsd:element ref="ns4:OnderwerpVraag" minOccurs="0"/>
                <xsd:element ref="ns4:MinisterDomein" minOccurs="0"/>
                <xsd:element ref="ns4:Publicatielink" minOccurs="0"/>
                <xsd:element ref="ns4:Parlementair" minOccurs="0"/>
                <xsd:element ref="ns4:MinisterAlleDomeinen" minOccurs="0"/>
                <xsd:element ref="ns4:OrigDossierID" minOccurs="0"/>
                <xsd:element ref="ns4:TitelVraag" minOccurs="0"/>
                <xsd:element ref="ns4:DatumIN" minOccurs="0"/>
                <xsd:element ref="ns4:Antwoordnummer" minOccurs="0"/>
                <xsd:element ref="ns2:MinisterHidden" minOccurs="0"/>
                <xsd:element ref="ns4:Minister" minOccurs="0"/>
                <xsd:element ref="ns4:Vraagnummer" minOccurs="0"/>
                <xsd:element ref="ns4:DatumVraag" minOccurs="0"/>
                <xsd:element ref="ns4:Publicatiedatum" minOccurs="0"/>
                <xsd:element ref="ns4:BehandelaarsVerantwoordelijkeAfdeling" minOccurs="0"/>
                <xsd:element ref="ns4:BehandelaarsBetrokkenAfdelingen" minOccurs="0"/>
                <xsd:element ref="ns2:BehandelaarsBetrokkenAfdelingenLogins" minOccurs="0"/>
                <xsd:element ref="ns2:VraagnummerCalc" minOccurs="0"/>
                <xsd:element ref="ns4:TypePrefix" minOccurs="0"/>
                <xsd:element ref="ns4:AntwoordVereist" minOccurs="0"/>
                <xsd:element ref="ns4:TypeVra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ijving" ma:description="Een beschrijving van de documenten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a9ce-d07c-4d94-8c99-c922eb37927e" elementFormDefault="qualified">
    <xsd:import namespace="http://schemas.microsoft.com/office/2006/documentManagement/types"/>
    <xsd:import namespace="http://schemas.microsoft.com/office/infopath/2007/PartnerControls"/>
    <xsd:element name="ProcessInstanceID" ma:index="10" nillable="true" ma:displayName="ProcessInstanceID" ma:hidden="true" ma:internalName="ProcessInstanceID">
      <xsd:simpleType>
        <xsd:restriction base="dms:Note"/>
      </xsd:simpleType>
    </xsd:element>
    <xsd:element name="MinisterHidden" ma:index="40" nillable="true" ma:displayName="MinisterHidden" ma:hidden="true" ma:internalName="MinisterHidden" ma:readOnly="false">
      <xsd:simpleType>
        <xsd:restriction base="dms:Text">
          <xsd:maxLength value="255"/>
        </xsd:restriction>
      </xsd:simpleType>
    </xsd:element>
    <xsd:element name="BehandelaarsBetrokkenAfdelingenLogins" ma:index="50" nillable="true" ma:displayName="BehandelaarsBetrokkenAfdelingenLogins" ma:hidden="true" ma:internalName="BehandelaarsBetrokkenAfdelingenLogins" ma:readOnly="false">
      <xsd:simpleType>
        <xsd:restriction base="dms:Text">
          <xsd:maxLength value="255"/>
        </xsd:restriction>
      </xsd:simpleType>
    </xsd:element>
    <xsd:element name="VraagnummerCalc" ma:index="51" nillable="true" ma:displayName="VraagnummerCalc" ma:internalName="VraagnummerCalc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3652-7c76-4e6a-a296-562aaaabe86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ce7db809-9430-455c-b654-988aab8e217f}" ma:internalName="TaxCatchAll" ma:showField="CatchAllData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ce7db809-9430-455c-b654-988aab8e217f}" ma:internalName="TaxCatchAllLabel" ma:readOnly="true" ma:showField="CatchAllDataLabel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8879-db1a-45a6-8b18-50186d80ea1c" elementFormDefault="qualified">
    <xsd:import namespace="http://schemas.microsoft.com/office/2006/documentManagement/types"/>
    <xsd:import namespace="http://schemas.microsoft.com/office/infopath/2007/PartnerControls"/>
    <xsd:element name="OpmerkingenExterneAgentschappen" ma:index="30" nillable="true" ma:displayName="Opmerkingen Externe Agentschappen" ma:hidden="true" ma:internalName="OpmerkingenExterneAgentschappen" ma:readOnly="false">
      <xsd:simpleType>
        <xsd:restriction base="dms:Note"/>
      </xsd:simpleType>
    </xsd:element>
    <xsd:element name="OnderwerpVraag" ma:index="31" nillable="true" ma:displayName="Onderwerp Vraag" ma:description="De volledige titel. Het onderwerp van deze vraag." ma:hidden="true" ma:internalName="OnderwerpVraag" ma:readOnly="false">
      <xsd:simpleType>
        <xsd:restriction base="dms:Note"/>
      </xsd:simpleType>
    </xsd:element>
    <xsd:element name="MinisterDomein" ma:index="32" nillable="true" ma:displayName="MinisterDomein" ma:hidden="true" ma:internalName="MinisterDomein" ma:readOnly="false">
      <xsd:simpleType>
        <xsd:restriction base="dms:Text">
          <xsd:maxLength value="255"/>
        </xsd:restriction>
      </xsd:simpleType>
    </xsd:element>
    <xsd:element name="Publicatielink" ma:index="33" nillable="true" ma:displayName="Publicatielink" ma:format="Hyperlink" ma:hidden="true" ma:internalName="Publicati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lementair" ma:index="34" nillable="true" ma:displayName="Parlementair" ma:hidden="true" ma:internalName="Parlementair" ma:readOnly="false">
      <xsd:simpleType>
        <xsd:restriction base="dms:Text">
          <xsd:maxLength value="255"/>
        </xsd:restriction>
      </xsd:simpleType>
    </xsd:element>
    <xsd:element name="MinisterAlleDomeinen" ma:index="35" nillable="true" ma:displayName="MinisterAlleDomeinen" ma:hidden="true" ma:internalName="MinisterAlleDomeinen" ma:readOnly="false">
      <xsd:simpleType>
        <xsd:restriction base="dms:Text">
          <xsd:maxLength value="255"/>
        </xsd:restriction>
      </xsd:simpleType>
    </xsd:element>
    <xsd:element name="OrigDossierID" ma:index="36" nillable="true" ma:displayName="OrigDossierID" ma:hidden="true" ma:internalName="OrigDossierID" ma:readOnly="false">
      <xsd:simpleType>
        <xsd:restriction base="dms:Text">
          <xsd:maxLength value="255"/>
        </xsd:restriction>
      </xsd:simpleType>
    </xsd:element>
    <xsd:element name="TitelVraag" ma:index="37" nillable="true" ma:displayName="Titel Vraag" ma:hidden="true" ma:internalName="TitelVraag" ma:readOnly="false">
      <xsd:simpleType>
        <xsd:restriction base="dms:Text">
          <xsd:maxLength value="255"/>
        </xsd:restriction>
      </xsd:simpleType>
    </xsd:element>
    <xsd:element name="DatumIN" ma:index="38" nillable="true" ma:displayName="Datum IN" ma:default="[today]" ma:description="De datum waarop de vraag bij EWI binnenkwam" ma:format="DateOnly" ma:hidden="true" ma:internalName="DatumIN" ma:readOnly="false">
      <xsd:simpleType>
        <xsd:restriction base="dms:DateTime"/>
      </xsd:simpleType>
    </xsd:element>
    <xsd:element name="Antwoordnummer" ma:index="39" nillable="true" ma:displayName="Antwoordnummer" ma:hidden="true" ma:internalName="Antwoordnummer" ma:readOnly="false">
      <xsd:simpleType>
        <xsd:restriction base="dms:Text">
          <xsd:maxLength value="255"/>
        </xsd:restriction>
      </xsd:simpleType>
    </xsd:element>
    <xsd:element name="Minister" ma:index="41" nillable="true" ma:displayName="Minister" ma:hidden="true" ma:list="{5caed272-f5c1-496a-a96d-a4ec1b15dc09}" ma:internalName="Minister" ma:readOnly="false" ma:showField="Title" ma:web="305d8879-db1a-45a6-8b18-50186d80ea1c">
      <xsd:simpleType>
        <xsd:restriction base="dms:Lookup"/>
      </xsd:simpleType>
    </xsd:element>
    <xsd:element name="Vraagnummer" ma:index="42" nillable="true" ma:displayName="Vraagnummer" ma:description="Het nummer van de vraag (bvb. 0012)" ma:hidden="true" ma:internalName="Vraagnummer" ma:readOnly="false">
      <xsd:simpleType>
        <xsd:restriction base="dms:Text">
          <xsd:maxLength value="4"/>
        </xsd:restriction>
      </xsd:simpleType>
    </xsd:element>
    <xsd:element name="DatumVraag" ma:index="43" nillable="true" ma:displayName="Datum Vraag" ma:format="DateOnly" ma:internalName="DatumVraag" ma:readOnly="false">
      <xsd:simpleType>
        <xsd:restriction base="dms:DateTime"/>
      </xsd:simpleType>
    </xsd:element>
    <xsd:element name="Publicatiedatum" ma:index="44" nillable="true" ma:displayName="Publicatiedatum" ma:format="DateOnly" ma:hidden="true" ma:internalName="Publicatiedatum" ma:readOnly="false">
      <xsd:simpleType>
        <xsd:restriction base="dms:DateTime"/>
      </xsd:simpleType>
    </xsd:element>
    <xsd:element name="BehandelaarsVerantwoordelijkeAfdeling" ma:index="46" nillable="true" ma:displayName="Behandelaars Verantwoordelijke Afdeling" ma:list="UserInfo" ma:SharePointGroup="0" ma:internalName="BehandelaarsVerantwoordelijkeAfdeli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andelaarsBetrokkenAfdelingen" ma:index="47" nillable="true" ma:displayName="Behandelaars Betrokken Afdelingen" ma:list="UserInfo" ma:SharePointGroup="0" ma:internalName="BehandelaarsBetrokkenAfdeling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Prefix" ma:index="53" nillable="true" ma:displayName="Type prefix" ma:internalName="TypePrefix" ma:readOnly="false">
      <xsd:simpleType>
        <xsd:restriction base="dms:Text">
          <xsd:maxLength value="4"/>
        </xsd:restriction>
      </xsd:simpleType>
    </xsd:element>
    <xsd:element name="AntwoordVereist" ma:index="55" nillable="true" ma:displayName="Antwoord Vereist" ma:format="DateOnly" ma:internalName="AntwoordVereist" ma:readOnly="false">
      <xsd:simpleType>
        <xsd:restriction base="dms:DateTime"/>
      </xsd:simpleType>
    </xsd:element>
    <xsd:element name="TypeVraag" ma:index="56" nillable="true" ma:displayName="Type 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Vraag Aan Meerdere Minist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IN xmlns="305d8879-db1a-45a6-8b18-50186d80ea1c">2015-12-17T23:00:00+00:00</DatumIN>
    <TypeVraag xmlns="305d8879-db1a-45a6-8b18-50186d80ea1c">Schriftelijke Vraag</TypeVraag>
    <Minister xmlns="305d8879-db1a-45a6-8b18-50186d80ea1c">3</Minister>
    <Publicatielink xmlns="305d8879-db1a-45a6-8b18-50186d80ea1c">
      <Url xsi:nil="true"/>
      <Description xsi:nil="true"/>
    </Publicatielink>
    <OpmerkingenExterneAgentschappen xmlns="305d8879-db1a-45a6-8b18-50186d80ea1c" xsi:nil="true"/>
    <OnderwerpVraag xmlns="305d8879-db1a-45a6-8b18-50186d80ea1c">Imec Spinoffcreatie</OnderwerpVraag>
    <DocumentSetDescription xmlns="http://schemas.microsoft.com/sharepoint/v3" xsi:nil="true"/>
    <MinisterHidden xmlns="52e9a9ce-d07c-4d94-8c99-c922eb37927e">philippe muyters</MinisterHidden>
    <MinisterAlleDomeinen xmlns="305d8879-db1a-45a6-8b18-50186d80ea1c">vlaams minister van werk, economie, innovatie en sport</MinisterAlleDomeinen>
    <MinisterDomein xmlns="305d8879-db1a-45a6-8b18-50186d80ea1c">NVT</MinisterDomein>
    <Parlementair xmlns="305d8879-db1a-45a6-8b18-50186d80ea1c">matthias diependaele</Parlementair>
    <BehandelaarsVerantwoordelijkeAfdeling xmlns="305d8879-db1a-45a6-8b18-50186d80ea1c">
      <UserInfo>
        <DisplayName/>
        <AccountId xsi:nil="true"/>
        <AccountType/>
      </UserInfo>
    </BehandelaarsVerantwoordelijkeAfdeling>
    <Antwoordnummer xmlns="305d8879-db1a-45a6-8b18-50186d80ea1c">165</Antwoordnummer>
    <Vraagnummer xmlns="305d8879-db1a-45a6-8b18-50186d80ea1c">165</Vraagnummer>
    <OrigDossierID xmlns="305d8879-db1a-45a6-8b18-50186d80ea1c">3809</OrigDossierID>
    <AntwoordVereist xmlns="305d8879-db1a-45a6-8b18-50186d80ea1c">2016-01-04T23:00:00+00:00</AntwoordVereist>
    <TaxCatchAll xmlns="409d3652-7c76-4e6a-a296-562aaaabe861">
      <Value>307</Value>
      <Value>310</Value>
    </TaxCatchAll>
    <VraagnummerCalc xmlns="52e9a9ce-d07c-4d94-8c99-c922eb37927e">165</VraagnummerCalc>
    <TypePrefix xmlns="305d8879-db1a-45a6-8b18-50186d80ea1c">SV</TypePrefix>
    <BehandelaarsBetrokkenAfdelingen xmlns="305d8879-db1a-45a6-8b18-50186d80ea1c">
      <UserInfo>
        <DisplayName/>
        <AccountId xsi:nil="true"/>
        <AccountType/>
      </UserInfo>
    </BehandelaarsBetrokkenAfdelingen>
    <TitelVraag xmlns="305d8879-db1a-45a6-8b18-50186d80ea1c">165 Imec Spinoffcreatie</TitelVraag>
    <BehandelaarsBetrokkenAfdelingenLogins xmlns="52e9a9ce-d07c-4d94-8c99-c922eb37927e" xsi:nil="true"/>
    <ProcessInstanceID xmlns="52e9a9ce-d07c-4d94-8c99-c922eb37927e" xsi:nil="true"/>
    <Publicatiedatum xmlns="305d8879-db1a-45a6-8b18-50186d80ea1c" xsi:nil="true"/>
    <DatumVraag xmlns="305d8879-db1a-45a6-8b18-50186d80ea1c">2015-12-07T23:00:00+00:00</DatumVraag>
  </documentManagement>
</p:properties>
</file>

<file path=customXml/itemProps1.xml><?xml version="1.0" encoding="utf-8"?>
<ds:datastoreItem xmlns:ds="http://schemas.openxmlformats.org/officeDocument/2006/customXml" ds:itemID="{88E0ABBB-2A72-4D5B-B0B6-888494524883}"/>
</file>

<file path=customXml/itemProps2.xml><?xml version="1.0" encoding="utf-8"?>
<ds:datastoreItem xmlns:ds="http://schemas.openxmlformats.org/officeDocument/2006/customXml" ds:itemID="{E2F8903F-BC70-491C-8FB5-227532E74722}"/>
</file>

<file path=customXml/itemProps3.xml><?xml version="1.0" encoding="utf-8"?>
<ds:datastoreItem xmlns:ds="http://schemas.openxmlformats.org/officeDocument/2006/customXml" ds:itemID="{0CE841A6-455A-4138-98D8-C3696CA20AD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955</Words>
  <Characters>5257</Characters>
  <Application>Microsoft Office Outlook</Application>
  <DocSecurity>0</DocSecurity>
  <Lines>0</Lines>
  <Paragraphs>0</Paragraphs>
  <ScaleCrop>false</ScaleCrop>
  <Company>Vlaams Parlement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dc:description/>
  <cp:lastModifiedBy>Bonar</cp:lastModifiedBy>
  <cp:revision>3</cp:revision>
  <cp:lastPrinted>2016-01-08T14:49:00Z</cp:lastPrinted>
  <dcterms:created xsi:type="dcterms:W3CDTF">2016-01-08T16:48:00Z</dcterms:created>
  <dcterms:modified xsi:type="dcterms:W3CDTF">2016-01-10T12:04:00Z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9774d0c1c5b4673b17cf4c67a514757">
    <vt:lpwstr>2014|684dd4d6-5be9-41c0-ac8a-e5d3fba756ad</vt:lpwstr>
  </property>
  <property fmtid="{D5CDD505-2E9C-101B-9397-08002B2CF9AE}" pid="3" name="ContentTypeId">
    <vt:lpwstr>0x01010020FCACB3F920A6458C5B1316D3779E09007A0C4141FAF4F7408B20290F5A9D10EC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