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85" w:rsidRPr="005C0A1F" w:rsidRDefault="00C91085" w:rsidP="00212272">
      <w:pPr>
        <w:jc w:val="left"/>
        <w:outlineLvl w:val="0"/>
        <w:rPr>
          <w:rFonts w:cs="Arial"/>
          <w:b/>
          <w:u w:val="single"/>
        </w:rPr>
      </w:pPr>
      <w:bookmarkStart w:id="0" w:name="_GoBack"/>
      <w:bookmarkEnd w:id="0"/>
      <w:r w:rsidRPr="005C0A1F">
        <w:rPr>
          <w:rFonts w:cs="Arial"/>
          <w:b/>
          <w:u w:val="single"/>
        </w:rPr>
        <w:t xml:space="preserve">Bijlage SV </w:t>
      </w:r>
      <w:r w:rsidR="001B6C2E">
        <w:rPr>
          <w:rFonts w:cs="Arial"/>
          <w:b/>
          <w:u w:val="single"/>
        </w:rPr>
        <w:t>362</w:t>
      </w:r>
    </w:p>
    <w:p w:rsidR="00C91085" w:rsidRDefault="00C91085" w:rsidP="00212272">
      <w:pPr>
        <w:jc w:val="left"/>
        <w:outlineLvl w:val="0"/>
        <w:rPr>
          <w:rFonts w:ascii="Arial" w:hAnsi="Arial" w:cs="Arial"/>
        </w:rPr>
      </w:pPr>
    </w:p>
    <w:p w:rsidR="00E4303A" w:rsidRDefault="006B1D27" w:rsidP="00C91085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Tabel 1</w:t>
      </w:r>
      <w:r w:rsidR="00E4303A">
        <w:rPr>
          <w:rFonts w:cs="Arial"/>
        </w:rPr>
        <w:t xml:space="preserve">: </w:t>
      </w:r>
      <w:r>
        <w:t>Spreiding E-peil scholen per aanvraagjaar (EPB-aangiftes tot eind 2014)</w:t>
      </w:r>
    </w:p>
    <w:p w:rsidR="00E4303A" w:rsidRDefault="00E4303A" w:rsidP="00E4303A">
      <w:pPr>
        <w:pStyle w:val="Lijstalinea"/>
        <w:rPr>
          <w:rFonts w:cs="Arial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535"/>
        <w:gridCol w:w="640"/>
        <w:gridCol w:w="542"/>
        <w:gridCol w:w="520"/>
        <w:gridCol w:w="520"/>
        <w:gridCol w:w="520"/>
        <w:gridCol w:w="520"/>
        <w:gridCol w:w="520"/>
        <w:gridCol w:w="520"/>
        <w:gridCol w:w="949"/>
      </w:tblGrid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ID</w:t>
            </w:r>
          </w:p>
        </w:tc>
        <w:tc>
          <w:tcPr>
            <w:tcW w:w="535" w:type="dxa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2006</w:t>
            </w:r>
          </w:p>
        </w:tc>
        <w:tc>
          <w:tcPr>
            <w:tcW w:w="64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2007</w:t>
            </w:r>
          </w:p>
        </w:tc>
        <w:tc>
          <w:tcPr>
            <w:tcW w:w="542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2008</w:t>
            </w:r>
          </w:p>
        </w:tc>
        <w:tc>
          <w:tcPr>
            <w:tcW w:w="52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2009</w:t>
            </w:r>
          </w:p>
        </w:tc>
        <w:tc>
          <w:tcPr>
            <w:tcW w:w="52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52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52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2012</w:t>
            </w:r>
          </w:p>
        </w:tc>
        <w:tc>
          <w:tcPr>
            <w:tcW w:w="52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2013</w:t>
            </w:r>
          </w:p>
        </w:tc>
        <w:tc>
          <w:tcPr>
            <w:tcW w:w="520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2014</w:t>
            </w:r>
          </w:p>
        </w:tc>
        <w:tc>
          <w:tcPr>
            <w:tcW w:w="949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Totaal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A.&gt;100</w:t>
            </w:r>
          </w:p>
        </w:tc>
        <w:tc>
          <w:tcPr>
            <w:tcW w:w="5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B.91-100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43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C.81-90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43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D.71-80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42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E.61-70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206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F.51-60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84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G.41-50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24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H.31-40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I.21-30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BFD2E2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J.&lt;=20</w:t>
            </w:r>
          </w:p>
        </w:tc>
        <w:tc>
          <w:tcPr>
            <w:tcW w:w="5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color w:val="000000"/>
                <w:lang w:eastAsia="nl-BE"/>
              </w:rPr>
            </w:pPr>
            <w:r w:rsidRPr="006B1D27">
              <w:rPr>
                <w:rFonts w:ascii="Tahoma" w:eastAsia="Times New Roman" w:hAnsi="Tahoma" w:cs="Tahoma"/>
                <w:color w:val="000000"/>
                <w:lang w:eastAsia="nl-BE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6B1D27" w:rsidRPr="006B1D27" w:rsidTr="006B1D27">
        <w:trPr>
          <w:trHeight w:val="255"/>
          <w:jc w:val="center"/>
        </w:trPr>
        <w:tc>
          <w:tcPr>
            <w:tcW w:w="1734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Totaal</w:t>
            </w:r>
          </w:p>
        </w:tc>
        <w:tc>
          <w:tcPr>
            <w:tcW w:w="535" w:type="dxa"/>
            <w:tcBorders>
              <w:top w:val="single" w:sz="8" w:space="0" w:color="A2C4E0"/>
              <w:left w:val="single" w:sz="8" w:space="0" w:color="A2C4E0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640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50</w:t>
            </w:r>
          </w:p>
        </w:tc>
        <w:tc>
          <w:tcPr>
            <w:tcW w:w="542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85</w:t>
            </w:r>
          </w:p>
        </w:tc>
        <w:tc>
          <w:tcPr>
            <w:tcW w:w="520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86</w:t>
            </w:r>
          </w:p>
        </w:tc>
        <w:tc>
          <w:tcPr>
            <w:tcW w:w="520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77</w:t>
            </w:r>
          </w:p>
        </w:tc>
        <w:tc>
          <w:tcPr>
            <w:tcW w:w="520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45</w:t>
            </w:r>
          </w:p>
        </w:tc>
        <w:tc>
          <w:tcPr>
            <w:tcW w:w="520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39</w:t>
            </w:r>
          </w:p>
        </w:tc>
        <w:tc>
          <w:tcPr>
            <w:tcW w:w="520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520" w:type="dxa"/>
            <w:tcBorders>
              <w:top w:val="single" w:sz="8" w:space="0" w:color="A2C4E0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2C4E0"/>
              <w:right w:val="single" w:sz="8" w:space="0" w:color="A2C4E0"/>
            </w:tcBorders>
            <w:shd w:val="clear" w:color="000000" w:fill="DFDFDF"/>
            <w:noWrap/>
            <w:hideMark/>
          </w:tcPr>
          <w:p w:rsidR="006B1D27" w:rsidRPr="006B1D27" w:rsidRDefault="006B1D27" w:rsidP="006B1D27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6B1D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456</w:t>
            </w:r>
          </w:p>
        </w:tc>
      </w:tr>
    </w:tbl>
    <w:p w:rsidR="00E4303A" w:rsidRDefault="00E4303A" w:rsidP="00DC4C7E">
      <w:pPr>
        <w:pStyle w:val="Lijstalinea"/>
        <w:jc w:val="center"/>
        <w:rPr>
          <w:rFonts w:cs="Arial"/>
        </w:rPr>
      </w:pPr>
    </w:p>
    <w:p w:rsidR="00E4303A" w:rsidRDefault="00E4303A" w:rsidP="00E4303A">
      <w:pPr>
        <w:pStyle w:val="Lijstalinea"/>
        <w:rPr>
          <w:rFonts w:cs="Arial"/>
        </w:rPr>
      </w:pPr>
    </w:p>
    <w:p w:rsidR="00E4303A" w:rsidRDefault="00E4303A" w:rsidP="00E4303A">
      <w:pPr>
        <w:pStyle w:val="Lijstalinea"/>
        <w:rPr>
          <w:rFonts w:cs="Arial"/>
        </w:rPr>
      </w:pPr>
    </w:p>
    <w:p w:rsidR="005C0A1F" w:rsidRPr="006B1D27" w:rsidRDefault="006B1D27" w:rsidP="005C0A1F">
      <w:pPr>
        <w:pStyle w:val="Lijstalinea"/>
        <w:numPr>
          <w:ilvl w:val="0"/>
          <w:numId w:val="2"/>
        </w:numPr>
        <w:rPr>
          <w:rFonts w:cs="Arial"/>
        </w:rPr>
      </w:pPr>
      <w:r w:rsidRPr="006B1D27">
        <w:rPr>
          <w:rFonts w:cs="Arial"/>
        </w:rPr>
        <w:t>Grafiek 1</w:t>
      </w:r>
      <w:r w:rsidR="006A05F8" w:rsidRPr="006B1D27">
        <w:rPr>
          <w:rFonts w:cs="Arial"/>
        </w:rPr>
        <w:t>:</w:t>
      </w:r>
      <w:r w:rsidRPr="006B1D27">
        <w:t xml:space="preserve"> </w:t>
      </w:r>
      <w:r>
        <w:t>Spreiding E-peil scholen per aanvraagjaar (EPB-aangiftes tot eind 2014)</w:t>
      </w:r>
    </w:p>
    <w:p w:rsidR="006B1D27" w:rsidRDefault="006B1D27" w:rsidP="006B1D27">
      <w:pPr>
        <w:pStyle w:val="Lijstalinea"/>
        <w:rPr>
          <w:rFonts w:cs="Arial"/>
        </w:rPr>
      </w:pPr>
    </w:p>
    <w:p w:rsidR="006B1D27" w:rsidRPr="006B1D27" w:rsidRDefault="006B1D27" w:rsidP="006B1D27">
      <w:pPr>
        <w:pStyle w:val="Lijstalinea"/>
        <w:rPr>
          <w:rFonts w:cs="Arial"/>
        </w:rPr>
      </w:pPr>
      <w:r>
        <w:rPr>
          <w:noProof/>
          <w:lang w:eastAsia="nl-BE"/>
        </w:rPr>
        <w:lastRenderedPageBreak/>
        <w:drawing>
          <wp:inline distT="0" distB="0" distL="0" distR="0" wp14:anchorId="45696636" wp14:editId="77830539">
            <wp:extent cx="4752975" cy="3552825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A1F" w:rsidRDefault="005C0A1F" w:rsidP="005C0A1F">
      <w:pPr>
        <w:pStyle w:val="Lijstalinea"/>
        <w:rPr>
          <w:rFonts w:cs="Arial"/>
        </w:rPr>
      </w:pPr>
    </w:p>
    <w:p w:rsidR="006B1D27" w:rsidRDefault="006B1D27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6B1D27" w:rsidRPr="006B1D27" w:rsidRDefault="00DC4C7E" w:rsidP="006B1D27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 xml:space="preserve">Grafiek 2: </w:t>
      </w:r>
      <w:r w:rsidR="006B1D27">
        <w:t xml:space="preserve">Spreiding E-peil </w:t>
      </w:r>
      <w:proofErr w:type="spellStart"/>
      <w:r w:rsidR="006B1D27">
        <w:t>eengzinswoningen</w:t>
      </w:r>
      <w:proofErr w:type="spellEnd"/>
      <w:r w:rsidR="006B1D27">
        <w:t xml:space="preserve"> per aanvraagjaar (EPB-aangiftes tot eind 2014)</w:t>
      </w:r>
    </w:p>
    <w:p w:rsidR="00DC4C7E" w:rsidRDefault="006B1D27" w:rsidP="006B1D27">
      <w:pPr>
        <w:pStyle w:val="Lijstalinea"/>
        <w:rPr>
          <w:rFonts w:cs="Arial"/>
        </w:rPr>
      </w:pPr>
      <w:r>
        <w:rPr>
          <w:noProof/>
          <w:lang w:eastAsia="nl-BE"/>
        </w:rPr>
        <w:drawing>
          <wp:inline distT="0" distB="0" distL="0" distR="0" wp14:anchorId="56CF9B47" wp14:editId="7584E162">
            <wp:extent cx="4752975" cy="3390900"/>
            <wp:effectExtent l="0" t="0" r="0" b="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0A1F" w:rsidRPr="006B1D27" w:rsidRDefault="005C0A1F" w:rsidP="006B1D27">
      <w:pPr>
        <w:rPr>
          <w:rFonts w:cs="Arial"/>
        </w:rPr>
      </w:pPr>
    </w:p>
    <w:sectPr w:rsidR="005C0A1F" w:rsidRPr="006B1D27" w:rsidSect="00C8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1038"/>
    <w:multiLevelType w:val="hybridMultilevel"/>
    <w:tmpl w:val="C7303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909D1"/>
    <w:multiLevelType w:val="hybridMultilevel"/>
    <w:tmpl w:val="93EA0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72"/>
    <w:rsid w:val="000D7F4B"/>
    <w:rsid w:val="001A23CE"/>
    <w:rsid w:val="001A3181"/>
    <w:rsid w:val="001B6C2E"/>
    <w:rsid w:val="001C1D0C"/>
    <w:rsid w:val="00212272"/>
    <w:rsid w:val="0022333A"/>
    <w:rsid w:val="0023450E"/>
    <w:rsid w:val="002D0F64"/>
    <w:rsid w:val="002E4686"/>
    <w:rsid w:val="004026E0"/>
    <w:rsid w:val="00402911"/>
    <w:rsid w:val="004C1041"/>
    <w:rsid w:val="005C0A1F"/>
    <w:rsid w:val="00675CCE"/>
    <w:rsid w:val="00683566"/>
    <w:rsid w:val="006A05F8"/>
    <w:rsid w:val="006B1D27"/>
    <w:rsid w:val="006E317E"/>
    <w:rsid w:val="00701410"/>
    <w:rsid w:val="00777B69"/>
    <w:rsid w:val="007A6EB9"/>
    <w:rsid w:val="007B7859"/>
    <w:rsid w:val="00837D8C"/>
    <w:rsid w:val="00882651"/>
    <w:rsid w:val="009A1447"/>
    <w:rsid w:val="009D1D28"/>
    <w:rsid w:val="009F285F"/>
    <w:rsid w:val="00B92A76"/>
    <w:rsid w:val="00B96E93"/>
    <w:rsid w:val="00BD4C86"/>
    <w:rsid w:val="00BE1371"/>
    <w:rsid w:val="00BF666F"/>
    <w:rsid w:val="00C81F58"/>
    <w:rsid w:val="00C91085"/>
    <w:rsid w:val="00CD2FEB"/>
    <w:rsid w:val="00DC4C7E"/>
    <w:rsid w:val="00E4303A"/>
    <w:rsid w:val="00F5320B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2BE19-5F77-4DF1-A974-F7D96AC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2272"/>
    <w:pPr>
      <w:spacing w:after="0" w:line="240" w:lineRule="auto"/>
      <w:jc w:val="both"/>
    </w:pPr>
    <w:rPr>
      <w:rFonts w:ascii="Verdana" w:hAnsi="Verdana" w:cs="Times New Roman"/>
      <w:sz w:val="20"/>
      <w:szCs w:val="20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29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22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22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272"/>
    <w:rPr>
      <w:rFonts w:ascii="Tahoma" w:hAnsi="Tahoma" w:cs="Tahoma"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2911"/>
    <w:rPr>
      <w:rFonts w:ascii="Cambria" w:eastAsia="Times New Roman" w:hAnsi="Cambria" w:cs="Times New Roman"/>
      <w:i/>
      <w:iCs/>
      <w:color w:val="40404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265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2651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651"/>
    <w:rPr>
      <w:rFonts w:ascii="Verdana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ENAS003\VEA_EPB\1.%20EPB-projecten\9.%20statistiek\rapport%202006-2014\2.%20resultaten%20E%202014\Scholen_Kruis%20%23%20en%20%25%20aangiften%20_E-peilcategorie%20(10)_%20aanvraagjaar%20-%20A-G,X%20(met%20prompt)%20202a5eb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BENAS003\VEA_EPB\1.%20EPB-projecten\9.%20statistiek\rapport%202006-2014\2.%20resultaten%20E&amp;K%20t.e.m.%202014\2.%20resultaten%20E&amp;K%20-%20woningen%20cat&amp;gemidd%20t.e.m.%202013_per%20aanvraagjaar_nieuw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data_Pagina1_1_1!$B$1</c:f>
              <c:strCache>
                <c:ptCount val="1"/>
                <c:pt idx="0">
                  <c:v>A.&gt;100</c:v>
                </c:pt>
              </c:strCache>
            </c:strRef>
          </c:tx>
          <c:spPr>
            <a:solidFill>
              <a:srgbClr val="003366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data_Pagina1_1_1!$B$2:$B$9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data_Pagina1_1_1!$C$1</c:f>
              <c:strCache>
                <c:ptCount val="1"/>
                <c:pt idx="0">
                  <c:v>B.91-100</c:v>
                </c:pt>
              </c:strCache>
            </c:strRef>
          </c:tx>
          <c:spPr>
            <a:solidFill>
              <a:srgbClr val="003399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data_Pagina1_1_1!$C$2:$C$9</c:f>
              <c:numCache>
                <c:formatCode>General</c:formatCode>
                <c:ptCount val="8"/>
                <c:pt idx="0">
                  <c:v>12</c:v>
                </c:pt>
                <c:pt idx="1">
                  <c:v>17</c:v>
                </c:pt>
                <c:pt idx="2">
                  <c:v>7</c:v>
                </c:pt>
                <c:pt idx="3">
                  <c:v>3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data_Pagina1_1_1!$D$1</c:f>
              <c:strCache>
                <c:ptCount val="1"/>
                <c:pt idx="0">
                  <c:v>C.81-90</c:v>
                </c:pt>
              </c:strCache>
            </c:strRef>
          </c:tx>
          <c:spPr>
            <a:solidFill>
              <a:srgbClr val="0033FF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data_Pagina1_1_1!$D$2:$D$9</c:f>
              <c:numCache>
                <c:formatCode>General</c:formatCode>
                <c:ptCount val="8"/>
                <c:pt idx="0">
                  <c:v>13</c:v>
                </c:pt>
                <c:pt idx="1">
                  <c:v>9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data_Pagina1_1_1!$E$1</c:f>
              <c:strCache>
                <c:ptCount val="1"/>
                <c:pt idx="0">
                  <c:v>D.71-80</c:v>
                </c:pt>
              </c:strCache>
            </c:strRef>
          </c:tx>
          <c:spPr>
            <a:solidFill>
              <a:srgbClr val="6699CC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data_Pagina1_1_1!$E$2:$E$9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ser>
          <c:idx val="4"/>
          <c:order val="4"/>
          <c:tx>
            <c:strRef>
              <c:f>data_Pagina1_1_1!$F$1</c:f>
              <c:strCache>
                <c:ptCount val="1"/>
                <c:pt idx="0">
                  <c:v>E.61-70</c:v>
                </c:pt>
              </c:strCache>
            </c:strRef>
          </c:tx>
          <c:spPr>
            <a:solidFill>
              <a:srgbClr val="99CCCC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data_Pagina1_1_1!$F$2:$F$9</c:f>
              <c:numCache>
                <c:formatCode>General</c:formatCode>
                <c:ptCount val="8"/>
                <c:pt idx="0">
                  <c:v>7</c:v>
                </c:pt>
                <c:pt idx="1">
                  <c:v>9</c:v>
                </c:pt>
                <c:pt idx="2">
                  <c:v>49</c:v>
                </c:pt>
                <c:pt idx="3">
                  <c:v>51</c:v>
                </c:pt>
                <c:pt idx="4">
                  <c:v>44</c:v>
                </c:pt>
                <c:pt idx="5">
                  <c:v>15</c:v>
                </c:pt>
                <c:pt idx="6">
                  <c:v>20</c:v>
                </c:pt>
                <c:pt idx="7">
                  <c:v>11</c:v>
                </c:pt>
              </c:numCache>
            </c:numRef>
          </c:val>
        </c:ser>
        <c:ser>
          <c:idx val="5"/>
          <c:order val="5"/>
          <c:tx>
            <c:strRef>
              <c:f>data_Pagina1_1_1!$G$1</c:f>
              <c:strCache>
                <c:ptCount val="1"/>
                <c:pt idx="0">
                  <c:v>F.51-60</c:v>
                </c:pt>
              </c:strCache>
            </c:strRef>
          </c:tx>
          <c:spPr>
            <a:solidFill>
              <a:srgbClr val="99FFCC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data_Pagina1_1_1!$G$2:$G$9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7</c:v>
                </c:pt>
                <c:pt idx="6">
                  <c:v>19</c:v>
                </c:pt>
                <c:pt idx="7">
                  <c:v>11</c:v>
                </c:pt>
              </c:numCache>
            </c:numRef>
          </c:val>
        </c:ser>
        <c:ser>
          <c:idx val="7"/>
          <c:order val="6"/>
          <c:tx>
            <c:strRef>
              <c:f>data_Pagina1_1_1!$I$1</c:f>
              <c:strCache>
                <c:ptCount val="1"/>
                <c:pt idx="0">
                  <c:v>H.31-40</c:v>
                </c:pt>
              </c:strCache>
            </c:strRef>
          </c:tx>
          <c:spPr>
            <a:solidFill>
              <a:srgbClr val="CCCCCC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data_Pagina1_1_1!$I$2:$I$9</c:f>
              <c:numCache>
                <c:formatCode>General</c:formatCode>
                <c:ptCount val="8"/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8"/>
          <c:order val="7"/>
          <c:tx>
            <c:strRef>
              <c:f>data_Pagina1_1_1!$J$1</c:f>
              <c:strCache>
                <c:ptCount val="1"/>
                <c:pt idx="0">
                  <c:v>I.21-30</c:v>
                </c:pt>
              </c:strCache>
            </c:strRef>
          </c:tx>
          <c:spPr>
            <a:solidFill>
              <a:srgbClr val="999999"/>
            </a:solidFill>
            <a:ln>
              <a:noFill/>
            </a:ln>
          </c:spPr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data_Pagina1_1_1!$J$2:$J$9</c:f>
              <c:numCache>
                <c:formatCode>General</c:formatCode>
                <c:ptCount val="8"/>
                <c:pt idx="7">
                  <c:v>1</c:v>
                </c:pt>
              </c:numCache>
            </c:numRef>
          </c:val>
        </c:ser>
        <c:ser>
          <c:idx val="6"/>
          <c:order val="8"/>
          <c:tx>
            <c:strRef>
              <c:f>data_Pagina1_1_1!$K$1</c:f>
              <c:strCache>
                <c:ptCount val="1"/>
                <c:pt idx="0">
                  <c:v>J.&lt;=20</c:v>
                </c:pt>
              </c:strCache>
            </c:strRef>
          </c:tx>
          <c:invertIfNegative val="0"/>
          <c:cat>
            <c:strRef>
              <c:f>data_Pagina1_1_1!$A$2:$A$9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data_Pagina1_1_1!$K$2:$K$9</c:f>
              <c:numCache>
                <c:formatCode>General</c:formatCode>
                <c:ptCount val="8"/>
                <c:pt idx="2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846352"/>
        <c:axId val="190499256"/>
      </c:barChart>
      <c:catAx>
        <c:axId val="190846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nl-BE"/>
                  <a:t>aanvraagjaar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low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nl-BE"/>
          </a:p>
        </c:txPr>
        <c:crossAx val="190499256"/>
        <c:crosses val="autoZero"/>
        <c:auto val="0"/>
        <c:lblAlgn val="ctr"/>
        <c:lblOffset val="100"/>
        <c:noMultiLvlLbl val="0"/>
      </c:catAx>
      <c:valAx>
        <c:axId val="190499256"/>
        <c:scaling>
          <c:orientation val="minMax"/>
        </c:scaling>
        <c:delete val="0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nl-BE"/>
                  <a:t>% van ingediende AG's </a:t>
                </a:r>
              </a:p>
            </c:rich>
          </c:tx>
          <c:layout/>
          <c:overlay val="0"/>
        </c:title>
        <c:numFmt formatCode="#,##0%" sourceLinked="0"/>
        <c:majorTickMark val="none"/>
        <c:minorTickMark val="none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nl-BE"/>
          </a:p>
        </c:txPr>
        <c:crossAx val="190846352"/>
        <c:crosses val="autoZero"/>
        <c:crossBetween val="between"/>
      </c:valAx>
      <c:spPr>
        <a:noFill/>
      </c:spPr>
    </c:plotArea>
    <c:legend>
      <c:legendPos val="r"/>
      <c:layout/>
      <c:overlay val="0"/>
      <c:spPr>
        <a:noFill/>
        <a:ln w="0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nl-BE"/>
        </a:p>
      </c:txPr>
    </c:legend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'E-cat woning (2014)'!$A$15</c:f>
              <c:strCache>
                <c:ptCount val="1"/>
                <c:pt idx="0">
                  <c:v>A.&gt;100</c:v>
                </c:pt>
              </c:strCache>
            </c:strRef>
          </c:tx>
          <c:spPr>
            <a:solidFill>
              <a:srgbClr val="003366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(2014)'!$B$15:$I$15</c:f>
              <c:numCache>
                <c:formatCode>#0</c:formatCode>
                <c:ptCount val="8"/>
                <c:pt idx="0">
                  <c:v>434</c:v>
                </c:pt>
                <c:pt idx="1">
                  <c:v>40</c:v>
                </c:pt>
                <c:pt idx="2">
                  <c:v>24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'E-cat woning (2014)'!$A$16</c:f>
              <c:strCache>
                <c:ptCount val="1"/>
                <c:pt idx="0">
                  <c:v>B.91-100</c:v>
                </c:pt>
              </c:strCache>
            </c:strRef>
          </c:tx>
          <c:spPr>
            <a:solidFill>
              <a:srgbClr val="003399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(2014)'!$B$16:$I$16</c:f>
              <c:numCache>
                <c:formatCode>#0</c:formatCode>
                <c:ptCount val="8"/>
                <c:pt idx="0">
                  <c:v>3655</c:v>
                </c:pt>
                <c:pt idx="1">
                  <c:v>2801</c:v>
                </c:pt>
                <c:pt idx="2">
                  <c:v>2021</c:v>
                </c:pt>
                <c:pt idx="3">
                  <c:v>1274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'E-cat woning (2014)'!$A$17</c:f>
              <c:strCache>
                <c:ptCount val="1"/>
                <c:pt idx="0">
                  <c:v>C.81-90</c:v>
                </c:pt>
              </c:strCache>
            </c:strRef>
          </c:tx>
          <c:spPr>
            <a:solidFill>
              <a:srgbClr val="0033FF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(2014)'!$B$17:$I$17</c:f>
              <c:numCache>
                <c:formatCode>#0</c:formatCode>
                <c:ptCount val="8"/>
                <c:pt idx="0">
                  <c:v>3717</c:v>
                </c:pt>
                <c:pt idx="1">
                  <c:v>4570</c:v>
                </c:pt>
                <c:pt idx="2">
                  <c:v>4254</c:v>
                </c:pt>
                <c:pt idx="3">
                  <c:v>3307</c:v>
                </c:pt>
                <c:pt idx="4">
                  <c:v>89</c:v>
                </c:pt>
                <c:pt idx="5">
                  <c:v>58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'E-cat woning (2014)'!$A$18</c:f>
              <c:strCache>
                <c:ptCount val="1"/>
                <c:pt idx="0">
                  <c:v>D.71-80</c:v>
                </c:pt>
              </c:strCache>
            </c:strRef>
          </c:tx>
          <c:spPr>
            <a:solidFill>
              <a:srgbClr val="6699CC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(2014)'!$B$18:$I$18</c:f>
              <c:numCache>
                <c:formatCode>#0</c:formatCode>
                <c:ptCount val="8"/>
                <c:pt idx="0">
                  <c:v>2192</c:v>
                </c:pt>
                <c:pt idx="1">
                  <c:v>3392</c:v>
                </c:pt>
                <c:pt idx="2">
                  <c:v>3726</c:v>
                </c:pt>
                <c:pt idx="3">
                  <c:v>4070</c:v>
                </c:pt>
                <c:pt idx="4">
                  <c:v>5269</c:v>
                </c:pt>
                <c:pt idx="5">
                  <c:v>4556</c:v>
                </c:pt>
                <c:pt idx="6">
                  <c:v>18</c:v>
                </c:pt>
                <c:pt idx="7">
                  <c:v>2</c:v>
                </c:pt>
              </c:numCache>
            </c:numRef>
          </c:val>
        </c:ser>
        <c:ser>
          <c:idx val="4"/>
          <c:order val="4"/>
          <c:tx>
            <c:strRef>
              <c:f>'E-cat woning (2014)'!$A$19</c:f>
              <c:strCache>
                <c:ptCount val="1"/>
                <c:pt idx="0">
                  <c:v>E.61-70</c:v>
                </c:pt>
              </c:strCache>
            </c:strRef>
          </c:tx>
          <c:spPr>
            <a:solidFill>
              <a:srgbClr val="99CCCC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(2014)'!$B$19:$I$19</c:f>
              <c:numCache>
                <c:formatCode>#0</c:formatCode>
                <c:ptCount val="8"/>
                <c:pt idx="0">
                  <c:v>786</c:v>
                </c:pt>
                <c:pt idx="1">
                  <c:v>1427</c:v>
                </c:pt>
                <c:pt idx="2">
                  <c:v>1615</c:v>
                </c:pt>
                <c:pt idx="3">
                  <c:v>1887</c:v>
                </c:pt>
                <c:pt idx="4">
                  <c:v>2370</c:v>
                </c:pt>
                <c:pt idx="5">
                  <c:v>1712</c:v>
                </c:pt>
                <c:pt idx="6">
                  <c:v>2130</c:v>
                </c:pt>
                <c:pt idx="7">
                  <c:v>610</c:v>
                </c:pt>
              </c:numCache>
            </c:numRef>
          </c:val>
        </c:ser>
        <c:ser>
          <c:idx val="5"/>
          <c:order val="5"/>
          <c:tx>
            <c:strRef>
              <c:f>'E-cat woning (2014)'!$A$20</c:f>
              <c:strCache>
                <c:ptCount val="1"/>
                <c:pt idx="0">
                  <c:v>F.51-60</c:v>
                </c:pt>
              </c:strCache>
            </c:strRef>
          </c:tx>
          <c:spPr>
            <a:solidFill>
              <a:srgbClr val="99FFCC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(2014)'!$B$20:$I$20</c:f>
              <c:numCache>
                <c:formatCode>#0</c:formatCode>
                <c:ptCount val="8"/>
                <c:pt idx="0">
                  <c:v>342</c:v>
                </c:pt>
                <c:pt idx="1">
                  <c:v>690</c:v>
                </c:pt>
                <c:pt idx="2">
                  <c:v>1137</c:v>
                </c:pt>
                <c:pt idx="3">
                  <c:v>1720</c:v>
                </c:pt>
                <c:pt idx="4">
                  <c:v>2192</c:v>
                </c:pt>
                <c:pt idx="5">
                  <c:v>1778</c:v>
                </c:pt>
                <c:pt idx="6">
                  <c:v>1335</c:v>
                </c:pt>
                <c:pt idx="7">
                  <c:v>371</c:v>
                </c:pt>
              </c:numCache>
            </c:numRef>
          </c:val>
        </c:ser>
        <c:ser>
          <c:idx val="6"/>
          <c:order val="6"/>
          <c:tx>
            <c:strRef>
              <c:f>'E-cat woning (2014)'!$A$21</c:f>
              <c:strCache>
                <c:ptCount val="1"/>
                <c:pt idx="0">
                  <c:v>G.41-50</c:v>
                </c:pt>
              </c:strCache>
            </c:strRef>
          </c:tx>
          <c:spPr>
            <a:solidFill>
              <a:srgbClr val="66CCCC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(2014)'!$B$21:$I$21</c:f>
              <c:numCache>
                <c:formatCode>#0</c:formatCode>
                <c:ptCount val="8"/>
                <c:pt idx="0">
                  <c:v>118</c:v>
                </c:pt>
                <c:pt idx="1">
                  <c:v>251</c:v>
                </c:pt>
                <c:pt idx="2">
                  <c:v>425</c:v>
                </c:pt>
                <c:pt idx="3">
                  <c:v>641</c:v>
                </c:pt>
                <c:pt idx="4">
                  <c:v>737</c:v>
                </c:pt>
                <c:pt idx="5">
                  <c:v>487</c:v>
                </c:pt>
                <c:pt idx="6">
                  <c:v>489</c:v>
                </c:pt>
                <c:pt idx="7">
                  <c:v>167</c:v>
                </c:pt>
              </c:numCache>
            </c:numRef>
          </c:val>
        </c:ser>
        <c:ser>
          <c:idx val="7"/>
          <c:order val="7"/>
          <c:tx>
            <c:strRef>
              <c:f>'E-cat woning (2014)'!$A$22</c:f>
              <c:strCache>
                <c:ptCount val="1"/>
                <c:pt idx="0">
                  <c:v>H.31-40</c:v>
                </c:pt>
              </c:strCache>
            </c:strRef>
          </c:tx>
          <c:spPr>
            <a:solidFill>
              <a:srgbClr val="CCCCCC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(2014)'!$B$22:$I$22</c:f>
              <c:numCache>
                <c:formatCode>#0</c:formatCode>
                <c:ptCount val="8"/>
                <c:pt idx="0">
                  <c:v>53</c:v>
                </c:pt>
                <c:pt idx="1">
                  <c:v>125</c:v>
                </c:pt>
                <c:pt idx="2">
                  <c:v>250</c:v>
                </c:pt>
                <c:pt idx="3">
                  <c:v>475</c:v>
                </c:pt>
                <c:pt idx="4">
                  <c:v>574</c:v>
                </c:pt>
                <c:pt idx="5">
                  <c:v>473</c:v>
                </c:pt>
                <c:pt idx="6">
                  <c:v>295</c:v>
                </c:pt>
                <c:pt idx="7">
                  <c:v>61</c:v>
                </c:pt>
              </c:numCache>
            </c:numRef>
          </c:val>
        </c:ser>
        <c:ser>
          <c:idx val="8"/>
          <c:order val="8"/>
          <c:tx>
            <c:strRef>
              <c:f>'E-cat woning (2014)'!$A$23</c:f>
              <c:strCache>
                <c:ptCount val="1"/>
                <c:pt idx="0">
                  <c:v>I.21-30</c:v>
                </c:pt>
              </c:strCache>
            </c:strRef>
          </c:tx>
          <c:spPr>
            <a:solidFill>
              <a:srgbClr val="999999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(2014)'!$B$23:$I$23</c:f>
              <c:numCache>
                <c:formatCode>#0</c:formatCode>
                <c:ptCount val="8"/>
                <c:pt idx="0">
                  <c:v>27</c:v>
                </c:pt>
                <c:pt idx="1">
                  <c:v>49</c:v>
                </c:pt>
                <c:pt idx="2">
                  <c:v>114</c:v>
                </c:pt>
                <c:pt idx="3">
                  <c:v>179</c:v>
                </c:pt>
                <c:pt idx="4">
                  <c:v>221</c:v>
                </c:pt>
                <c:pt idx="5">
                  <c:v>173</c:v>
                </c:pt>
                <c:pt idx="6">
                  <c:v>120</c:v>
                </c:pt>
                <c:pt idx="7">
                  <c:v>41</c:v>
                </c:pt>
              </c:numCache>
            </c:numRef>
          </c:val>
        </c:ser>
        <c:ser>
          <c:idx val="9"/>
          <c:order val="9"/>
          <c:tx>
            <c:strRef>
              <c:f>'E-cat woning (2014)'!$A$24</c:f>
              <c:strCache>
                <c:ptCount val="1"/>
                <c:pt idx="0">
                  <c:v>J.&lt;=20</c:v>
                </c:pt>
              </c:strCache>
            </c:strRef>
          </c:tx>
          <c:spPr>
            <a:solidFill>
              <a:srgbClr val="669999"/>
            </a:solidFill>
            <a:ln w="25400">
              <a:noFill/>
            </a:ln>
          </c:spPr>
          <c:invertIfNegative val="0"/>
          <c:cat>
            <c:strRef>
              <c:f>'E-cat woning (2014)'!$B$14:$I$14</c:f>
              <c:strCach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'E-cat woning (2014)'!$B$24:$I$24</c:f>
              <c:numCache>
                <c:formatCode>#0</c:formatCode>
                <c:ptCount val="8"/>
                <c:pt idx="0">
                  <c:v>12</c:v>
                </c:pt>
                <c:pt idx="1">
                  <c:v>32</c:v>
                </c:pt>
                <c:pt idx="2">
                  <c:v>129</c:v>
                </c:pt>
                <c:pt idx="3">
                  <c:v>179</c:v>
                </c:pt>
                <c:pt idx="4">
                  <c:v>261</c:v>
                </c:pt>
                <c:pt idx="5">
                  <c:v>188</c:v>
                </c:pt>
                <c:pt idx="6">
                  <c:v>117</c:v>
                </c:pt>
                <c:pt idx="7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676448"/>
        <c:axId val="190685024"/>
      </c:barChart>
      <c:catAx>
        <c:axId val="190676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entury Gothic"/>
                    <a:ea typeface="Century Gothic"/>
                    <a:cs typeface="Century Gothic"/>
                  </a:defRPr>
                </a:pPr>
                <a:r>
                  <a:rPr lang="nl-BE"/>
                  <a:t>Aanvraagjaar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entury Gothic"/>
                <a:ea typeface="Century Gothic"/>
                <a:cs typeface="Century Gothic"/>
              </a:defRPr>
            </a:pPr>
            <a:endParaRPr lang="nl-BE"/>
          </a:p>
        </c:txPr>
        <c:crossAx val="1906850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068502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entury Gothic"/>
                    <a:ea typeface="Century Gothic"/>
                    <a:cs typeface="Century Gothic"/>
                  </a:defRPr>
                </a:pPr>
                <a:r>
                  <a:rPr lang="nl-BE"/>
                  <a:t>% van ingediende AG's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#,##0%" sourceLinked="0"/>
        <c:majorTickMark val="out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entury Gothic"/>
                <a:ea typeface="Century Gothic"/>
                <a:cs typeface="Century Gothic"/>
              </a:defRPr>
            </a:pPr>
            <a:endParaRPr lang="nl-BE"/>
          </a:p>
        </c:txPr>
        <c:crossAx val="190676448"/>
        <c:crosses val="autoZero"/>
        <c:crossBetween val="between"/>
      </c:valAx>
      <c:spPr>
        <a:noFill/>
        <a:ln w="12700">
          <a:solidFill>
            <a:schemeClr val="bg1">
              <a:lumMod val="50000"/>
            </a:schemeClr>
          </a:solidFill>
        </a:ln>
      </c:spPr>
    </c:plotArea>
    <c:legend>
      <c:legendPos val="r"/>
      <c:layout/>
      <c:overlay val="0"/>
      <c:spPr>
        <a:noFill/>
        <a:ln w="12700">
          <a:solidFill>
            <a:srgbClr val="000000"/>
          </a:solidFill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entury Gothic"/>
              <a:ea typeface="Century Gothic"/>
              <a:cs typeface="Century Gothic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entury Gothic"/>
          <a:ea typeface="Century Gothic"/>
          <a:cs typeface="Century Gothic"/>
        </a:defRPr>
      </a:pPr>
      <a:endParaRPr lang="nl-B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peggy2010</dc:creator>
  <cp:lastModifiedBy>Tytgat, Caroline</cp:lastModifiedBy>
  <cp:revision>2</cp:revision>
  <cp:lastPrinted>2015-05-04T06:27:00Z</cp:lastPrinted>
  <dcterms:created xsi:type="dcterms:W3CDTF">2015-05-04T06:28:00Z</dcterms:created>
  <dcterms:modified xsi:type="dcterms:W3CDTF">2015-05-04T06:28:00Z</dcterms:modified>
</cp:coreProperties>
</file>