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1EA" w:rsidRPr="00195838" w:rsidRDefault="005B2E93">
      <w:pPr>
        <w:rPr>
          <w:rFonts w:ascii="Verdana" w:hAnsi="Verdana"/>
          <w:sz w:val="20"/>
          <w:szCs w:val="20"/>
        </w:rPr>
      </w:pPr>
      <w:bookmarkStart w:id="0" w:name="_GoBack"/>
      <w:bookmarkEnd w:id="0"/>
      <w:r w:rsidRPr="00195838">
        <w:rPr>
          <w:rFonts w:ascii="Verdana" w:hAnsi="Verdana"/>
          <w:sz w:val="20"/>
          <w:szCs w:val="20"/>
        </w:rPr>
        <w:t xml:space="preserve">Bijlage 1: </w:t>
      </w:r>
      <w:r w:rsidR="000C41EA" w:rsidRPr="00195838">
        <w:rPr>
          <w:rFonts w:ascii="Verdana" w:hAnsi="Verdana"/>
          <w:sz w:val="20"/>
          <w:szCs w:val="20"/>
        </w:rPr>
        <w:t xml:space="preserve">Projecten </w:t>
      </w:r>
      <w:r w:rsidRPr="00195838">
        <w:rPr>
          <w:rFonts w:ascii="Verdana" w:hAnsi="Verdana"/>
          <w:sz w:val="20"/>
          <w:szCs w:val="20"/>
        </w:rPr>
        <w:t xml:space="preserve">met een link ouderbetrokkenheid </w:t>
      </w:r>
      <w:r w:rsidR="000C41EA" w:rsidRPr="00195838">
        <w:rPr>
          <w:rFonts w:ascii="Verdana" w:hAnsi="Verdana"/>
          <w:sz w:val="20"/>
          <w:szCs w:val="20"/>
        </w:rPr>
        <w:t>van het Federaal Impulsfonds voor het Migrantenbeleid die onder de bevoegdheid van de Vlaamse overheid vallen:</w:t>
      </w:r>
    </w:p>
    <w:tbl>
      <w:tblPr>
        <w:tblStyle w:val="Tabelraster"/>
        <w:tblW w:w="0" w:type="auto"/>
        <w:tblLayout w:type="fixed"/>
        <w:tblLook w:val="04A0" w:firstRow="1" w:lastRow="0" w:firstColumn="1" w:lastColumn="0" w:noHBand="0" w:noVBand="1"/>
      </w:tblPr>
      <w:tblGrid>
        <w:gridCol w:w="2235"/>
        <w:gridCol w:w="1417"/>
        <w:gridCol w:w="1418"/>
        <w:gridCol w:w="879"/>
        <w:gridCol w:w="8271"/>
      </w:tblGrid>
      <w:tr w:rsidR="004427A3" w:rsidRPr="00195838" w:rsidTr="00F86EEF">
        <w:tc>
          <w:tcPr>
            <w:tcW w:w="2235" w:type="dxa"/>
          </w:tcPr>
          <w:p w:rsidR="00576F28" w:rsidRPr="00195838" w:rsidRDefault="00576F28">
            <w:pPr>
              <w:rPr>
                <w:rFonts w:ascii="Verdana" w:hAnsi="Verdana"/>
                <w:b/>
                <w:sz w:val="20"/>
                <w:szCs w:val="20"/>
              </w:rPr>
            </w:pPr>
            <w:r w:rsidRPr="00195838">
              <w:rPr>
                <w:rFonts w:ascii="Verdana" w:hAnsi="Verdana"/>
                <w:b/>
                <w:sz w:val="20"/>
                <w:szCs w:val="20"/>
              </w:rPr>
              <w:t>Naam project</w:t>
            </w:r>
          </w:p>
        </w:tc>
        <w:tc>
          <w:tcPr>
            <w:tcW w:w="1417" w:type="dxa"/>
          </w:tcPr>
          <w:p w:rsidR="00576F28" w:rsidRPr="00195838" w:rsidRDefault="00576F28">
            <w:pPr>
              <w:rPr>
                <w:rFonts w:ascii="Verdana" w:hAnsi="Verdana"/>
                <w:b/>
                <w:sz w:val="20"/>
                <w:szCs w:val="20"/>
              </w:rPr>
            </w:pPr>
            <w:r w:rsidRPr="00195838">
              <w:rPr>
                <w:rFonts w:ascii="Verdana" w:hAnsi="Verdana"/>
                <w:b/>
                <w:sz w:val="20"/>
                <w:szCs w:val="20"/>
              </w:rPr>
              <w:t>Aanvrager</w:t>
            </w:r>
          </w:p>
        </w:tc>
        <w:tc>
          <w:tcPr>
            <w:tcW w:w="1418" w:type="dxa"/>
          </w:tcPr>
          <w:p w:rsidR="00576F28" w:rsidRPr="00195838" w:rsidRDefault="00576F28">
            <w:pPr>
              <w:rPr>
                <w:rFonts w:ascii="Verdana" w:hAnsi="Verdana"/>
                <w:b/>
                <w:sz w:val="20"/>
                <w:szCs w:val="20"/>
              </w:rPr>
            </w:pPr>
            <w:r w:rsidRPr="00195838">
              <w:rPr>
                <w:rFonts w:ascii="Verdana" w:hAnsi="Verdana"/>
                <w:b/>
                <w:sz w:val="20"/>
                <w:szCs w:val="20"/>
              </w:rPr>
              <w:t>Bedrag</w:t>
            </w:r>
          </w:p>
        </w:tc>
        <w:tc>
          <w:tcPr>
            <w:tcW w:w="879" w:type="dxa"/>
          </w:tcPr>
          <w:p w:rsidR="00576F28" w:rsidRPr="00195838" w:rsidRDefault="00576F28">
            <w:pPr>
              <w:rPr>
                <w:rFonts w:ascii="Verdana" w:hAnsi="Verdana"/>
                <w:b/>
                <w:sz w:val="20"/>
                <w:szCs w:val="20"/>
              </w:rPr>
            </w:pPr>
            <w:r w:rsidRPr="00195838">
              <w:rPr>
                <w:rFonts w:ascii="Verdana" w:hAnsi="Verdana"/>
                <w:b/>
                <w:sz w:val="20"/>
                <w:szCs w:val="20"/>
              </w:rPr>
              <w:t>Looptijd</w:t>
            </w:r>
          </w:p>
        </w:tc>
        <w:tc>
          <w:tcPr>
            <w:tcW w:w="8271" w:type="dxa"/>
          </w:tcPr>
          <w:p w:rsidR="00576F28" w:rsidRPr="00195838" w:rsidRDefault="00576F28">
            <w:pPr>
              <w:rPr>
                <w:rFonts w:ascii="Verdana" w:hAnsi="Verdana"/>
                <w:b/>
                <w:sz w:val="20"/>
                <w:szCs w:val="20"/>
              </w:rPr>
            </w:pPr>
            <w:r w:rsidRPr="00195838">
              <w:rPr>
                <w:rFonts w:ascii="Verdana" w:hAnsi="Verdana"/>
                <w:b/>
                <w:sz w:val="20"/>
                <w:szCs w:val="20"/>
              </w:rPr>
              <w:t>Korte inhoud</w:t>
            </w:r>
          </w:p>
        </w:tc>
      </w:tr>
      <w:tr w:rsidR="00CB508F" w:rsidRPr="00195838" w:rsidTr="00F86EEF">
        <w:tc>
          <w:tcPr>
            <w:tcW w:w="2235" w:type="dxa"/>
          </w:tcPr>
          <w:p w:rsidR="00CB508F" w:rsidRPr="00195838" w:rsidRDefault="00CB508F" w:rsidP="00CB508F">
            <w:pPr>
              <w:rPr>
                <w:rFonts w:ascii="Verdana" w:hAnsi="Verdana"/>
                <w:sz w:val="20"/>
                <w:szCs w:val="20"/>
              </w:rPr>
            </w:pPr>
            <w:r w:rsidRPr="00195838">
              <w:rPr>
                <w:rFonts w:ascii="Verdana" w:hAnsi="Verdana"/>
                <w:sz w:val="20"/>
                <w:szCs w:val="20"/>
              </w:rPr>
              <w:t>Thuisbasis voor een succesvolle schoolloopbaan</w:t>
            </w:r>
          </w:p>
        </w:tc>
        <w:tc>
          <w:tcPr>
            <w:tcW w:w="1417" w:type="dxa"/>
          </w:tcPr>
          <w:p w:rsidR="00CB508F" w:rsidRPr="00195838" w:rsidRDefault="00CB508F" w:rsidP="00CB508F">
            <w:pPr>
              <w:rPr>
                <w:rFonts w:ascii="Verdana" w:hAnsi="Verdana"/>
                <w:sz w:val="20"/>
                <w:szCs w:val="20"/>
              </w:rPr>
            </w:pPr>
            <w:r w:rsidRPr="00195838">
              <w:rPr>
                <w:rFonts w:ascii="Verdana" w:hAnsi="Verdana"/>
                <w:sz w:val="20"/>
                <w:szCs w:val="20"/>
              </w:rPr>
              <w:t>Gemeente Heusden-Zolder</w:t>
            </w:r>
          </w:p>
        </w:tc>
        <w:tc>
          <w:tcPr>
            <w:tcW w:w="1418" w:type="dxa"/>
          </w:tcPr>
          <w:p w:rsidR="00CB508F" w:rsidRPr="00195838" w:rsidRDefault="00CB508F" w:rsidP="00CB508F">
            <w:pPr>
              <w:rPr>
                <w:rFonts w:ascii="Verdana" w:hAnsi="Verdana"/>
                <w:sz w:val="20"/>
                <w:szCs w:val="20"/>
              </w:rPr>
            </w:pPr>
            <w:r w:rsidRPr="00195838">
              <w:rPr>
                <w:rFonts w:ascii="Verdana" w:hAnsi="Verdana"/>
                <w:sz w:val="20"/>
                <w:szCs w:val="20"/>
              </w:rPr>
              <w:t>29.610,74</w:t>
            </w:r>
          </w:p>
        </w:tc>
        <w:tc>
          <w:tcPr>
            <w:tcW w:w="879" w:type="dxa"/>
          </w:tcPr>
          <w:p w:rsidR="00CB508F" w:rsidRPr="00195838" w:rsidRDefault="00CB508F" w:rsidP="00CB508F">
            <w:pPr>
              <w:rPr>
                <w:rFonts w:ascii="Verdana" w:hAnsi="Verdana"/>
                <w:sz w:val="20"/>
                <w:szCs w:val="20"/>
              </w:rPr>
            </w:pPr>
            <w:r w:rsidRPr="00195838">
              <w:rPr>
                <w:rFonts w:ascii="Verdana" w:hAnsi="Verdana"/>
                <w:sz w:val="20"/>
                <w:szCs w:val="20"/>
              </w:rPr>
              <w:t>2010</w:t>
            </w:r>
          </w:p>
        </w:tc>
        <w:tc>
          <w:tcPr>
            <w:tcW w:w="8271" w:type="dxa"/>
          </w:tcPr>
          <w:p w:rsidR="00CB508F" w:rsidRPr="00195838" w:rsidRDefault="003578DF" w:rsidP="00CB508F">
            <w:pPr>
              <w:rPr>
                <w:rFonts w:ascii="Verdana" w:hAnsi="Verdana"/>
                <w:sz w:val="20"/>
                <w:szCs w:val="20"/>
              </w:rPr>
            </w:pPr>
            <w:r w:rsidRPr="00195838">
              <w:rPr>
                <w:rFonts w:ascii="Verdana" w:hAnsi="Verdana"/>
                <w:sz w:val="20"/>
                <w:szCs w:val="20"/>
              </w:rPr>
              <w:t>L</w:t>
            </w:r>
            <w:r w:rsidR="00CB508F" w:rsidRPr="00195838">
              <w:rPr>
                <w:rFonts w:ascii="Verdana" w:hAnsi="Verdana"/>
                <w:sz w:val="20"/>
                <w:szCs w:val="20"/>
              </w:rPr>
              <w:t xml:space="preserve">eerlingen </w:t>
            </w:r>
            <w:r w:rsidRPr="00195838">
              <w:rPr>
                <w:rFonts w:ascii="Verdana" w:hAnsi="Verdana"/>
                <w:sz w:val="20"/>
                <w:szCs w:val="20"/>
              </w:rPr>
              <w:t xml:space="preserve">van buitenlandse herkomst </w:t>
            </w:r>
            <w:r w:rsidR="00CB508F" w:rsidRPr="00195838">
              <w:rPr>
                <w:rFonts w:ascii="Verdana" w:hAnsi="Verdana"/>
                <w:sz w:val="20"/>
                <w:szCs w:val="20"/>
              </w:rPr>
              <w:t>uit het basisonderwijs worden aan huis ondersteund om hen meer kansen te geven op een succesvolle schoolloopbaan. Tijdens de begeleiding worden ook zoveel mogelijk impulsen aan de ouders gegeven om een structurele ondersteuning en opvolging thuis te garanderen. De gezinnen worden begeleid met de insteek van studie- en onderwijsondersteuning, waarbij ook de randvoorwaarden en de brede gezinscontext ruime aandacht krijgen. Zo wordt ook ingezet op het stimuleren van een zinvolle vrijetijdsbesteding, spel- en taalontwikkeling en opvoedingsondersteuning.</w:t>
            </w:r>
          </w:p>
        </w:tc>
      </w:tr>
      <w:tr w:rsidR="00CB508F" w:rsidRPr="00195838" w:rsidTr="00F86EEF">
        <w:tc>
          <w:tcPr>
            <w:tcW w:w="2235" w:type="dxa"/>
          </w:tcPr>
          <w:p w:rsidR="00CB508F" w:rsidRPr="00195838" w:rsidRDefault="00CB508F" w:rsidP="00CB508F">
            <w:pPr>
              <w:rPr>
                <w:rFonts w:ascii="Verdana" w:hAnsi="Verdana"/>
                <w:sz w:val="20"/>
                <w:szCs w:val="20"/>
              </w:rPr>
            </w:pPr>
            <w:r w:rsidRPr="00195838">
              <w:rPr>
                <w:rFonts w:ascii="Verdana" w:hAnsi="Verdana"/>
                <w:sz w:val="20"/>
                <w:szCs w:val="20"/>
              </w:rPr>
              <w:t>School en ouders</w:t>
            </w:r>
          </w:p>
        </w:tc>
        <w:tc>
          <w:tcPr>
            <w:tcW w:w="1417" w:type="dxa"/>
          </w:tcPr>
          <w:p w:rsidR="00CB508F" w:rsidRPr="00195838" w:rsidRDefault="00CB508F" w:rsidP="00CB508F">
            <w:pPr>
              <w:rPr>
                <w:rFonts w:ascii="Verdana" w:hAnsi="Verdana"/>
                <w:sz w:val="20"/>
                <w:szCs w:val="20"/>
              </w:rPr>
            </w:pPr>
            <w:r w:rsidRPr="00195838">
              <w:rPr>
                <w:rFonts w:ascii="Verdana" w:hAnsi="Verdana"/>
                <w:sz w:val="20"/>
                <w:szCs w:val="20"/>
              </w:rPr>
              <w:t>Stad Mechelen</w:t>
            </w:r>
          </w:p>
        </w:tc>
        <w:tc>
          <w:tcPr>
            <w:tcW w:w="1418" w:type="dxa"/>
          </w:tcPr>
          <w:p w:rsidR="00CB508F" w:rsidRPr="00195838" w:rsidRDefault="00CB508F" w:rsidP="00CB508F">
            <w:pPr>
              <w:rPr>
                <w:rFonts w:ascii="Verdana" w:hAnsi="Verdana"/>
                <w:sz w:val="20"/>
                <w:szCs w:val="20"/>
              </w:rPr>
            </w:pPr>
            <w:r w:rsidRPr="00195838">
              <w:rPr>
                <w:rFonts w:ascii="Verdana" w:hAnsi="Verdana"/>
                <w:sz w:val="20"/>
                <w:szCs w:val="20"/>
              </w:rPr>
              <w:t>28.220</w:t>
            </w:r>
          </w:p>
        </w:tc>
        <w:tc>
          <w:tcPr>
            <w:tcW w:w="879" w:type="dxa"/>
          </w:tcPr>
          <w:p w:rsidR="00CB508F" w:rsidRPr="00195838" w:rsidRDefault="00CB508F" w:rsidP="00CB508F">
            <w:pPr>
              <w:rPr>
                <w:rFonts w:ascii="Verdana" w:hAnsi="Verdana"/>
                <w:sz w:val="20"/>
                <w:szCs w:val="20"/>
              </w:rPr>
            </w:pPr>
            <w:r w:rsidRPr="00195838">
              <w:rPr>
                <w:rFonts w:ascii="Verdana" w:hAnsi="Verdana"/>
                <w:sz w:val="20"/>
                <w:szCs w:val="20"/>
              </w:rPr>
              <w:t>2010</w:t>
            </w:r>
          </w:p>
        </w:tc>
        <w:tc>
          <w:tcPr>
            <w:tcW w:w="8271" w:type="dxa"/>
          </w:tcPr>
          <w:p w:rsidR="00CB508F" w:rsidRPr="00195838" w:rsidRDefault="00CB508F" w:rsidP="00CF6312">
            <w:pPr>
              <w:rPr>
                <w:rFonts w:ascii="Verdana" w:hAnsi="Verdana"/>
                <w:sz w:val="20"/>
                <w:szCs w:val="20"/>
              </w:rPr>
            </w:pPr>
            <w:r w:rsidRPr="00195838">
              <w:rPr>
                <w:rFonts w:ascii="Verdana" w:hAnsi="Verdana"/>
                <w:sz w:val="20"/>
                <w:szCs w:val="20"/>
              </w:rPr>
              <w:t>Met het project  school en ouders  wil het stadsbestuur de basisscholen op haar grondgebied stimuleren om de schoolbetrokkenheid van maatschappelijk kwetsbare ouders te verhogen. Via het subsidiereglement  school en ouders  worden basisscholen aangemoedigd om activiteiten, initiatieven, projecten,</w:t>
            </w:r>
            <w:r w:rsidR="00CF6312" w:rsidRPr="00195838">
              <w:rPr>
                <w:rFonts w:ascii="Verdana" w:hAnsi="Verdana"/>
                <w:sz w:val="20"/>
                <w:szCs w:val="20"/>
              </w:rPr>
              <w:t>..</w:t>
            </w:r>
            <w:r w:rsidRPr="00195838">
              <w:rPr>
                <w:rFonts w:ascii="Verdana" w:hAnsi="Verdana"/>
                <w:sz w:val="20"/>
                <w:szCs w:val="20"/>
              </w:rPr>
              <w:t xml:space="preserve">. te organiseren die gericht zijn op het verhogen van de ouderbetrokkenheid van maatschappelijk kwetsbare ouders bij het klas- en/of schoolgebeuren van hun kind(eren). </w:t>
            </w:r>
          </w:p>
        </w:tc>
      </w:tr>
      <w:tr w:rsidR="004427A3" w:rsidRPr="00195838" w:rsidTr="00F86EEF">
        <w:tc>
          <w:tcPr>
            <w:tcW w:w="2235" w:type="dxa"/>
          </w:tcPr>
          <w:p w:rsidR="00576F28" w:rsidRPr="00195838" w:rsidRDefault="008F0ABB">
            <w:pPr>
              <w:rPr>
                <w:rFonts w:ascii="Verdana" w:hAnsi="Verdana"/>
                <w:sz w:val="20"/>
                <w:szCs w:val="20"/>
              </w:rPr>
            </w:pPr>
            <w:r w:rsidRPr="00195838">
              <w:rPr>
                <w:rFonts w:ascii="Verdana" w:hAnsi="Verdana"/>
                <w:sz w:val="20"/>
                <w:szCs w:val="20"/>
              </w:rPr>
              <w:t>Samen met mama, papa, oma en opa op weg naar school</w:t>
            </w:r>
          </w:p>
        </w:tc>
        <w:tc>
          <w:tcPr>
            <w:tcW w:w="1417" w:type="dxa"/>
          </w:tcPr>
          <w:p w:rsidR="00576F28" w:rsidRPr="00195838" w:rsidRDefault="003578DF">
            <w:pPr>
              <w:rPr>
                <w:rFonts w:ascii="Verdana" w:hAnsi="Verdana"/>
                <w:sz w:val="20"/>
                <w:szCs w:val="20"/>
              </w:rPr>
            </w:pPr>
            <w:r w:rsidRPr="00195838">
              <w:rPr>
                <w:rFonts w:ascii="Verdana" w:hAnsi="Verdana"/>
                <w:sz w:val="20"/>
                <w:szCs w:val="20"/>
              </w:rPr>
              <w:t xml:space="preserve">Gemeente </w:t>
            </w:r>
            <w:r w:rsidR="008F0ABB" w:rsidRPr="00195838">
              <w:rPr>
                <w:rFonts w:ascii="Verdana" w:hAnsi="Verdana"/>
                <w:sz w:val="20"/>
                <w:szCs w:val="20"/>
              </w:rPr>
              <w:t xml:space="preserve"> </w:t>
            </w:r>
            <w:proofErr w:type="spellStart"/>
            <w:r w:rsidR="008F0ABB" w:rsidRPr="00195838">
              <w:rPr>
                <w:rFonts w:ascii="Verdana" w:hAnsi="Verdana"/>
                <w:sz w:val="20"/>
                <w:szCs w:val="20"/>
              </w:rPr>
              <w:t>Zele</w:t>
            </w:r>
            <w:proofErr w:type="spellEnd"/>
          </w:p>
        </w:tc>
        <w:tc>
          <w:tcPr>
            <w:tcW w:w="1418" w:type="dxa"/>
          </w:tcPr>
          <w:p w:rsidR="00576F28" w:rsidRPr="00195838" w:rsidRDefault="008F0ABB">
            <w:pPr>
              <w:rPr>
                <w:rFonts w:ascii="Verdana" w:hAnsi="Verdana"/>
                <w:sz w:val="20"/>
                <w:szCs w:val="20"/>
              </w:rPr>
            </w:pPr>
            <w:r w:rsidRPr="00195838">
              <w:rPr>
                <w:rFonts w:ascii="Verdana" w:hAnsi="Verdana"/>
                <w:sz w:val="20"/>
                <w:szCs w:val="20"/>
              </w:rPr>
              <w:t>6.000</w:t>
            </w:r>
          </w:p>
        </w:tc>
        <w:tc>
          <w:tcPr>
            <w:tcW w:w="879" w:type="dxa"/>
          </w:tcPr>
          <w:p w:rsidR="00576F28" w:rsidRPr="00195838" w:rsidRDefault="008F0ABB">
            <w:pPr>
              <w:rPr>
                <w:rFonts w:ascii="Verdana" w:hAnsi="Verdana"/>
                <w:sz w:val="20"/>
                <w:szCs w:val="20"/>
              </w:rPr>
            </w:pPr>
            <w:r w:rsidRPr="00195838">
              <w:rPr>
                <w:rFonts w:ascii="Verdana" w:hAnsi="Verdana"/>
                <w:sz w:val="20"/>
                <w:szCs w:val="20"/>
              </w:rPr>
              <w:t>2011</w:t>
            </w:r>
          </w:p>
        </w:tc>
        <w:tc>
          <w:tcPr>
            <w:tcW w:w="8271" w:type="dxa"/>
          </w:tcPr>
          <w:p w:rsidR="00576F28" w:rsidRPr="00195838" w:rsidRDefault="008F0ABB" w:rsidP="008F0ABB">
            <w:pPr>
              <w:rPr>
                <w:rFonts w:ascii="Verdana" w:hAnsi="Verdana"/>
                <w:sz w:val="20"/>
                <w:szCs w:val="20"/>
              </w:rPr>
            </w:pPr>
            <w:r w:rsidRPr="00195838">
              <w:rPr>
                <w:rFonts w:ascii="Verdana" w:hAnsi="Verdana"/>
                <w:sz w:val="20"/>
                <w:szCs w:val="20"/>
              </w:rPr>
              <w:t xml:space="preserve">Er wordt een voorschools traject ontwikkeld dat zich richt naar kinderen vanaf 2 jaar tot de leeftijd dat ze naar school gaan en hun (groot)ouders met als doel ouders en kinderen beter voor te bereiden op de instap in de peuterklas. </w:t>
            </w:r>
          </w:p>
        </w:tc>
      </w:tr>
      <w:tr w:rsidR="004427A3" w:rsidRPr="00195838" w:rsidTr="00F86EEF">
        <w:tc>
          <w:tcPr>
            <w:tcW w:w="2235" w:type="dxa"/>
          </w:tcPr>
          <w:p w:rsidR="00576F28" w:rsidRPr="00195838" w:rsidRDefault="008F0ABB">
            <w:pPr>
              <w:rPr>
                <w:rFonts w:ascii="Verdana" w:hAnsi="Verdana"/>
                <w:sz w:val="20"/>
                <w:szCs w:val="20"/>
              </w:rPr>
            </w:pPr>
            <w:r w:rsidRPr="00195838">
              <w:rPr>
                <w:rFonts w:ascii="Verdana" w:hAnsi="Verdana"/>
                <w:sz w:val="20"/>
                <w:szCs w:val="20"/>
              </w:rPr>
              <w:t>i-POT Roma Sint-Niklaas</w:t>
            </w:r>
          </w:p>
        </w:tc>
        <w:tc>
          <w:tcPr>
            <w:tcW w:w="1417" w:type="dxa"/>
          </w:tcPr>
          <w:p w:rsidR="00576F28" w:rsidRPr="00195838" w:rsidRDefault="003578DF">
            <w:pPr>
              <w:rPr>
                <w:rFonts w:ascii="Verdana" w:hAnsi="Verdana"/>
                <w:sz w:val="20"/>
                <w:szCs w:val="20"/>
              </w:rPr>
            </w:pPr>
            <w:r w:rsidRPr="00195838">
              <w:rPr>
                <w:rFonts w:ascii="Verdana" w:hAnsi="Verdana"/>
                <w:sz w:val="20"/>
                <w:szCs w:val="20"/>
              </w:rPr>
              <w:t>G</w:t>
            </w:r>
            <w:r w:rsidR="008F0ABB" w:rsidRPr="00195838">
              <w:rPr>
                <w:rFonts w:ascii="Verdana" w:hAnsi="Verdana"/>
                <w:sz w:val="20"/>
                <w:szCs w:val="20"/>
              </w:rPr>
              <w:t>roep INTRO regio Oost-Vlaanderen</w:t>
            </w:r>
          </w:p>
        </w:tc>
        <w:tc>
          <w:tcPr>
            <w:tcW w:w="1418" w:type="dxa"/>
          </w:tcPr>
          <w:p w:rsidR="00576F28" w:rsidRPr="00195838" w:rsidRDefault="008F0ABB">
            <w:pPr>
              <w:rPr>
                <w:rFonts w:ascii="Verdana" w:hAnsi="Verdana"/>
                <w:sz w:val="20"/>
                <w:szCs w:val="20"/>
              </w:rPr>
            </w:pPr>
            <w:r w:rsidRPr="00195838">
              <w:rPr>
                <w:rFonts w:ascii="Verdana" w:hAnsi="Verdana"/>
                <w:sz w:val="20"/>
                <w:szCs w:val="20"/>
              </w:rPr>
              <w:t>24.067</w:t>
            </w:r>
          </w:p>
        </w:tc>
        <w:tc>
          <w:tcPr>
            <w:tcW w:w="879" w:type="dxa"/>
          </w:tcPr>
          <w:p w:rsidR="00576F28" w:rsidRPr="00195838" w:rsidRDefault="008F0ABB">
            <w:pPr>
              <w:rPr>
                <w:rFonts w:ascii="Verdana" w:hAnsi="Verdana"/>
                <w:sz w:val="20"/>
                <w:szCs w:val="20"/>
              </w:rPr>
            </w:pPr>
            <w:r w:rsidRPr="00195838">
              <w:rPr>
                <w:rFonts w:ascii="Verdana" w:hAnsi="Verdana"/>
                <w:sz w:val="20"/>
                <w:szCs w:val="20"/>
              </w:rPr>
              <w:t>2011</w:t>
            </w:r>
          </w:p>
        </w:tc>
        <w:tc>
          <w:tcPr>
            <w:tcW w:w="8271" w:type="dxa"/>
          </w:tcPr>
          <w:p w:rsidR="00576F28" w:rsidRPr="00195838" w:rsidRDefault="008F0ABB" w:rsidP="008F0ABB">
            <w:pPr>
              <w:rPr>
                <w:rFonts w:ascii="Verdana" w:hAnsi="Verdana"/>
                <w:sz w:val="20"/>
                <w:szCs w:val="20"/>
              </w:rPr>
            </w:pPr>
            <w:r w:rsidRPr="00195838">
              <w:rPr>
                <w:rFonts w:ascii="Verdana" w:hAnsi="Verdana"/>
                <w:sz w:val="20"/>
                <w:szCs w:val="20"/>
              </w:rPr>
              <w:t>Dit project wil specifiek de aansluiting bij het onderwijs van jongeren met een problematische onderwijscarrière en in het bijzonder ROMA-jongeren verbeteren. Bijzondere aandacht gaat naar leerplichtige ROMA-moeders door o.m. het betrekken van het thuismilieu.</w:t>
            </w:r>
          </w:p>
        </w:tc>
      </w:tr>
      <w:tr w:rsidR="004427A3" w:rsidRPr="00195838" w:rsidTr="00F86EEF">
        <w:tc>
          <w:tcPr>
            <w:tcW w:w="2235" w:type="dxa"/>
          </w:tcPr>
          <w:p w:rsidR="004427A3" w:rsidRPr="00195838" w:rsidRDefault="003578DF" w:rsidP="004427A3">
            <w:pPr>
              <w:rPr>
                <w:rFonts w:ascii="Verdana" w:hAnsi="Verdana"/>
                <w:sz w:val="20"/>
                <w:szCs w:val="20"/>
              </w:rPr>
            </w:pPr>
            <w:proofErr w:type="spellStart"/>
            <w:r w:rsidRPr="00195838">
              <w:rPr>
                <w:rFonts w:ascii="Verdana" w:hAnsi="Verdana"/>
                <w:sz w:val="20"/>
                <w:szCs w:val="20"/>
              </w:rPr>
              <w:t>Opvoedingsonder-steuning</w:t>
            </w:r>
            <w:proofErr w:type="spellEnd"/>
            <w:r w:rsidRPr="00195838">
              <w:rPr>
                <w:rFonts w:ascii="Verdana" w:hAnsi="Verdana"/>
                <w:sz w:val="20"/>
                <w:szCs w:val="20"/>
              </w:rPr>
              <w:t xml:space="preserve"> </w:t>
            </w:r>
            <w:r w:rsidR="004427A3" w:rsidRPr="00195838">
              <w:rPr>
                <w:rFonts w:ascii="Verdana" w:hAnsi="Verdana"/>
                <w:sz w:val="20"/>
                <w:szCs w:val="20"/>
              </w:rPr>
              <w:t>en begeleiding</w:t>
            </w:r>
          </w:p>
          <w:p w:rsidR="00576F28" w:rsidRPr="00195838" w:rsidRDefault="00576F28">
            <w:pPr>
              <w:rPr>
                <w:rFonts w:ascii="Verdana" w:hAnsi="Verdana"/>
                <w:sz w:val="20"/>
                <w:szCs w:val="20"/>
              </w:rPr>
            </w:pPr>
          </w:p>
        </w:tc>
        <w:tc>
          <w:tcPr>
            <w:tcW w:w="1417" w:type="dxa"/>
          </w:tcPr>
          <w:p w:rsidR="00576F28" w:rsidRPr="00195838" w:rsidRDefault="004427A3">
            <w:pPr>
              <w:rPr>
                <w:rFonts w:ascii="Verdana" w:hAnsi="Verdana"/>
                <w:sz w:val="20"/>
                <w:szCs w:val="20"/>
              </w:rPr>
            </w:pPr>
            <w:r w:rsidRPr="00195838">
              <w:rPr>
                <w:rFonts w:ascii="Verdana" w:hAnsi="Verdana"/>
                <w:sz w:val="20"/>
                <w:szCs w:val="20"/>
              </w:rPr>
              <w:t>GOK vzw</w:t>
            </w:r>
          </w:p>
        </w:tc>
        <w:tc>
          <w:tcPr>
            <w:tcW w:w="1418" w:type="dxa"/>
          </w:tcPr>
          <w:p w:rsidR="00576F28" w:rsidRPr="00195838" w:rsidRDefault="00A80357">
            <w:pPr>
              <w:rPr>
                <w:rFonts w:ascii="Verdana" w:hAnsi="Verdana"/>
                <w:sz w:val="20"/>
                <w:szCs w:val="20"/>
              </w:rPr>
            </w:pPr>
            <w:r w:rsidRPr="00195838">
              <w:rPr>
                <w:rFonts w:ascii="Verdana" w:hAnsi="Verdana"/>
                <w:sz w:val="20"/>
                <w:szCs w:val="20"/>
              </w:rPr>
              <w:t>17.100</w:t>
            </w:r>
          </w:p>
        </w:tc>
        <w:tc>
          <w:tcPr>
            <w:tcW w:w="879" w:type="dxa"/>
          </w:tcPr>
          <w:p w:rsidR="00576F28" w:rsidRPr="00195838" w:rsidRDefault="00BE77D6">
            <w:pPr>
              <w:rPr>
                <w:rFonts w:ascii="Verdana" w:hAnsi="Verdana"/>
                <w:sz w:val="20"/>
                <w:szCs w:val="20"/>
              </w:rPr>
            </w:pPr>
            <w:r w:rsidRPr="00195838">
              <w:rPr>
                <w:rFonts w:ascii="Verdana" w:hAnsi="Verdana"/>
                <w:sz w:val="20"/>
                <w:szCs w:val="20"/>
              </w:rPr>
              <w:t>2012</w:t>
            </w:r>
          </w:p>
        </w:tc>
        <w:tc>
          <w:tcPr>
            <w:tcW w:w="8271" w:type="dxa"/>
          </w:tcPr>
          <w:p w:rsidR="00576F28" w:rsidRPr="00195838" w:rsidRDefault="004427A3">
            <w:pPr>
              <w:rPr>
                <w:rFonts w:ascii="Verdana" w:hAnsi="Verdana"/>
                <w:sz w:val="20"/>
                <w:szCs w:val="20"/>
              </w:rPr>
            </w:pPr>
            <w:r w:rsidRPr="00195838">
              <w:rPr>
                <w:rFonts w:ascii="Verdana" w:hAnsi="Verdana"/>
                <w:sz w:val="20"/>
                <w:szCs w:val="20"/>
              </w:rPr>
              <w:t>Medewerkers van de spelotheek Diest worden getraind om ouders door te verwijzen naar hulp- en begeleidingsdiensten, ouders te leren spelen met hun kinderen, opvoedingsondersteuning te bieden, vragen over leren en school te beantwoorden.</w:t>
            </w:r>
          </w:p>
        </w:tc>
      </w:tr>
      <w:tr w:rsidR="004427A3" w:rsidRPr="00195838" w:rsidTr="00F86EEF">
        <w:tc>
          <w:tcPr>
            <w:tcW w:w="2235" w:type="dxa"/>
          </w:tcPr>
          <w:p w:rsidR="00A80357" w:rsidRPr="00195838" w:rsidRDefault="00A80357" w:rsidP="00A80357">
            <w:pPr>
              <w:rPr>
                <w:rFonts w:ascii="Verdana" w:hAnsi="Verdana"/>
                <w:sz w:val="20"/>
                <w:szCs w:val="20"/>
              </w:rPr>
            </w:pPr>
            <w:r w:rsidRPr="00195838">
              <w:rPr>
                <w:rFonts w:ascii="Verdana" w:hAnsi="Verdana"/>
                <w:sz w:val="20"/>
                <w:szCs w:val="20"/>
              </w:rPr>
              <w:t>Second Level</w:t>
            </w:r>
          </w:p>
          <w:p w:rsidR="00576F28" w:rsidRPr="00195838" w:rsidRDefault="00576F28">
            <w:pPr>
              <w:rPr>
                <w:rFonts w:ascii="Verdana" w:hAnsi="Verdana"/>
                <w:sz w:val="20"/>
                <w:szCs w:val="20"/>
              </w:rPr>
            </w:pPr>
          </w:p>
        </w:tc>
        <w:tc>
          <w:tcPr>
            <w:tcW w:w="1417" w:type="dxa"/>
          </w:tcPr>
          <w:p w:rsidR="00A80357" w:rsidRPr="00195838" w:rsidRDefault="00A80357" w:rsidP="00A80357">
            <w:pPr>
              <w:rPr>
                <w:rFonts w:ascii="Verdana" w:hAnsi="Verdana"/>
                <w:sz w:val="20"/>
                <w:szCs w:val="20"/>
              </w:rPr>
            </w:pPr>
            <w:r w:rsidRPr="00195838">
              <w:rPr>
                <w:rFonts w:ascii="Verdana" w:hAnsi="Verdana"/>
                <w:sz w:val="20"/>
                <w:szCs w:val="20"/>
              </w:rPr>
              <w:t xml:space="preserve">Dienst </w:t>
            </w:r>
            <w:proofErr w:type="spellStart"/>
            <w:r w:rsidRPr="00195838">
              <w:rPr>
                <w:rFonts w:ascii="Verdana" w:hAnsi="Verdana"/>
                <w:sz w:val="20"/>
                <w:szCs w:val="20"/>
              </w:rPr>
              <w:t>SamenlevingsOpbouw</w:t>
            </w:r>
            <w:proofErr w:type="spellEnd"/>
            <w:r w:rsidRPr="00195838">
              <w:rPr>
                <w:rFonts w:ascii="Verdana" w:hAnsi="Verdana"/>
                <w:sz w:val="20"/>
                <w:szCs w:val="20"/>
              </w:rPr>
              <w:t xml:space="preserve"> Mol</w:t>
            </w:r>
          </w:p>
          <w:p w:rsidR="00576F28" w:rsidRPr="00195838" w:rsidRDefault="00576F28">
            <w:pPr>
              <w:rPr>
                <w:rFonts w:ascii="Verdana" w:hAnsi="Verdana"/>
                <w:sz w:val="20"/>
                <w:szCs w:val="20"/>
              </w:rPr>
            </w:pPr>
          </w:p>
        </w:tc>
        <w:tc>
          <w:tcPr>
            <w:tcW w:w="1418" w:type="dxa"/>
          </w:tcPr>
          <w:p w:rsidR="00576F28" w:rsidRPr="00195838" w:rsidRDefault="00BE77D6">
            <w:pPr>
              <w:rPr>
                <w:rFonts w:ascii="Verdana" w:hAnsi="Verdana"/>
                <w:sz w:val="20"/>
                <w:szCs w:val="20"/>
              </w:rPr>
            </w:pPr>
            <w:r w:rsidRPr="00195838">
              <w:rPr>
                <w:rFonts w:ascii="Verdana" w:hAnsi="Verdana"/>
                <w:sz w:val="20"/>
                <w:szCs w:val="20"/>
              </w:rPr>
              <w:t>49.145,77</w:t>
            </w:r>
          </w:p>
        </w:tc>
        <w:tc>
          <w:tcPr>
            <w:tcW w:w="879" w:type="dxa"/>
          </w:tcPr>
          <w:p w:rsidR="00576F28" w:rsidRPr="00195838" w:rsidRDefault="00BE77D6">
            <w:pPr>
              <w:rPr>
                <w:rFonts w:ascii="Verdana" w:hAnsi="Verdana"/>
                <w:sz w:val="20"/>
                <w:szCs w:val="20"/>
              </w:rPr>
            </w:pPr>
            <w:r w:rsidRPr="00195838">
              <w:rPr>
                <w:rFonts w:ascii="Verdana" w:hAnsi="Verdana"/>
                <w:sz w:val="20"/>
                <w:szCs w:val="20"/>
              </w:rPr>
              <w:t>2012</w:t>
            </w:r>
          </w:p>
        </w:tc>
        <w:tc>
          <w:tcPr>
            <w:tcW w:w="8271" w:type="dxa"/>
          </w:tcPr>
          <w:p w:rsidR="00576F28" w:rsidRPr="00195838" w:rsidRDefault="00A80357" w:rsidP="003578DF">
            <w:pPr>
              <w:rPr>
                <w:rFonts w:ascii="Verdana" w:hAnsi="Verdana"/>
                <w:sz w:val="20"/>
                <w:szCs w:val="20"/>
              </w:rPr>
            </w:pPr>
            <w:r w:rsidRPr="00195838">
              <w:rPr>
                <w:rFonts w:ascii="Verdana" w:hAnsi="Verdana"/>
                <w:sz w:val="20"/>
                <w:szCs w:val="20"/>
              </w:rPr>
              <w:t xml:space="preserve">Studiekeuzebegeleiding bij overgang basisonderwijs - secundair onderwijs met bijzondere aandacht voor leerlingen </w:t>
            </w:r>
            <w:r w:rsidR="003578DF" w:rsidRPr="00195838">
              <w:rPr>
                <w:rFonts w:ascii="Verdana" w:hAnsi="Verdana"/>
                <w:sz w:val="20"/>
                <w:szCs w:val="20"/>
              </w:rPr>
              <w:t xml:space="preserve">van buitenlandse herkomst </w:t>
            </w:r>
            <w:r w:rsidRPr="00195838">
              <w:rPr>
                <w:rFonts w:ascii="Verdana" w:hAnsi="Verdana"/>
                <w:sz w:val="20"/>
                <w:szCs w:val="20"/>
              </w:rPr>
              <w:t>en nieuwkomers. Men streeft naar een groter inzicht in de mogelijke studierichtingen en -structuren van ouders en leerlingen.</w:t>
            </w:r>
          </w:p>
        </w:tc>
      </w:tr>
      <w:tr w:rsidR="004427A3" w:rsidRPr="00195838" w:rsidTr="00F86EEF">
        <w:tc>
          <w:tcPr>
            <w:tcW w:w="2235" w:type="dxa"/>
          </w:tcPr>
          <w:p w:rsidR="00576F28" w:rsidRPr="00195838" w:rsidRDefault="00002EDD">
            <w:pPr>
              <w:rPr>
                <w:rFonts w:ascii="Verdana" w:hAnsi="Verdana"/>
                <w:sz w:val="20"/>
                <w:szCs w:val="20"/>
              </w:rPr>
            </w:pPr>
            <w:r w:rsidRPr="00195838">
              <w:rPr>
                <w:rFonts w:ascii="Verdana" w:hAnsi="Verdana"/>
                <w:sz w:val="20"/>
                <w:szCs w:val="20"/>
              </w:rPr>
              <w:lastRenderedPageBreak/>
              <w:t>Moeders zonder grenzen</w:t>
            </w:r>
          </w:p>
        </w:tc>
        <w:tc>
          <w:tcPr>
            <w:tcW w:w="1417" w:type="dxa"/>
          </w:tcPr>
          <w:p w:rsidR="00576F28" w:rsidRPr="00195838" w:rsidRDefault="00002EDD">
            <w:pPr>
              <w:rPr>
                <w:rFonts w:ascii="Verdana" w:hAnsi="Verdana"/>
                <w:sz w:val="20"/>
                <w:szCs w:val="20"/>
              </w:rPr>
            </w:pPr>
            <w:r w:rsidRPr="00195838">
              <w:rPr>
                <w:rFonts w:ascii="Verdana" w:hAnsi="Verdana"/>
                <w:sz w:val="20"/>
                <w:szCs w:val="20"/>
              </w:rPr>
              <w:t>FMDO</w:t>
            </w:r>
          </w:p>
        </w:tc>
        <w:tc>
          <w:tcPr>
            <w:tcW w:w="1418" w:type="dxa"/>
          </w:tcPr>
          <w:p w:rsidR="00576F28" w:rsidRPr="00195838" w:rsidRDefault="002F5C0B">
            <w:pPr>
              <w:rPr>
                <w:rFonts w:ascii="Verdana" w:hAnsi="Verdana"/>
                <w:sz w:val="20"/>
                <w:szCs w:val="20"/>
              </w:rPr>
            </w:pPr>
            <w:r w:rsidRPr="00195838">
              <w:rPr>
                <w:rFonts w:ascii="Verdana" w:hAnsi="Verdana"/>
                <w:sz w:val="20"/>
                <w:szCs w:val="20"/>
              </w:rPr>
              <w:t>39.902,06</w:t>
            </w:r>
          </w:p>
        </w:tc>
        <w:tc>
          <w:tcPr>
            <w:tcW w:w="879" w:type="dxa"/>
          </w:tcPr>
          <w:p w:rsidR="00576F28" w:rsidRPr="00195838" w:rsidRDefault="00B6073F">
            <w:pPr>
              <w:rPr>
                <w:rFonts w:ascii="Verdana" w:hAnsi="Verdana"/>
                <w:sz w:val="20"/>
                <w:szCs w:val="20"/>
              </w:rPr>
            </w:pPr>
            <w:r w:rsidRPr="00195838">
              <w:rPr>
                <w:rFonts w:ascii="Verdana" w:hAnsi="Verdana"/>
                <w:sz w:val="20"/>
                <w:szCs w:val="20"/>
              </w:rPr>
              <w:t>2013</w:t>
            </w:r>
          </w:p>
        </w:tc>
        <w:tc>
          <w:tcPr>
            <w:tcW w:w="8271" w:type="dxa"/>
          </w:tcPr>
          <w:p w:rsidR="00576F28" w:rsidRPr="00195838" w:rsidRDefault="00002EDD" w:rsidP="00CF6312">
            <w:pPr>
              <w:rPr>
                <w:rFonts w:ascii="Verdana" w:hAnsi="Verdana"/>
                <w:sz w:val="20"/>
                <w:szCs w:val="20"/>
              </w:rPr>
            </w:pPr>
            <w:r w:rsidRPr="00195838">
              <w:rPr>
                <w:rFonts w:ascii="Verdana" w:hAnsi="Verdana"/>
                <w:sz w:val="20"/>
                <w:szCs w:val="20"/>
              </w:rPr>
              <w:t xml:space="preserve">Het project </w:t>
            </w:r>
            <w:r w:rsidR="00CF6312" w:rsidRPr="00195838">
              <w:rPr>
                <w:rFonts w:ascii="Verdana" w:hAnsi="Verdana"/>
                <w:sz w:val="20"/>
                <w:szCs w:val="20"/>
              </w:rPr>
              <w:t>ontwikkelt</w:t>
            </w:r>
            <w:r w:rsidRPr="00195838">
              <w:rPr>
                <w:rFonts w:ascii="Verdana" w:hAnsi="Verdana"/>
                <w:sz w:val="20"/>
                <w:szCs w:val="20"/>
              </w:rPr>
              <w:t xml:space="preserve"> vormingen en activiteiten voor allochtone vrouwen over de thema's gezin, opvoeding en onderwijs.</w:t>
            </w:r>
          </w:p>
        </w:tc>
      </w:tr>
      <w:tr w:rsidR="00002EDD" w:rsidRPr="00195838" w:rsidTr="00F86EEF">
        <w:tc>
          <w:tcPr>
            <w:tcW w:w="2235" w:type="dxa"/>
          </w:tcPr>
          <w:p w:rsidR="00002EDD" w:rsidRPr="00195838" w:rsidRDefault="00002EDD">
            <w:pPr>
              <w:rPr>
                <w:rFonts w:ascii="Verdana" w:hAnsi="Verdana"/>
                <w:sz w:val="20"/>
                <w:szCs w:val="20"/>
              </w:rPr>
            </w:pPr>
            <w:proofErr w:type="spellStart"/>
            <w:r w:rsidRPr="00195838">
              <w:rPr>
                <w:rFonts w:ascii="Verdana" w:hAnsi="Verdana"/>
                <w:sz w:val="20"/>
                <w:szCs w:val="20"/>
              </w:rPr>
              <w:t>Ouderbetrokken</w:t>
            </w:r>
            <w:r w:rsidR="00F86EEF">
              <w:rPr>
                <w:rFonts w:ascii="Verdana" w:hAnsi="Verdana"/>
                <w:sz w:val="20"/>
                <w:szCs w:val="20"/>
              </w:rPr>
              <w:t>-</w:t>
            </w:r>
            <w:r w:rsidRPr="00195838">
              <w:rPr>
                <w:rFonts w:ascii="Verdana" w:hAnsi="Verdana"/>
                <w:sz w:val="20"/>
                <w:szCs w:val="20"/>
              </w:rPr>
              <w:t>heid</w:t>
            </w:r>
            <w:proofErr w:type="spellEnd"/>
            <w:r w:rsidRPr="00195838">
              <w:rPr>
                <w:rFonts w:ascii="Verdana" w:hAnsi="Verdana"/>
                <w:sz w:val="20"/>
                <w:szCs w:val="20"/>
              </w:rPr>
              <w:t xml:space="preserve"> op school</w:t>
            </w:r>
          </w:p>
        </w:tc>
        <w:tc>
          <w:tcPr>
            <w:tcW w:w="1417" w:type="dxa"/>
          </w:tcPr>
          <w:p w:rsidR="00002EDD" w:rsidRPr="00195838" w:rsidRDefault="00002EDD">
            <w:pPr>
              <w:rPr>
                <w:rFonts w:ascii="Verdana" w:hAnsi="Verdana"/>
                <w:sz w:val="20"/>
                <w:szCs w:val="20"/>
              </w:rPr>
            </w:pPr>
            <w:r w:rsidRPr="00195838">
              <w:rPr>
                <w:rFonts w:ascii="Verdana" w:hAnsi="Verdana"/>
                <w:sz w:val="20"/>
                <w:szCs w:val="20"/>
              </w:rPr>
              <w:t>VBS De Horizon</w:t>
            </w:r>
          </w:p>
        </w:tc>
        <w:tc>
          <w:tcPr>
            <w:tcW w:w="1418" w:type="dxa"/>
          </w:tcPr>
          <w:p w:rsidR="00002EDD" w:rsidRPr="00195838" w:rsidRDefault="002F5C0B">
            <w:pPr>
              <w:rPr>
                <w:rFonts w:ascii="Verdana" w:hAnsi="Verdana"/>
                <w:sz w:val="20"/>
                <w:szCs w:val="20"/>
              </w:rPr>
            </w:pPr>
            <w:r w:rsidRPr="00195838">
              <w:rPr>
                <w:rFonts w:ascii="Verdana" w:hAnsi="Verdana"/>
                <w:sz w:val="20"/>
                <w:szCs w:val="20"/>
              </w:rPr>
              <w:t>11.600</w:t>
            </w:r>
          </w:p>
        </w:tc>
        <w:tc>
          <w:tcPr>
            <w:tcW w:w="879" w:type="dxa"/>
          </w:tcPr>
          <w:p w:rsidR="00002EDD" w:rsidRPr="00195838" w:rsidRDefault="00B6073F">
            <w:pPr>
              <w:rPr>
                <w:rFonts w:ascii="Verdana" w:hAnsi="Verdana"/>
                <w:sz w:val="20"/>
                <w:szCs w:val="20"/>
              </w:rPr>
            </w:pPr>
            <w:r w:rsidRPr="00195838">
              <w:rPr>
                <w:rFonts w:ascii="Verdana" w:hAnsi="Verdana"/>
                <w:sz w:val="20"/>
                <w:szCs w:val="20"/>
              </w:rPr>
              <w:t>2013</w:t>
            </w:r>
          </w:p>
        </w:tc>
        <w:tc>
          <w:tcPr>
            <w:tcW w:w="8271" w:type="dxa"/>
          </w:tcPr>
          <w:p w:rsidR="00002EDD" w:rsidRPr="00195838" w:rsidRDefault="00002EDD" w:rsidP="00002EDD">
            <w:pPr>
              <w:rPr>
                <w:rFonts w:ascii="Verdana" w:hAnsi="Verdana"/>
                <w:sz w:val="20"/>
                <w:szCs w:val="20"/>
              </w:rPr>
            </w:pPr>
            <w:r w:rsidRPr="00195838">
              <w:rPr>
                <w:rFonts w:ascii="Verdana" w:hAnsi="Verdana"/>
                <w:sz w:val="20"/>
                <w:szCs w:val="20"/>
              </w:rPr>
              <w:t>VBNS De Horizon is een concentratieschool die een zeer kansarme leerlingenpopulatie bereikt. De afgelopen jaren heeft basisschool De Horizon bijzondere inspanningen gedaan om de ouders van de leerlingen nauwer bij de school te betrekken en hen mee te laten participeren in de school. Met dit project wordt een vormingsaanbod gerealiseerd en wordt gepoogd dit aanbod te intensifiëren en in een ruimer kader aan te bieden.</w:t>
            </w:r>
          </w:p>
        </w:tc>
      </w:tr>
      <w:tr w:rsidR="00002EDD" w:rsidRPr="00195838" w:rsidTr="00F86EEF">
        <w:tc>
          <w:tcPr>
            <w:tcW w:w="2235" w:type="dxa"/>
          </w:tcPr>
          <w:p w:rsidR="00002EDD" w:rsidRPr="00195838" w:rsidRDefault="00AC0C51">
            <w:pPr>
              <w:rPr>
                <w:rFonts w:ascii="Verdana" w:hAnsi="Verdana"/>
                <w:sz w:val="20"/>
                <w:szCs w:val="20"/>
              </w:rPr>
            </w:pPr>
            <w:r w:rsidRPr="00195838">
              <w:rPr>
                <w:rFonts w:ascii="Verdana" w:hAnsi="Verdana"/>
                <w:sz w:val="20"/>
                <w:szCs w:val="20"/>
              </w:rPr>
              <w:t>Brugfigurenproject</w:t>
            </w:r>
          </w:p>
        </w:tc>
        <w:tc>
          <w:tcPr>
            <w:tcW w:w="1417" w:type="dxa"/>
          </w:tcPr>
          <w:p w:rsidR="00002EDD" w:rsidRPr="00195838" w:rsidRDefault="003578DF">
            <w:pPr>
              <w:rPr>
                <w:rFonts w:ascii="Verdana" w:hAnsi="Verdana"/>
                <w:sz w:val="20"/>
                <w:szCs w:val="20"/>
              </w:rPr>
            </w:pPr>
            <w:r w:rsidRPr="00195838">
              <w:rPr>
                <w:rFonts w:ascii="Verdana" w:hAnsi="Verdana"/>
                <w:sz w:val="20"/>
                <w:szCs w:val="20"/>
              </w:rPr>
              <w:t xml:space="preserve">Gemeente </w:t>
            </w:r>
            <w:r w:rsidR="00AC0C51" w:rsidRPr="00195838">
              <w:rPr>
                <w:rFonts w:ascii="Verdana" w:hAnsi="Verdana"/>
                <w:sz w:val="20"/>
                <w:szCs w:val="20"/>
              </w:rPr>
              <w:t>Temse</w:t>
            </w:r>
          </w:p>
        </w:tc>
        <w:tc>
          <w:tcPr>
            <w:tcW w:w="1418" w:type="dxa"/>
          </w:tcPr>
          <w:p w:rsidR="00002EDD" w:rsidRPr="00195838" w:rsidRDefault="008F5256">
            <w:pPr>
              <w:rPr>
                <w:rFonts w:ascii="Verdana" w:hAnsi="Verdana"/>
                <w:sz w:val="20"/>
                <w:szCs w:val="20"/>
              </w:rPr>
            </w:pPr>
            <w:r w:rsidRPr="00195838">
              <w:rPr>
                <w:rFonts w:ascii="Verdana" w:hAnsi="Verdana"/>
                <w:sz w:val="20"/>
                <w:szCs w:val="20"/>
              </w:rPr>
              <w:t>52.705,30</w:t>
            </w:r>
          </w:p>
        </w:tc>
        <w:tc>
          <w:tcPr>
            <w:tcW w:w="879" w:type="dxa"/>
          </w:tcPr>
          <w:p w:rsidR="00002EDD" w:rsidRPr="00195838" w:rsidRDefault="008F5256">
            <w:pPr>
              <w:rPr>
                <w:rFonts w:ascii="Verdana" w:hAnsi="Verdana"/>
                <w:sz w:val="20"/>
                <w:szCs w:val="20"/>
              </w:rPr>
            </w:pPr>
            <w:r w:rsidRPr="00195838">
              <w:rPr>
                <w:rFonts w:ascii="Verdana" w:hAnsi="Verdana"/>
                <w:sz w:val="20"/>
                <w:szCs w:val="20"/>
              </w:rPr>
              <w:t>2014</w:t>
            </w:r>
          </w:p>
        </w:tc>
        <w:tc>
          <w:tcPr>
            <w:tcW w:w="8271" w:type="dxa"/>
          </w:tcPr>
          <w:p w:rsidR="00002EDD" w:rsidRPr="00195838" w:rsidRDefault="00AC0C51" w:rsidP="00AC0C51">
            <w:pPr>
              <w:rPr>
                <w:rFonts w:ascii="Verdana" w:hAnsi="Verdana"/>
                <w:sz w:val="20"/>
                <w:szCs w:val="20"/>
              </w:rPr>
            </w:pPr>
            <w:r w:rsidRPr="00195838">
              <w:rPr>
                <w:rFonts w:ascii="Verdana" w:hAnsi="Verdana"/>
                <w:sz w:val="20"/>
                <w:szCs w:val="20"/>
              </w:rPr>
              <w:t xml:space="preserve">Brugfiguren kunnen scholen ondersteunen bij hun communicatie met de ouders en kunnen de stem van de ouders vertegenwoordigen en culturele achtergronden duiden. Stimuleren van ouderbetrokkenheid (aandacht voor moeders) door laagdrempelige activiteiten en ouders mee te begeleiden op de school. </w:t>
            </w:r>
          </w:p>
        </w:tc>
      </w:tr>
    </w:tbl>
    <w:p w:rsidR="00F67106" w:rsidRPr="00195838" w:rsidRDefault="00F67106">
      <w:pPr>
        <w:rPr>
          <w:rFonts w:ascii="Verdana" w:hAnsi="Verdana"/>
          <w:sz w:val="20"/>
          <w:szCs w:val="20"/>
        </w:rPr>
      </w:pPr>
    </w:p>
    <w:sectPr w:rsidR="00F67106" w:rsidRPr="00195838" w:rsidSect="003578D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F28"/>
    <w:rsid w:val="00002EDD"/>
    <w:rsid w:val="0000586B"/>
    <w:rsid w:val="000C41EA"/>
    <w:rsid w:val="00195838"/>
    <w:rsid w:val="002F5C0B"/>
    <w:rsid w:val="003578DF"/>
    <w:rsid w:val="004427A3"/>
    <w:rsid w:val="00485B6A"/>
    <w:rsid w:val="00566CD4"/>
    <w:rsid w:val="00576F28"/>
    <w:rsid w:val="005B2E93"/>
    <w:rsid w:val="006E1986"/>
    <w:rsid w:val="007F0452"/>
    <w:rsid w:val="00861BBF"/>
    <w:rsid w:val="008F0ABB"/>
    <w:rsid w:val="008F5256"/>
    <w:rsid w:val="00A80357"/>
    <w:rsid w:val="00AC0C51"/>
    <w:rsid w:val="00B6073F"/>
    <w:rsid w:val="00B73671"/>
    <w:rsid w:val="00BE77D6"/>
    <w:rsid w:val="00C22BC0"/>
    <w:rsid w:val="00C57CD2"/>
    <w:rsid w:val="00CB508F"/>
    <w:rsid w:val="00CF6312"/>
    <w:rsid w:val="00DD458C"/>
    <w:rsid w:val="00F67106"/>
    <w:rsid w:val="00F86E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3A4B3-4761-4859-860A-4F236E354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76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D458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D45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16099">
      <w:bodyDiv w:val="1"/>
      <w:marLeft w:val="0"/>
      <w:marRight w:val="0"/>
      <w:marTop w:val="0"/>
      <w:marBottom w:val="0"/>
      <w:divBdr>
        <w:top w:val="none" w:sz="0" w:space="0" w:color="auto"/>
        <w:left w:val="none" w:sz="0" w:space="0" w:color="auto"/>
        <w:bottom w:val="none" w:sz="0" w:space="0" w:color="auto"/>
        <w:right w:val="none" w:sz="0" w:space="0" w:color="auto"/>
      </w:divBdr>
    </w:div>
    <w:div w:id="760444717">
      <w:bodyDiv w:val="1"/>
      <w:marLeft w:val="0"/>
      <w:marRight w:val="0"/>
      <w:marTop w:val="0"/>
      <w:marBottom w:val="0"/>
      <w:divBdr>
        <w:top w:val="none" w:sz="0" w:space="0" w:color="auto"/>
        <w:left w:val="none" w:sz="0" w:space="0" w:color="auto"/>
        <w:bottom w:val="none" w:sz="0" w:space="0" w:color="auto"/>
        <w:right w:val="none" w:sz="0" w:space="0" w:color="auto"/>
      </w:divBdr>
    </w:div>
    <w:div w:id="1216159846">
      <w:bodyDiv w:val="1"/>
      <w:marLeft w:val="0"/>
      <w:marRight w:val="0"/>
      <w:marTop w:val="0"/>
      <w:marBottom w:val="0"/>
      <w:divBdr>
        <w:top w:val="none" w:sz="0" w:space="0" w:color="auto"/>
        <w:left w:val="none" w:sz="0" w:space="0" w:color="auto"/>
        <w:bottom w:val="none" w:sz="0" w:space="0" w:color="auto"/>
        <w:right w:val="none" w:sz="0" w:space="0" w:color="auto"/>
      </w:divBdr>
    </w:div>
    <w:div w:id="1436245192">
      <w:bodyDiv w:val="1"/>
      <w:marLeft w:val="0"/>
      <w:marRight w:val="0"/>
      <w:marTop w:val="0"/>
      <w:marBottom w:val="0"/>
      <w:divBdr>
        <w:top w:val="none" w:sz="0" w:space="0" w:color="auto"/>
        <w:left w:val="none" w:sz="0" w:space="0" w:color="auto"/>
        <w:bottom w:val="none" w:sz="0" w:space="0" w:color="auto"/>
        <w:right w:val="none" w:sz="0" w:space="0" w:color="auto"/>
      </w:divBdr>
    </w:div>
    <w:div w:id="193385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3104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Broeckx, Hilde</dc:creator>
  <cp:lastModifiedBy>Tytgat, Caroline</cp:lastModifiedBy>
  <cp:revision>2</cp:revision>
  <cp:lastPrinted>2015-04-14T12:25:00Z</cp:lastPrinted>
  <dcterms:created xsi:type="dcterms:W3CDTF">2015-04-20T14:46:00Z</dcterms:created>
  <dcterms:modified xsi:type="dcterms:W3CDTF">2015-04-20T14:46:00Z</dcterms:modified>
</cp:coreProperties>
</file>