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0C" w:rsidRPr="00A8473D" w:rsidRDefault="009E3B0C" w:rsidP="009E3B0C">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9E3B0C" w:rsidRPr="00A8473D" w:rsidRDefault="009E3B0C" w:rsidP="009E3B0C">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9E3B0C" w:rsidRPr="00DE405B" w:rsidRDefault="009E3B0C" w:rsidP="009E3B0C">
      <w:pPr>
        <w:pStyle w:val="StandaardSV"/>
        <w:pBdr>
          <w:bottom w:val="single" w:sz="4" w:space="1" w:color="auto"/>
        </w:pBdr>
        <w:rPr>
          <w:lang w:val="nl-BE"/>
        </w:rPr>
      </w:pPr>
    </w:p>
    <w:p w:rsidR="009E3B0C" w:rsidRDefault="009E3B0C" w:rsidP="009E3B0C">
      <w:pPr>
        <w:jc w:val="both"/>
        <w:rPr>
          <w:sz w:val="22"/>
        </w:rPr>
      </w:pPr>
    </w:p>
    <w:p w:rsidR="00AD31C1" w:rsidRPr="00A8473D" w:rsidRDefault="00D532E9" w:rsidP="00AD31C1">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9E3B0C" w:rsidRDefault="00235C4E" w:rsidP="00AD31C1">
      <w:pPr>
        <w:jc w:val="both"/>
        <w:outlineLvl w:val="0"/>
        <w:rPr>
          <w:sz w:val="22"/>
        </w:rPr>
      </w:pPr>
      <w:r>
        <w:rPr>
          <w:sz w:val="22"/>
        </w:rPr>
        <w:t>o</w:t>
      </w:r>
      <w:r w:rsidR="00AD31C1">
        <w:rPr>
          <w:sz w:val="22"/>
        </w:rPr>
        <w:t>p v</w:t>
      </w:r>
      <w:r w:rsidR="009E3B0C">
        <w:rPr>
          <w:sz w:val="22"/>
        </w:rPr>
        <w:t>raag nr. 426</w:t>
      </w:r>
      <w:r w:rsidR="00AD31C1">
        <w:rPr>
          <w:sz w:val="22"/>
        </w:rPr>
        <w:t xml:space="preserve"> </w:t>
      </w:r>
      <w:r w:rsidR="009E3B0C">
        <w:rPr>
          <w:sz w:val="22"/>
        </w:rPr>
        <w:t>van 25 maart 2014</w:t>
      </w:r>
    </w:p>
    <w:p w:rsidR="009E3B0C" w:rsidRDefault="009E3B0C" w:rsidP="009E3B0C">
      <w:pPr>
        <w:jc w:val="both"/>
        <w:rPr>
          <w:b/>
          <w:sz w:val="22"/>
        </w:rPr>
      </w:pPr>
      <w:r>
        <w:rPr>
          <w:sz w:val="22"/>
        </w:rPr>
        <w:t xml:space="preserve">van </w:t>
      </w:r>
      <w:r>
        <w:rPr>
          <w:b/>
          <w:smallCaps/>
          <w:sz w:val="22"/>
        </w:rPr>
        <w:t xml:space="preserve">els </w:t>
      </w:r>
      <w:proofErr w:type="spellStart"/>
      <w:r>
        <w:rPr>
          <w:b/>
          <w:smallCaps/>
          <w:sz w:val="22"/>
        </w:rPr>
        <w:t>robeyns</w:t>
      </w:r>
      <w:proofErr w:type="spellEnd"/>
    </w:p>
    <w:p w:rsidR="009E3B0C" w:rsidRDefault="009E3B0C" w:rsidP="009E3B0C">
      <w:pPr>
        <w:pBdr>
          <w:bottom w:val="single" w:sz="4" w:space="1" w:color="auto"/>
        </w:pBdr>
        <w:jc w:val="both"/>
        <w:rPr>
          <w:sz w:val="22"/>
        </w:rPr>
      </w:pPr>
    </w:p>
    <w:p w:rsidR="00235C4E" w:rsidRDefault="00235C4E" w:rsidP="00235C4E">
      <w:pPr>
        <w:pStyle w:val="StandaardSV"/>
        <w:ind w:left="360"/>
      </w:pPr>
    </w:p>
    <w:p w:rsidR="00235C4E" w:rsidRDefault="00235C4E" w:rsidP="00235C4E">
      <w:pPr>
        <w:pStyle w:val="StandaardSV"/>
        <w:ind w:left="360"/>
      </w:pPr>
    </w:p>
    <w:p w:rsidR="001D5F6B" w:rsidRDefault="008221A2" w:rsidP="001D5F6B">
      <w:pPr>
        <w:pStyle w:val="StandaardSV"/>
        <w:numPr>
          <w:ilvl w:val="0"/>
          <w:numId w:val="3"/>
        </w:numPr>
      </w:pPr>
      <w:r>
        <w:t>Aanvragen voor “steun aan investeringen”</w:t>
      </w:r>
    </w:p>
    <w:p w:rsidR="008221A2" w:rsidRPr="008221A2" w:rsidRDefault="008221A2" w:rsidP="00235C4E">
      <w:pPr>
        <w:pStyle w:val="StandaardSV"/>
        <w:ind w:left="360"/>
      </w:pPr>
      <w:r w:rsidRPr="008221A2">
        <w:t>Een investering waarvoor VLIF-steun gevraagd wordt, wordt gerangschikt onder een investeringscode. Met betrekking tot de vraag zijn enkele codes belangrijk nl. die voor investeringen in hoevezuivel, hoevevlees, andere hoeveproducten en detailverkoop. Onderstaande cijfers hebben betrekking op investeringen die gerangschikt werden onder die investeringscodes. De bedragen betreffen de voorziene kosten in euro. De steunintensiteit bedraagt 28 %. Afhankelijk van de financiering heeft de steun de vorm van een rentesubsidie die aangevuld wordt met een investeringspremie (bij financiering met krediet) of uitsluitend een investeringspremie (bij financiering met eigen middelen).</w:t>
      </w:r>
    </w:p>
    <w:p w:rsidR="008221A2" w:rsidRPr="008221A2" w:rsidRDefault="008221A2" w:rsidP="008221A2">
      <w:pPr>
        <w:pStyle w:val="StandaardSV"/>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0"/>
        <w:gridCol w:w="2278"/>
        <w:gridCol w:w="2268"/>
      </w:tblGrid>
      <w:tr w:rsidR="008221A2" w:rsidRPr="008221A2" w:rsidTr="00F60AEB">
        <w:tc>
          <w:tcPr>
            <w:tcW w:w="4243" w:type="dxa"/>
            <w:gridSpan w:val="2"/>
          </w:tcPr>
          <w:p w:rsidR="008221A2" w:rsidRPr="008221A2" w:rsidRDefault="008221A2" w:rsidP="00F60AEB">
            <w:pPr>
              <w:pStyle w:val="StandaardSV"/>
            </w:pPr>
            <w:r w:rsidRPr="008221A2">
              <w:t>Jaar</w:t>
            </w:r>
          </w:p>
        </w:tc>
        <w:tc>
          <w:tcPr>
            <w:tcW w:w="2278" w:type="dxa"/>
          </w:tcPr>
          <w:p w:rsidR="008221A2" w:rsidRPr="008221A2" w:rsidRDefault="008221A2" w:rsidP="00F60AEB">
            <w:pPr>
              <w:pStyle w:val="StandaardSV"/>
            </w:pPr>
            <w:r w:rsidRPr="008221A2">
              <w:t>2012</w:t>
            </w:r>
          </w:p>
        </w:tc>
        <w:tc>
          <w:tcPr>
            <w:tcW w:w="2268" w:type="dxa"/>
          </w:tcPr>
          <w:p w:rsidR="008221A2" w:rsidRPr="008221A2" w:rsidRDefault="008221A2" w:rsidP="00F60AEB">
            <w:pPr>
              <w:pStyle w:val="StandaardSV"/>
            </w:pPr>
            <w:r w:rsidRPr="008221A2">
              <w:t>2013</w:t>
            </w:r>
          </w:p>
        </w:tc>
      </w:tr>
      <w:tr w:rsidR="008221A2" w:rsidRPr="008221A2" w:rsidTr="00F60AEB">
        <w:tc>
          <w:tcPr>
            <w:tcW w:w="1843" w:type="dxa"/>
            <w:vMerge w:val="restart"/>
          </w:tcPr>
          <w:p w:rsidR="008221A2" w:rsidRPr="008221A2" w:rsidRDefault="008221A2" w:rsidP="00F60AEB">
            <w:pPr>
              <w:pStyle w:val="StandaardSV"/>
            </w:pPr>
            <w:r w:rsidRPr="008221A2">
              <w:t>Antwerpen</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12</w:t>
            </w:r>
          </w:p>
        </w:tc>
        <w:tc>
          <w:tcPr>
            <w:tcW w:w="2268" w:type="dxa"/>
          </w:tcPr>
          <w:p w:rsidR="008221A2" w:rsidRPr="008221A2" w:rsidRDefault="008221A2" w:rsidP="00F60AEB">
            <w:pPr>
              <w:pStyle w:val="StandaardSV"/>
            </w:pPr>
            <w:r w:rsidRPr="008221A2">
              <w:t>17</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Voorziene kost</w:t>
            </w:r>
          </w:p>
        </w:tc>
        <w:tc>
          <w:tcPr>
            <w:tcW w:w="2278" w:type="dxa"/>
          </w:tcPr>
          <w:p w:rsidR="008221A2" w:rsidRPr="008221A2" w:rsidRDefault="008221A2" w:rsidP="00F60AEB">
            <w:pPr>
              <w:pStyle w:val="StandaardSV"/>
            </w:pPr>
            <w:r w:rsidRPr="008221A2">
              <w:t>202.712,70 €</w:t>
            </w:r>
          </w:p>
        </w:tc>
        <w:tc>
          <w:tcPr>
            <w:tcW w:w="2268" w:type="dxa"/>
          </w:tcPr>
          <w:p w:rsidR="008221A2" w:rsidRPr="008221A2" w:rsidRDefault="008221A2" w:rsidP="00F60AEB">
            <w:pPr>
              <w:pStyle w:val="StandaardSV"/>
            </w:pPr>
            <w:r w:rsidRPr="008221A2">
              <w:t>671.622,50 €</w:t>
            </w:r>
          </w:p>
        </w:tc>
      </w:tr>
      <w:tr w:rsidR="008221A2" w:rsidRPr="008221A2" w:rsidTr="00F60AEB">
        <w:tc>
          <w:tcPr>
            <w:tcW w:w="1843" w:type="dxa"/>
            <w:vMerge w:val="restart"/>
          </w:tcPr>
          <w:p w:rsidR="008221A2" w:rsidRPr="008221A2" w:rsidRDefault="008221A2" w:rsidP="00F60AEB">
            <w:pPr>
              <w:pStyle w:val="StandaardSV"/>
            </w:pPr>
            <w:r w:rsidRPr="008221A2">
              <w:t>Limburg</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8</w:t>
            </w:r>
          </w:p>
        </w:tc>
        <w:tc>
          <w:tcPr>
            <w:tcW w:w="2268" w:type="dxa"/>
          </w:tcPr>
          <w:p w:rsidR="008221A2" w:rsidRPr="008221A2" w:rsidRDefault="008221A2" w:rsidP="00F60AEB">
            <w:pPr>
              <w:pStyle w:val="StandaardSV"/>
            </w:pPr>
            <w:r w:rsidRPr="008221A2">
              <w:t>5</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Voorziene kost</w:t>
            </w:r>
          </w:p>
        </w:tc>
        <w:tc>
          <w:tcPr>
            <w:tcW w:w="2278" w:type="dxa"/>
          </w:tcPr>
          <w:p w:rsidR="008221A2" w:rsidRPr="008221A2" w:rsidRDefault="008221A2" w:rsidP="00F60AEB">
            <w:pPr>
              <w:pStyle w:val="StandaardSV"/>
            </w:pPr>
            <w:r w:rsidRPr="008221A2">
              <w:t>181.054,52 €</w:t>
            </w:r>
          </w:p>
        </w:tc>
        <w:tc>
          <w:tcPr>
            <w:tcW w:w="2268" w:type="dxa"/>
          </w:tcPr>
          <w:p w:rsidR="008221A2" w:rsidRPr="008221A2" w:rsidRDefault="008221A2" w:rsidP="00F60AEB">
            <w:pPr>
              <w:pStyle w:val="StandaardSV"/>
            </w:pPr>
            <w:r w:rsidRPr="008221A2">
              <w:t>87.288,00 €</w:t>
            </w:r>
          </w:p>
        </w:tc>
      </w:tr>
      <w:tr w:rsidR="008221A2" w:rsidRPr="008221A2" w:rsidTr="00F60AEB">
        <w:tc>
          <w:tcPr>
            <w:tcW w:w="1843" w:type="dxa"/>
            <w:vMerge w:val="restart"/>
          </w:tcPr>
          <w:p w:rsidR="008221A2" w:rsidRPr="008221A2" w:rsidRDefault="008221A2" w:rsidP="00F60AEB">
            <w:pPr>
              <w:pStyle w:val="StandaardSV"/>
            </w:pPr>
            <w:r w:rsidRPr="008221A2">
              <w:t>Vlaams-Brabant</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5</w:t>
            </w:r>
          </w:p>
        </w:tc>
        <w:tc>
          <w:tcPr>
            <w:tcW w:w="2268" w:type="dxa"/>
          </w:tcPr>
          <w:p w:rsidR="008221A2" w:rsidRPr="008221A2" w:rsidRDefault="008221A2" w:rsidP="00F60AEB">
            <w:pPr>
              <w:pStyle w:val="StandaardSV"/>
            </w:pPr>
            <w:r w:rsidRPr="008221A2">
              <w:t>15</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Voorziene kost</w:t>
            </w:r>
          </w:p>
        </w:tc>
        <w:tc>
          <w:tcPr>
            <w:tcW w:w="2278" w:type="dxa"/>
          </w:tcPr>
          <w:p w:rsidR="008221A2" w:rsidRPr="008221A2" w:rsidRDefault="008221A2" w:rsidP="00F60AEB">
            <w:pPr>
              <w:pStyle w:val="StandaardSV"/>
            </w:pPr>
            <w:r w:rsidRPr="008221A2">
              <w:t>61.610,60 €</w:t>
            </w:r>
          </w:p>
        </w:tc>
        <w:tc>
          <w:tcPr>
            <w:tcW w:w="2268" w:type="dxa"/>
          </w:tcPr>
          <w:p w:rsidR="008221A2" w:rsidRPr="008221A2" w:rsidRDefault="008221A2" w:rsidP="00F60AEB">
            <w:pPr>
              <w:pStyle w:val="StandaardSV"/>
            </w:pPr>
            <w:r w:rsidRPr="008221A2">
              <w:t>172.574,60 €</w:t>
            </w:r>
          </w:p>
        </w:tc>
      </w:tr>
      <w:tr w:rsidR="008221A2" w:rsidRPr="008221A2" w:rsidTr="00F60AEB">
        <w:tc>
          <w:tcPr>
            <w:tcW w:w="1843" w:type="dxa"/>
            <w:vMerge w:val="restart"/>
          </w:tcPr>
          <w:p w:rsidR="008221A2" w:rsidRPr="008221A2" w:rsidRDefault="008221A2" w:rsidP="00F60AEB">
            <w:pPr>
              <w:pStyle w:val="StandaardSV"/>
            </w:pPr>
            <w:r w:rsidRPr="008221A2">
              <w:t>Oost-Vlaanderen</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25</w:t>
            </w:r>
          </w:p>
        </w:tc>
        <w:tc>
          <w:tcPr>
            <w:tcW w:w="2268" w:type="dxa"/>
          </w:tcPr>
          <w:p w:rsidR="008221A2" w:rsidRPr="008221A2" w:rsidRDefault="008221A2" w:rsidP="00F60AEB">
            <w:pPr>
              <w:pStyle w:val="StandaardSV"/>
            </w:pPr>
            <w:r w:rsidRPr="008221A2">
              <w:t>24</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Voorziene kost</w:t>
            </w:r>
          </w:p>
        </w:tc>
        <w:tc>
          <w:tcPr>
            <w:tcW w:w="2278" w:type="dxa"/>
          </w:tcPr>
          <w:p w:rsidR="008221A2" w:rsidRPr="008221A2" w:rsidRDefault="008221A2" w:rsidP="00F60AEB">
            <w:pPr>
              <w:pStyle w:val="StandaardSV"/>
            </w:pPr>
            <w:r w:rsidRPr="008221A2">
              <w:t>316.738,42 €</w:t>
            </w:r>
          </w:p>
        </w:tc>
        <w:tc>
          <w:tcPr>
            <w:tcW w:w="2268" w:type="dxa"/>
          </w:tcPr>
          <w:p w:rsidR="008221A2" w:rsidRPr="008221A2" w:rsidRDefault="008221A2" w:rsidP="00F60AEB">
            <w:pPr>
              <w:pStyle w:val="StandaardSV"/>
            </w:pPr>
            <w:r w:rsidRPr="008221A2">
              <w:t>447.117,68 €</w:t>
            </w:r>
          </w:p>
        </w:tc>
      </w:tr>
      <w:tr w:rsidR="008221A2" w:rsidRPr="008221A2" w:rsidTr="00F60AEB">
        <w:tc>
          <w:tcPr>
            <w:tcW w:w="1843" w:type="dxa"/>
            <w:vMerge w:val="restart"/>
          </w:tcPr>
          <w:p w:rsidR="008221A2" w:rsidRPr="008221A2" w:rsidRDefault="008221A2" w:rsidP="00F60AEB">
            <w:pPr>
              <w:pStyle w:val="StandaardSV"/>
            </w:pPr>
            <w:r w:rsidRPr="008221A2">
              <w:t>West-Vlaanderen</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26</w:t>
            </w:r>
          </w:p>
        </w:tc>
        <w:tc>
          <w:tcPr>
            <w:tcW w:w="2268" w:type="dxa"/>
          </w:tcPr>
          <w:p w:rsidR="008221A2" w:rsidRPr="008221A2" w:rsidRDefault="008221A2" w:rsidP="00F60AEB">
            <w:pPr>
              <w:pStyle w:val="StandaardSV"/>
            </w:pPr>
            <w:r w:rsidRPr="008221A2">
              <w:t>26</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Voorziene kost</w:t>
            </w:r>
          </w:p>
        </w:tc>
        <w:tc>
          <w:tcPr>
            <w:tcW w:w="2278" w:type="dxa"/>
          </w:tcPr>
          <w:p w:rsidR="008221A2" w:rsidRPr="008221A2" w:rsidRDefault="008221A2" w:rsidP="00F60AEB">
            <w:pPr>
              <w:pStyle w:val="StandaardSV"/>
            </w:pPr>
            <w:r w:rsidRPr="008221A2">
              <w:t>398.809,03 €</w:t>
            </w:r>
          </w:p>
        </w:tc>
        <w:tc>
          <w:tcPr>
            <w:tcW w:w="2268" w:type="dxa"/>
          </w:tcPr>
          <w:p w:rsidR="008221A2" w:rsidRPr="008221A2" w:rsidRDefault="008221A2" w:rsidP="00F60AEB">
            <w:pPr>
              <w:pStyle w:val="StandaardSV"/>
            </w:pPr>
            <w:r w:rsidRPr="008221A2">
              <w:t>427.747,00 €</w:t>
            </w:r>
          </w:p>
        </w:tc>
      </w:tr>
      <w:tr w:rsidR="008221A2" w:rsidRPr="008221A2" w:rsidTr="00F60AEB">
        <w:tc>
          <w:tcPr>
            <w:tcW w:w="1843" w:type="dxa"/>
            <w:vMerge w:val="restart"/>
          </w:tcPr>
          <w:p w:rsidR="008221A2" w:rsidRPr="008221A2" w:rsidRDefault="008221A2" w:rsidP="00F60AEB">
            <w:pPr>
              <w:pStyle w:val="StandaardSV"/>
            </w:pPr>
            <w:r w:rsidRPr="008221A2">
              <w:t>Totaal</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76</w:t>
            </w:r>
          </w:p>
        </w:tc>
        <w:tc>
          <w:tcPr>
            <w:tcW w:w="2268" w:type="dxa"/>
          </w:tcPr>
          <w:p w:rsidR="008221A2" w:rsidRPr="008221A2" w:rsidRDefault="008221A2" w:rsidP="00F60AEB">
            <w:pPr>
              <w:pStyle w:val="StandaardSV"/>
            </w:pPr>
            <w:r w:rsidRPr="008221A2">
              <w:t>87</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Voorziene kost</w:t>
            </w:r>
          </w:p>
        </w:tc>
        <w:tc>
          <w:tcPr>
            <w:tcW w:w="2278" w:type="dxa"/>
          </w:tcPr>
          <w:p w:rsidR="008221A2" w:rsidRPr="008221A2" w:rsidRDefault="008221A2" w:rsidP="00F60AEB">
            <w:pPr>
              <w:pStyle w:val="StandaardSV"/>
            </w:pPr>
            <w:r w:rsidRPr="008221A2">
              <w:t>1.160.925,27 €</w:t>
            </w:r>
          </w:p>
        </w:tc>
        <w:tc>
          <w:tcPr>
            <w:tcW w:w="2268" w:type="dxa"/>
          </w:tcPr>
          <w:p w:rsidR="008221A2" w:rsidRPr="008221A2" w:rsidRDefault="008221A2" w:rsidP="00F60AEB">
            <w:pPr>
              <w:pStyle w:val="StandaardSV"/>
            </w:pPr>
            <w:r w:rsidRPr="008221A2">
              <w:t>1.806.349,78 €</w:t>
            </w:r>
          </w:p>
        </w:tc>
      </w:tr>
    </w:tbl>
    <w:p w:rsidR="008221A2" w:rsidRPr="008221A2" w:rsidRDefault="008221A2" w:rsidP="008221A2">
      <w:pPr>
        <w:pStyle w:val="StandaardSV"/>
      </w:pPr>
    </w:p>
    <w:p w:rsidR="008221A2" w:rsidRDefault="008221A2" w:rsidP="008221A2">
      <w:pPr>
        <w:pStyle w:val="StandaardSV"/>
        <w:numPr>
          <w:ilvl w:val="0"/>
          <w:numId w:val="3"/>
        </w:numPr>
      </w:pPr>
      <w:r>
        <w:t>Goedgekeurde aanvragen</w:t>
      </w:r>
    </w:p>
    <w:p w:rsidR="008221A2" w:rsidRDefault="008221A2" w:rsidP="008221A2">
      <w:pPr>
        <w:pStyle w:val="StandaardSV"/>
      </w:pPr>
    </w:p>
    <w:p w:rsidR="008221A2" w:rsidRPr="008221A2" w:rsidRDefault="008221A2" w:rsidP="00235C4E">
      <w:pPr>
        <w:pStyle w:val="StandaardSV"/>
        <w:ind w:left="360"/>
      </w:pPr>
      <w:r w:rsidRPr="008221A2">
        <w:t>In onderstaande tabel worden het aantal goedgekeurde aanvragen en het gesubsidieerd investeringsbedrag in euro weergegeven. Er wordt opgemerkt dat de gegevens niet slaan op dezelfde dossiers waarover gehandeld wordt bij de aanvragen om steun. De beslissing valt na een onderzoek van de mogelijkheden op steun en komt enige tijd na de aanvraag om steun.</w:t>
      </w:r>
    </w:p>
    <w:p w:rsidR="008221A2" w:rsidRPr="008221A2" w:rsidRDefault="008221A2" w:rsidP="008221A2">
      <w:pPr>
        <w:pStyle w:val="StandaardSV"/>
      </w:pPr>
    </w:p>
    <w:p w:rsidR="008221A2" w:rsidRPr="008221A2" w:rsidRDefault="008221A2" w:rsidP="00235C4E">
      <w:pPr>
        <w:pStyle w:val="StandaardSV"/>
        <w:ind w:left="360"/>
      </w:pPr>
      <w:r w:rsidRPr="008221A2">
        <w:t>Tevens wordt opgemerkt dat 37 dossiers van 2012 betrekking hebben op investeringen gericht op detailverkoop (hoevewinkel, verkoopautomaat…) en de overige 36 betrekking hebben op investeringen gericht op de productie van de hoeveproducten (zuivel, vlees, andere). Voor 2013 bedragen die aantallen respectievelijk 25 en 43. Om het steunbedrag te kennen moet het gesubsidieerd bedrag vermenigvuldigd worden met de steunintensiteit. Afhankelijk van het tijdstip waarop de aanvraag ingediend werd bedroeg die 30 % (aanvragen vanaf 27/06/2008) of 28% (aanvragen vanaf 19/02/2011). Bij een selectie op basis van investeringscodes is het onderscheid niet mogelijk.</w:t>
      </w:r>
    </w:p>
    <w:p w:rsidR="008221A2" w:rsidRPr="008221A2" w:rsidRDefault="008221A2" w:rsidP="008221A2">
      <w:pPr>
        <w:pStyle w:val="StandaardSV"/>
        <w:ind w:left="360"/>
      </w:pPr>
    </w:p>
    <w:p w:rsidR="00235C4E" w:rsidRDefault="00235C4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0"/>
        <w:gridCol w:w="2278"/>
        <w:gridCol w:w="2268"/>
      </w:tblGrid>
      <w:tr w:rsidR="008221A2" w:rsidRPr="008221A2" w:rsidTr="00F60AEB">
        <w:tc>
          <w:tcPr>
            <w:tcW w:w="4243" w:type="dxa"/>
            <w:gridSpan w:val="2"/>
          </w:tcPr>
          <w:p w:rsidR="008221A2" w:rsidRPr="008221A2" w:rsidRDefault="008221A2" w:rsidP="00F60AEB">
            <w:pPr>
              <w:pStyle w:val="StandaardSV"/>
            </w:pPr>
            <w:r w:rsidRPr="008221A2">
              <w:lastRenderedPageBreak/>
              <w:t>Jaar</w:t>
            </w:r>
          </w:p>
        </w:tc>
        <w:tc>
          <w:tcPr>
            <w:tcW w:w="2278" w:type="dxa"/>
          </w:tcPr>
          <w:p w:rsidR="008221A2" w:rsidRPr="008221A2" w:rsidRDefault="008221A2" w:rsidP="00F60AEB">
            <w:pPr>
              <w:pStyle w:val="StandaardSV"/>
            </w:pPr>
            <w:r w:rsidRPr="008221A2">
              <w:t>2012</w:t>
            </w:r>
          </w:p>
        </w:tc>
        <w:tc>
          <w:tcPr>
            <w:tcW w:w="2268" w:type="dxa"/>
          </w:tcPr>
          <w:p w:rsidR="008221A2" w:rsidRPr="008221A2" w:rsidRDefault="008221A2" w:rsidP="00F60AEB">
            <w:pPr>
              <w:pStyle w:val="StandaardSV"/>
            </w:pPr>
            <w:r w:rsidRPr="008221A2">
              <w:t>2013</w:t>
            </w:r>
          </w:p>
        </w:tc>
      </w:tr>
      <w:tr w:rsidR="008221A2" w:rsidRPr="008221A2" w:rsidTr="00F60AEB">
        <w:tc>
          <w:tcPr>
            <w:tcW w:w="1843" w:type="dxa"/>
            <w:vMerge w:val="restart"/>
          </w:tcPr>
          <w:p w:rsidR="008221A2" w:rsidRPr="008221A2" w:rsidRDefault="008221A2" w:rsidP="00F60AEB">
            <w:pPr>
              <w:pStyle w:val="StandaardSV"/>
            </w:pPr>
            <w:r w:rsidRPr="008221A2">
              <w:t>Antwerpen</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15</w:t>
            </w:r>
          </w:p>
        </w:tc>
        <w:tc>
          <w:tcPr>
            <w:tcW w:w="2268" w:type="dxa"/>
          </w:tcPr>
          <w:p w:rsidR="008221A2" w:rsidRPr="008221A2" w:rsidRDefault="008221A2" w:rsidP="00F60AEB">
            <w:pPr>
              <w:pStyle w:val="StandaardSV"/>
            </w:pPr>
            <w:r w:rsidRPr="008221A2">
              <w:t>17</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Investeringsbedrag</w:t>
            </w:r>
          </w:p>
        </w:tc>
        <w:tc>
          <w:tcPr>
            <w:tcW w:w="2278" w:type="dxa"/>
          </w:tcPr>
          <w:p w:rsidR="008221A2" w:rsidRPr="008221A2" w:rsidRDefault="008221A2" w:rsidP="00F60AEB">
            <w:pPr>
              <w:pStyle w:val="StandaardSV"/>
            </w:pPr>
            <w:r w:rsidRPr="008221A2">
              <w:t>461.030,97 €</w:t>
            </w:r>
          </w:p>
        </w:tc>
        <w:tc>
          <w:tcPr>
            <w:tcW w:w="2268" w:type="dxa"/>
          </w:tcPr>
          <w:p w:rsidR="008221A2" w:rsidRPr="008221A2" w:rsidRDefault="008221A2" w:rsidP="00F60AEB">
            <w:pPr>
              <w:pStyle w:val="StandaardSV"/>
            </w:pPr>
            <w:r w:rsidRPr="008221A2">
              <w:t>690.259,07 €</w:t>
            </w:r>
          </w:p>
        </w:tc>
      </w:tr>
      <w:tr w:rsidR="008221A2" w:rsidRPr="008221A2" w:rsidTr="00F60AEB">
        <w:tc>
          <w:tcPr>
            <w:tcW w:w="1843" w:type="dxa"/>
            <w:vMerge w:val="restart"/>
          </w:tcPr>
          <w:p w:rsidR="008221A2" w:rsidRPr="008221A2" w:rsidRDefault="008221A2" w:rsidP="00F60AEB">
            <w:pPr>
              <w:pStyle w:val="StandaardSV"/>
            </w:pPr>
            <w:r w:rsidRPr="008221A2">
              <w:t>Limburg</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10</w:t>
            </w:r>
          </w:p>
        </w:tc>
        <w:tc>
          <w:tcPr>
            <w:tcW w:w="2268" w:type="dxa"/>
          </w:tcPr>
          <w:p w:rsidR="008221A2" w:rsidRPr="008221A2" w:rsidRDefault="008221A2" w:rsidP="00F60AEB">
            <w:pPr>
              <w:pStyle w:val="StandaardSV"/>
            </w:pPr>
            <w:r w:rsidRPr="008221A2">
              <w:t>11</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Investeringsbedrag</w:t>
            </w:r>
          </w:p>
        </w:tc>
        <w:tc>
          <w:tcPr>
            <w:tcW w:w="2278" w:type="dxa"/>
          </w:tcPr>
          <w:p w:rsidR="008221A2" w:rsidRPr="008221A2" w:rsidRDefault="008221A2" w:rsidP="00F60AEB">
            <w:pPr>
              <w:pStyle w:val="StandaardSV"/>
            </w:pPr>
            <w:r w:rsidRPr="008221A2">
              <w:t>1.159.435,00 €</w:t>
            </w:r>
          </w:p>
        </w:tc>
        <w:tc>
          <w:tcPr>
            <w:tcW w:w="2268" w:type="dxa"/>
          </w:tcPr>
          <w:p w:rsidR="008221A2" w:rsidRPr="008221A2" w:rsidRDefault="008221A2" w:rsidP="00F60AEB">
            <w:pPr>
              <w:pStyle w:val="StandaardSV"/>
            </w:pPr>
            <w:r w:rsidRPr="008221A2">
              <w:t>454.101,68 €</w:t>
            </w:r>
          </w:p>
        </w:tc>
      </w:tr>
      <w:tr w:rsidR="008221A2" w:rsidRPr="008221A2" w:rsidTr="00F60AEB">
        <w:tc>
          <w:tcPr>
            <w:tcW w:w="1843" w:type="dxa"/>
            <w:vMerge w:val="restart"/>
          </w:tcPr>
          <w:p w:rsidR="008221A2" w:rsidRPr="008221A2" w:rsidRDefault="008221A2" w:rsidP="00F60AEB">
            <w:pPr>
              <w:pStyle w:val="StandaardSV"/>
            </w:pPr>
            <w:r w:rsidRPr="008221A2">
              <w:t>Vlaams-Brabant</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2</w:t>
            </w:r>
          </w:p>
        </w:tc>
        <w:tc>
          <w:tcPr>
            <w:tcW w:w="2268" w:type="dxa"/>
          </w:tcPr>
          <w:p w:rsidR="008221A2" w:rsidRPr="008221A2" w:rsidRDefault="008221A2" w:rsidP="00F60AEB">
            <w:pPr>
              <w:pStyle w:val="StandaardSV"/>
            </w:pPr>
            <w:r w:rsidRPr="008221A2">
              <w:t>6</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Investeringsbedrag</w:t>
            </w:r>
          </w:p>
        </w:tc>
        <w:tc>
          <w:tcPr>
            <w:tcW w:w="2278" w:type="dxa"/>
          </w:tcPr>
          <w:p w:rsidR="008221A2" w:rsidRPr="008221A2" w:rsidRDefault="008221A2" w:rsidP="00F60AEB">
            <w:pPr>
              <w:pStyle w:val="StandaardSV"/>
            </w:pPr>
            <w:r w:rsidRPr="008221A2">
              <w:t>15.000,00 €</w:t>
            </w:r>
          </w:p>
        </w:tc>
        <w:tc>
          <w:tcPr>
            <w:tcW w:w="2268" w:type="dxa"/>
          </w:tcPr>
          <w:p w:rsidR="008221A2" w:rsidRPr="008221A2" w:rsidRDefault="008221A2" w:rsidP="00F60AEB">
            <w:pPr>
              <w:pStyle w:val="StandaardSV"/>
            </w:pPr>
            <w:r w:rsidRPr="008221A2">
              <w:t>41.173,00 €</w:t>
            </w:r>
          </w:p>
        </w:tc>
      </w:tr>
      <w:tr w:rsidR="008221A2" w:rsidRPr="008221A2" w:rsidTr="00F60AEB">
        <w:tc>
          <w:tcPr>
            <w:tcW w:w="1843" w:type="dxa"/>
            <w:vMerge w:val="restart"/>
          </w:tcPr>
          <w:p w:rsidR="008221A2" w:rsidRPr="008221A2" w:rsidRDefault="008221A2" w:rsidP="00F60AEB">
            <w:pPr>
              <w:pStyle w:val="StandaardSV"/>
            </w:pPr>
            <w:r w:rsidRPr="008221A2">
              <w:t>Oost-Vlaanderen</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17</w:t>
            </w:r>
          </w:p>
        </w:tc>
        <w:tc>
          <w:tcPr>
            <w:tcW w:w="2268" w:type="dxa"/>
          </w:tcPr>
          <w:p w:rsidR="008221A2" w:rsidRPr="008221A2" w:rsidRDefault="008221A2" w:rsidP="00F60AEB">
            <w:pPr>
              <w:pStyle w:val="StandaardSV"/>
            </w:pPr>
            <w:r w:rsidRPr="008221A2">
              <w:t>13</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Investeringsbedrag</w:t>
            </w:r>
          </w:p>
        </w:tc>
        <w:tc>
          <w:tcPr>
            <w:tcW w:w="2278" w:type="dxa"/>
          </w:tcPr>
          <w:p w:rsidR="008221A2" w:rsidRPr="008221A2" w:rsidRDefault="008221A2" w:rsidP="00F60AEB">
            <w:pPr>
              <w:pStyle w:val="StandaardSV"/>
            </w:pPr>
            <w:r w:rsidRPr="008221A2">
              <w:t>242.700,95 €</w:t>
            </w:r>
          </w:p>
        </w:tc>
        <w:tc>
          <w:tcPr>
            <w:tcW w:w="2268" w:type="dxa"/>
          </w:tcPr>
          <w:p w:rsidR="008221A2" w:rsidRPr="008221A2" w:rsidRDefault="008221A2" w:rsidP="00F60AEB">
            <w:pPr>
              <w:pStyle w:val="StandaardSV"/>
            </w:pPr>
            <w:r w:rsidRPr="008221A2">
              <w:t>172.603,87 €</w:t>
            </w:r>
          </w:p>
        </w:tc>
      </w:tr>
      <w:tr w:rsidR="008221A2" w:rsidRPr="008221A2" w:rsidTr="00F60AEB">
        <w:tc>
          <w:tcPr>
            <w:tcW w:w="1843" w:type="dxa"/>
            <w:vMerge w:val="restart"/>
          </w:tcPr>
          <w:p w:rsidR="008221A2" w:rsidRPr="008221A2" w:rsidRDefault="008221A2" w:rsidP="00F60AEB">
            <w:pPr>
              <w:pStyle w:val="StandaardSV"/>
            </w:pPr>
            <w:r w:rsidRPr="008221A2">
              <w:t>West-Vlaanderen</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29</w:t>
            </w:r>
          </w:p>
        </w:tc>
        <w:tc>
          <w:tcPr>
            <w:tcW w:w="2268" w:type="dxa"/>
          </w:tcPr>
          <w:p w:rsidR="008221A2" w:rsidRPr="008221A2" w:rsidRDefault="008221A2" w:rsidP="00F60AEB">
            <w:pPr>
              <w:pStyle w:val="StandaardSV"/>
            </w:pPr>
            <w:r w:rsidRPr="008221A2">
              <w:t>21</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Investeringsbedrag</w:t>
            </w:r>
          </w:p>
        </w:tc>
        <w:tc>
          <w:tcPr>
            <w:tcW w:w="2278" w:type="dxa"/>
          </w:tcPr>
          <w:p w:rsidR="008221A2" w:rsidRPr="008221A2" w:rsidRDefault="008221A2" w:rsidP="00F60AEB">
            <w:pPr>
              <w:pStyle w:val="StandaardSV"/>
            </w:pPr>
            <w:r w:rsidRPr="008221A2">
              <w:t>491.110,37 €</w:t>
            </w:r>
          </w:p>
        </w:tc>
        <w:tc>
          <w:tcPr>
            <w:tcW w:w="2268" w:type="dxa"/>
          </w:tcPr>
          <w:p w:rsidR="008221A2" w:rsidRPr="008221A2" w:rsidRDefault="008221A2" w:rsidP="00F60AEB">
            <w:pPr>
              <w:pStyle w:val="StandaardSV"/>
            </w:pPr>
            <w:r w:rsidRPr="008221A2">
              <w:t>509.559,93 €</w:t>
            </w:r>
          </w:p>
        </w:tc>
      </w:tr>
      <w:tr w:rsidR="008221A2" w:rsidRPr="008221A2" w:rsidTr="00F60AEB">
        <w:tc>
          <w:tcPr>
            <w:tcW w:w="1843" w:type="dxa"/>
            <w:vMerge w:val="restart"/>
          </w:tcPr>
          <w:p w:rsidR="008221A2" w:rsidRPr="008221A2" w:rsidRDefault="008221A2" w:rsidP="00F60AEB">
            <w:pPr>
              <w:pStyle w:val="StandaardSV"/>
            </w:pPr>
            <w:r w:rsidRPr="008221A2">
              <w:t>Totaal</w:t>
            </w:r>
          </w:p>
        </w:tc>
        <w:tc>
          <w:tcPr>
            <w:tcW w:w="2400" w:type="dxa"/>
          </w:tcPr>
          <w:p w:rsidR="008221A2" w:rsidRPr="008221A2" w:rsidRDefault="008221A2" w:rsidP="00F60AEB">
            <w:pPr>
              <w:pStyle w:val="StandaardSV"/>
            </w:pPr>
            <w:r w:rsidRPr="008221A2">
              <w:t>Aantal</w:t>
            </w:r>
          </w:p>
        </w:tc>
        <w:tc>
          <w:tcPr>
            <w:tcW w:w="2278" w:type="dxa"/>
          </w:tcPr>
          <w:p w:rsidR="008221A2" w:rsidRPr="008221A2" w:rsidRDefault="008221A2" w:rsidP="00F60AEB">
            <w:pPr>
              <w:pStyle w:val="StandaardSV"/>
            </w:pPr>
            <w:r w:rsidRPr="008221A2">
              <w:t>73</w:t>
            </w:r>
          </w:p>
        </w:tc>
        <w:tc>
          <w:tcPr>
            <w:tcW w:w="2268" w:type="dxa"/>
          </w:tcPr>
          <w:p w:rsidR="008221A2" w:rsidRPr="008221A2" w:rsidRDefault="008221A2" w:rsidP="00F60AEB">
            <w:pPr>
              <w:pStyle w:val="StandaardSV"/>
            </w:pPr>
            <w:r w:rsidRPr="008221A2">
              <w:t>68</w:t>
            </w:r>
          </w:p>
        </w:tc>
      </w:tr>
      <w:tr w:rsidR="008221A2" w:rsidRPr="008221A2" w:rsidTr="00F60AEB">
        <w:tc>
          <w:tcPr>
            <w:tcW w:w="1843" w:type="dxa"/>
            <w:vMerge/>
          </w:tcPr>
          <w:p w:rsidR="008221A2" w:rsidRPr="008221A2" w:rsidRDefault="008221A2" w:rsidP="00F60AEB">
            <w:pPr>
              <w:pStyle w:val="StandaardSV"/>
            </w:pPr>
          </w:p>
        </w:tc>
        <w:tc>
          <w:tcPr>
            <w:tcW w:w="2400" w:type="dxa"/>
          </w:tcPr>
          <w:p w:rsidR="008221A2" w:rsidRPr="008221A2" w:rsidRDefault="008221A2" w:rsidP="00F60AEB">
            <w:pPr>
              <w:pStyle w:val="StandaardSV"/>
            </w:pPr>
            <w:r w:rsidRPr="008221A2">
              <w:t>Investeringsbedrag</w:t>
            </w:r>
          </w:p>
        </w:tc>
        <w:tc>
          <w:tcPr>
            <w:tcW w:w="2278" w:type="dxa"/>
          </w:tcPr>
          <w:p w:rsidR="008221A2" w:rsidRPr="008221A2" w:rsidRDefault="008221A2" w:rsidP="00F60AEB">
            <w:pPr>
              <w:pStyle w:val="StandaardSV"/>
            </w:pPr>
            <w:r w:rsidRPr="008221A2">
              <w:t>2.369.277,29 €</w:t>
            </w:r>
          </w:p>
        </w:tc>
        <w:tc>
          <w:tcPr>
            <w:tcW w:w="2268" w:type="dxa"/>
          </w:tcPr>
          <w:p w:rsidR="008221A2" w:rsidRPr="008221A2" w:rsidRDefault="008221A2" w:rsidP="00F60AEB">
            <w:pPr>
              <w:pStyle w:val="StandaardSV"/>
            </w:pPr>
            <w:r w:rsidRPr="008221A2">
              <w:t>1.867.697,55 €</w:t>
            </w:r>
          </w:p>
        </w:tc>
      </w:tr>
    </w:tbl>
    <w:p w:rsidR="00F210EB" w:rsidRDefault="00F210EB" w:rsidP="008221A2">
      <w:pPr>
        <w:pStyle w:val="StandaardSV"/>
      </w:pPr>
    </w:p>
    <w:p w:rsidR="001D5F6B" w:rsidRPr="00980A9C" w:rsidRDefault="00F210EB" w:rsidP="001D5F6B">
      <w:pPr>
        <w:pStyle w:val="StandaardSV"/>
        <w:numPr>
          <w:ilvl w:val="0"/>
          <w:numId w:val="3"/>
        </w:numPr>
      </w:pPr>
      <w:r>
        <w:t>Projecten die steun krijgen in het kader van PDPOII</w:t>
      </w:r>
    </w:p>
    <w:p w:rsidR="009E3B0C" w:rsidRDefault="009E3B0C" w:rsidP="009E3B0C">
      <w:pPr>
        <w:pStyle w:val="StandaardSV"/>
      </w:pPr>
    </w:p>
    <w:p w:rsidR="001D5F6B" w:rsidRPr="001D5F6B" w:rsidRDefault="001D5F6B" w:rsidP="001D5F6B">
      <w:pPr>
        <w:pStyle w:val="StandaardSV"/>
        <w:numPr>
          <w:ilvl w:val="0"/>
          <w:numId w:val="2"/>
        </w:numPr>
        <w:rPr>
          <w:szCs w:val="22"/>
          <w:u w:val="single"/>
        </w:rPr>
      </w:pPr>
      <w:r w:rsidRPr="001D5F6B">
        <w:rPr>
          <w:szCs w:val="22"/>
          <w:u w:val="single"/>
        </w:rPr>
        <w:t>Steun voor producenten met een Beschermde Oorsprongsbenaming (BOB) of Beschermde geografische aanduiding (BGA) of een Gegarandeerde traditionele specialiteit (GTS)</w:t>
      </w:r>
    </w:p>
    <w:p w:rsidR="001D5F6B" w:rsidRPr="001D5F6B" w:rsidRDefault="001D5F6B" w:rsidP="001D5F6B">
      <w:pPr>
        <w:pStyle w:val="StandaardSV"/>
        <w:ind w:left="720"/>
        <w:rPr>
          <w:szCs w:val="22"/>
        </w:rPr>
      </w:pPr>
    </w:p>
    <w:p w:rsidR="00B04B6D" w:rsidRPr="001D5F6B" w:rsidRDefault="00B04B6D" w:rsidP="00235C4E">
      <w:pPr>
        <w:pStyle w:val="StandaardSV"/>
        <w:ind w:left="708"/>
        <w:rPr>
          <w:szCs w:val="22"/>
        </w:rPr>
      </w:pPr>
      <w:r w:rsidRPr="001D5F6B">
        <w:rPr>
          <w:szCs w:val="22"/>
        </w:rPr>
        <w:t xml:space="preserve">Producenten kunnen een Beschermde Oorsprongsbenaming (BOB) of Beschermde geografische aanduiding (BGA) of een Gegarandeerde traditionele specialiteit (GTS) voor landbouwproducten of levensmiddelen aanvragen voor de Vlaamse streekproducten die zij produceren. </w:t>
      </w:r>
    </w:p>
    <w:p w:rsidR="00B63111" w:rsidRPr="001D5F6B" w:rsidRDefault="00B63111" w:rsidP="00235C4E">
      <w:pPr>
        <w:pStyle w:val="StandaardSV"/>
        <w:ind w:left="708"/>
        <w:rPr>
          <w:rFonts w:eastAsiaTheme="minorHAnsi"/>
          <w:b/>
          <w:bCs/>
          <w:szCs w:val="22"/>
          <w:lang w:val="nl-BE" w:eastAsia="en-US"/>
        </w:rPr>
      </w:pPr>
    </w:p>
    <w:p w:rsidR="00B63111" w:rsidRPr="001D5F6B" w:rsidRDefault="00B63111" w:rsidP="00235C4E">
      <w:pPr>
        <w:pStyle w:val="StandaardSV"/>
        <w:ind w:left="708"/>
        <w:rPr>
          <w:rFonts w:eastAsiaTheme="minorHAnsi"/>
          <w:b/>
          <w:bCs/>
          <w:szCs w:val="22"/>
          <w:lang w:val="nl-BE" w:eastAsia="en-US"/>
        </w:rPr>
      </w:pPr>
      <w:r w:rsidRPr="001D5F6B">
        <w:rPr>
          <w:rFonts w:eastAsiaTheme="minorHAnsi"/>
          <w:b/>
          <w:bCs/>
          <w:szCs w:val="22"/>
          <w:lang w:val="nl-BE" w:eastAsia="en-US"/>
        </w:rPr>
        <w:t>Deelname door landbouwers aan voedselkwaliteitsregelingen (maatregel 132)</w:t>
      </w:r>
    </w:p>
    <w:p w:rsidR="001D5F6B" w:rsidRPr="001D5F6B" w:rsidRDefault="00B04B6D" w:rsidP="00235C4E">
      <w:pPr>
        <w:pStyle w:val="StandaardSV"/>
        <w:ind w:left="708"/>
        <w:rPr>
          <w:szCs w:val="22"/>
        </w:rPr>
      </w:pPr>
      <w:r w:rsidRPr="001D5F6B">
        <w:rPr>
          <w:szCs w:val="22"/>
        </w:rPr>
        <w:t xml:space="preserve">Via maatregel 132-B van het PDPO II (as 1) wordt steun gegeven aan de producenten die gebruik maken van een BOB of BGA ter vergoeding van de controlekosten die gepaard gaan met het gebruik van deze beschermde benamingen. Concreet komen de producenten van de Vlaams-Brabantse tafeldruif, erkend als BOB, en de producenten van het Brussels grondwitloof, erkend als BGA, in aanmerking voor deze steun. Het gaat om een bedrag van maximaal 120 € per producent. </w:t>
      </w:r>
      <w:r w:rsidR="001D5F6B" w:rsidRPr="001D5F6B">
        <w:rPr>
          <w:szCs w:val="22"/>
        </w:rPr>
        <w:t>De producenten situeren zich in Vlaams-Brabant.</w:t>
      </w:r>
    </w:p>
    <w:p w:rsidR="001D5F6B" w:rsidRPr="001D5F6B" w:rsidRDefault="001D5F6B" w:rsidP="00235C4E">
      <w:pPr>
        <w:pStyle w:val="StandaardSV"/>
        <w:ind w:left="708"/>
        <w:rPr>
          <w:szCs w:val="22"/>
        </w:rPr>
      </w:pPr>
    </w:p>
    <w:p w:rsidR="00B04B6D" w:rsidRPr="001D5F6B" w:rsidRDefault="00B04B6D" w:rsidP="00235C4E">
      <w:pPr>
        <w:pStyle w:val="StandaardSV"/>
        <w:ind w:left="708"/>
        <w:rPr>
          <w:rFonts w:eastAsiaTheme="minorHAnsi"/>
          <w:szCs w:val="22"/>
          <w:lang w:val="nl-BE" w:eastAsia="en-US"/>
        </w:rPr>
      </w:pPr>
      <w:r w:rsidRPr="001D5F6B">
        <w:rPr>
          <w:szCs w:val="22"/>
        </w:rPr>
        <w:t xml:space="preserve">In 2012 </w:t>
      </w:r>
      <w:r w:rsidRPr="001D5F6B">
        <w:rPr>
          <w:rFonts w:eastAsiaTheme="minorHAnsi"/>
          <w:szCs w:val="22"/>
          <w:lang w:val="nl-BE" w:eastAsia="en-US"/>
        </w:rPr>
        <w:t xml:space="preserve">kregen 36 producenten van Brussels Grondwitloof (BGA) of Vlaams-Brabantse Tafeldruif </w:t>
      </w:r>
      <w:r w:rsidR="001D5F6B" w:rsidRPr="001D5F6B">
        <w:rPr>
          <w:rFonts w:eastAsiaTheme="minorHAnsi"/>
          <w:szCs w:val="22"/>
          <w:lang w:val="nl-BE" w:eastAsia="en-US"/>
        </w:rPr>
        <w:t>(</w:t>
      </w:r>
      <w:r w:rsidRPr="001D5F6B">
        <w:rPr>
          <w:rFonts w:eastAsiaTheme="minorHAnsi"/>
          <w:szCs w:val="22"/>
          <w:lang w:val="nl-BE" w:eastAsia="en-US"/>
        </w:rPr>
        <w:t>BOB) deze steun voor een bedrag van 4320 €.</w:t>
      </w:r>
      <w:r w:rsidR="00B63111" w:rsidRPr="001D5F6B">
        <w:rPr>
          <w:rFonts w:eastAsiaTheme="minorHAnsi"/>
          <w:szCs w:val="22"/>
          <w:lang w:val="nl-BE" w:eastAsia="en-US"/>
        </w:rPr>
        <w:t xml:space="preserve"> </w:t>
      </w:r>
    </w:p>
    <w:p w:rsidR="001D5F6B" w:rsidRPr="001D5F6B" w:rsidRDefault="001D5F6B" w:rsidP="00235C4E">
      <w:pPr>
        <w:pStyle w:val="StandaardSV"/>
        <w:ind w:left="708"/>
        <w:rPr>
          <w:rFonts w:eastAsiaTheme="minorHAnsi"/>
          <w:szCs w:val="22"/>
          <w:lang w:val="nl-BE" w:eastAsia="en-US"/>
        </w:rPr>
      </w:pPr>
    </w:p>
    <w:p w:rsidR="001D5F6B" w:rsidRPr="001D5F6B" w:rsidRDefault="001D5F6B" w:rsidP="00235C4E">
      <w:pPr>
        <w:pStyle w:val="StandaardSV"/>
        <w:ind w:left="708"/>
        <w:rPr>
          <w:rFonts w:eastAsiaTheme="minorHAnsi"/>
          <w:szCs w:val="22"/>
          <w:lang w:val="nl-BE" w:eastAsia="en-US"/>
        </w:rPr>
      </w:pPr>
      <w:r w:rsidRPr="001D5F6B">
        <w:rPr>
          <w:rFonts w:eastAsiaTheme="minorHAnsi"/>
          <w:szCs w:val="22"/>
          <w:lang w:val="nl-BE" w:eastAsia="en-US"/>
        </w:rPr>
        <w:t xml:space="preserve">Voor 2013 zullen </w:t>
      </w:r>
      <w:r w:rsidR="009665E9">
        <w:rPr>
          <w:rFonts w:eastAsiaTheme="minorHAnsi"/>
          <w:szCs w:val="22"/>
          <w:lang w:val="nl-BE" w:eastAsia="en-US"/>
        </w:rPr>
        <w:t>33</w:t>
      </w:r>
      <w:r w:rsidRPr="001D5F6B">
        <w:rPr>
          <w:rFonts w:eastAsiaTheme="minorHAnsi"/>
          <w:szCs w:val="22"/>
          <w:lang w:val="nl-BE" w:eastAsia="en-US"/>
        </w:rPr>
        <w:t xml:space="preserve"> producenten van Brussels Grondwitloof (BGA) of Vlaams-Brabantse Tafeldruif (BOB) deze steun krijgen voor een bedrag van </w:t>
      </w:r>
      <w:r w:rsidR="009665E9">
        <w:rPr>
          <w:rFonts w:eastAsiaTheme="minorHAnsi"/>
          <w:szCs w:val="22"/>
          <w:lang w:val="nl-BE" w:eastAsia="en-US"/>
        </w:rPr>
        <w:t>3960</w:t>
      </w:r>
      <w:r w:rsidRPr="001D5F6B">
        <w:rPr>
          <w:rFonts w:eastAsiaTheme="minorHAnsi"/>
          <w:szCs w:val="22"/>
          <w:lang w:val="nl-BE" w:eastAsia="en-US"/>
        </w:rPr>
        <w:t xml:space="preserve"> €. Deze steun werd nog niet uitbetaald waardoor de definitieve cijfers voor 2013 nog niet gegeven kunnen worden.</w:t>
      </w:r>
    </w:p>
    <w:p w:rsidR="00B04B6D" w:rsidRPr="001D5F6B" w:rsidRDefault="00B04B6D" w:rsidP="009E3B0C">
      <w:pPr>
        <w:pStyle w:val="StandaardSV"/>
        <w:rPr>
          <w:rFonts w:eastAsiaTheme="minorHAnsi"/>
          <w:b/>
          <w:bCs/>
          <w:szCs w:val="22"/>
          <w:lang w:val="nl-BE" w:eastAsia="en-US"/>
        </w:rPr>
      </w:pPr>
    </w:p>
    <w:p w:rsidR="009E3B0C" w:rsidRPr="001D5F6B" w:rsidRDefault="00B04B6D" w:rsidP="00235C4E">
      <w:pPr>
        <w:pStyle w:val="StandaardSV"/>
        <w:ind w:left="708"/>
        <w:rPr>
          <w:b/>
          <w:szCs w:val="22"/>
        </w:rPr>
      </w:pPr>
      <w:r w:rsidRPr="001D5F6B">
        <w:rPr>
          <w:rFonts w:eastAsiaTheme="minorHAnsi"/>
          <w:b/>
          <w:bCs/>
          <w:szCs w:val="22"/>
          <w:lang w:val="nl-BE" w:eastAsia="en-US"/>
        </w:rPr>
        <w:t>Voorlichting en afzetbevordering van Vlaamse producten erkend als BOB/BGA/GTS (maatregel 133)</w:t>
      </w:r>
    </w:p>
    <w:p w:rsidR="001D5F6B" w:rsidRPr="001D5F6B" w:rsidRDefault="00B63111" w:rsidP="00235C4E">
      <w:pPr>
        <w:ind w:left="708"/>
        <w:jc w:val="both"/>
        <w:rPr>
          <w:rFonts w:eastAsiaTheme="minorHAnsi"/>
          <w:sz w:val="22"/>
          <w:szCs w:val="22"/>
          <w:lang w:val="nl-BE" w:eastAsia="en-US"/>
        </w:rPr>
      </w:pPr>
      <w:r w:rsidRPr="001D5F6B">
        <w:rPr>
          <w:sz w:val="22"/>
          <w:szCs w:val="22"/>
        </w:rPr>
        <w:t xml:space="preserve">Via de maatregel 133 van het PDPO II (as 1) kunnen  producentengroeperingen een subsidie aanvragen voor het voeren van activiteiten op het gebied van voorlichting en afzetbevordering voor landbouwproducten die erkend zijn als BOB/BGA/GTS. </w:t>
      </w:r>
      <w:r w:rsidRPr="001D5F6B">
        <w:rPr>
          <w:rFonts w:eastAsiaTheme="minorHAnsi"/>
          <w:sz w:val="22"/>
          <w:szCs w:val="22"/>
          <w:lang w:val="nl-BE" w:eastAsia="en-US"/>
        </w:rPr>
        <w:t>Twee programma’s, één programma voor de Vlaams-Brabantse tafeldruif (BOB) en één voor het Brusselse grondwitloof (BGA), werden goedgekeurd. De programma’s hebben betrekking op begunstigden in Vlaams-Braba</w:t>
      </w:r>
      <w:bookmarkStart w:id="0" w:name="_GoBack"/>
      <w:bookmarkEnd w:id="0"/>
      <w:r w:rsidRPr="001D5F6B">
        <w:rPr>
          <w:rFonts w:eastAsiaTheme="minorHAnsi"/>
          <w:sz w:val="22"/>
          <w:szCs w:val="22"/>
          <w:lang w:val="nl-BE" w:eastAsia="en-US"/>
        </w:rPr>
        <w:t xml:space="preserve">nt. </w:t>
      </w:r>
    </w:p>
    <w:p w:rsidR="001D5F6B" w:rsidRPr="001D5F6B" w:rsidRDefault="001D5F6B" w:rsidP="00235C4E">
      <w:pPr>
        <w:ind w:left="708"/>
        <w:jc w:val="both"/>
        <w:rPr>
          <w:rFonts w:eastAsiaTheme="minorHAnsi"/>
          <w:sz w:val="22"/>
          <w:szCs w:val="22"/>
          <w:lang w:val="nl-BE" w:eastAsia="en-US"/>
        </w:rPr>
      </w:pPr>
    </w:p>
    <w:p w:rsidR="00B63111" w:rsidRPr="001D5F6B" w:rsidRDefault="00B63111" w:rsidP="00235C4E">
      <w:pPr>
        <w:ind w:left="708"/>
        <w:jc w:val="both"/>
        <w:rPr>
          <w:sz w:val="22"/>
          <w:szCs w:val="22"/>
        </w:rPr>
      </w:pPr>
      <w:r w:rsidRPr="001D5F6B">
        <w:rPr>
          <w:rFonts w:eastAsiaTheme="minorHAnsi"/>
          <w:sz w:val="22"/>
          <w:szCs w:val="22"/>
          <w:lang w:val="nl-BE" w:eastAsia="en-US"/>
        </w:rPr>
        <w:t>Voor</w:t>
      </w:r>
      <w:r w:rsidR="00E36357">
        <w:rPr>
          <w:rFonts w:eastAsiaTheme="minorHAnsi"/>
          <w:sz w:val="22"/>
          <w:szCs w:val="22"/>
          <w:lang w:val="nl-BE" w:eastAsia="en-US"/>
        </w:rPr>
        <w:t xml:space="preserve"> beide programma’s samen werd voor</w:t>
      </w:r>
      <w:r w:rsidRPr="001D5F6B">
        <w:rPr>
          <w:rFonts w:eastAsiaTheme="minorHAnsi"/>
          <w:sz w:val="22"/>
          <w:szCs w:val="22"/>
          <w:lang w:val="nl-BE" w:eastAsia="en-US"/>
        </w:rPr>
        <w:t xml:space="preserve"> 2012 </w:t>
      </w:r>
      <w:r w:rsidR="00E36357">
        <w:rPr>
          <w:rFonts w:eastAsiaTheme="minorHAnsi"/>
          <w:sz w:val="22"/>
          <w:szCs w:val="22"/>
          <w:lang w:val="nl-BE" w:eastAsia="en-US"/>
        </w:rPr>
        <w:t xml:space="preserve">€ </w:t>
      </w:r>
      <w:r w:rsidR="00E36357" w:rsidRPr="00E36357">
        <w:rPr>
          <w:sz w:val="22"/>
          <w:szCs w:val="22"/>
        </w:rPr>
        <w:t>12</w:t>
      </w:r>
      <w:r w:rsidR="00E36357">
        <w:rPr>
          <w:sz w:val="22"/>
          <w:szCs w:val="22"/>
        </w:rPr>
        <w:t>.</w:t>
      </w:r>
      <w:r w:rsidR="00E36357" w:rsidRPr="00E36357">
        <w:rPr>
          <w:sz w:val="22"/>
          <w:szCs w:val="22"/>
        </w:rPr>
        <w:t xml:space="preserve">441,48 </w:t>
      </w:r>
      <w:r w:rsidR="00E36357">
        <w:rPr>
          <w:rFonts w:eastAsiaTheme="minorHAnsi"/>
          <w:sz w:val="22"/>
          <w:szCs w:val="22"/>
          <w:lang w:val="nl-BE" w:eastAsia="en-US"/>
        </w:rPr>
        <w:t>s</w:t>
      </w:r>
      <w:r w:rsidR="001D5F6B" w:rsidRPr="001D5F6B">
        <w:rPr>
          <w:rFonts w:eastAsiaTheme="minorHAnsi"/>
          <w:sz w:val="22"/>
          <w:szCs w:val="22"/>
          <w:lang w:val="nl-BE" w:eastAsia="en-US"/>
        </w:rPr>
        <w:t xml:space="preserve">teun </w:t>
      </w:r>
      <w:r w:rsidR="00E36357">
        <w:rPr>
          <w:rFonts w:eastAsiaTheme="minorHAnsi"/>
          <w:sz w:val="22"/>
          <w:szCs w:val="22"/>
          <w:lang w:val="nl-BE" w:eastAsia="en-US"/>
        </w:rPr>
        <w:t>toegekend</w:t>
      </w:r>
      <w:r w:rsidRPr="001D5F6B">
        <w:rPr>
          <w:rFonts w:eastAsiaTheme="minorHAnsi"/>
          <w:sz w:val="22"/>
          <w:szCs w:val="22"/>
          <w:lang w:val="nl-BE" w:eastAsia="en-US"/>
        </w:rPr>
        <w:t xml:space="preserve">. </w:t>
      </w:r>
    </w:p>
    <w:p w:rsidR="00B63111" w:rsidRPr="001D5F6B" w:rsidRDefault="00B63111" w:rsidP="00235C4E">
      <w:pPr>
        <w:pStyle w:val="StandaardSV"/>
        <w:ind w:left="708"/>
        <w:rPr>
          <w:szCs w:val="22"/>
        </w:rPr>
      </w:pPr>
    </w:p>
    <w:p w:rsidR="00B63111" w:rsidRPr="001D5F6B" w:rsidRDefault="001D5F6B" w:rsidP="00235C4E">
      <w:pPr>
        <w:ind w:left="708"/>
        <w:jc w:val="both"/>
        <w:rPr>
          <w:sz w:val="22"/>
          <w:szCs w:val="22"/>
        </w:rPr>
      </w:pPr>
      <w:r w:rsidRPr="001D5F6B">
        <w:rPr>
          <w:sz w:val="22"/>
          <w:szCs w:val="22"/>
        </w:rPr>
        <w:t>Voor 2013 w</w:t>
      </w:r>
      <w:r w:rsidR="00E36357">
        <w:rPr>
          <w:sz w:val="22"/>
          <w:szCs w:val="22"/>
        </w:rPr>
        <w:t>erd € 30.765 steun toegekend</w:t>
      </w:r>
      <w:r w:rsidRPr="001D5F6B">
        <w:rPr>
          <w:sz w:val="22"/>
          <w:szCs w:val="22"/>
        </w:rPr>
        <w:t xml:space="preserve"> </w:t>
      </w:r>
      <w:r w:rsidR="00BE110B" w:rsidRPr="001D5F6B">
        <w:rPr>
          <w:sz w:val="22"/>
          <w:szCs w:val="22"/>
        </w:rPr>
        <w:t>voor beide programma</w:t>
      </w:r>
      <w:r w:rsidR="00BE110B">
        <w:rPr>
          <w:sz w:val="22"/>
          <w:szCs w:val="22"/>
        </w:rPr>
        <w:t>’</w:t>
      </w:r>
      <w:r w:rsidR="00BE110B" w:rsidRPr="001D5F6B">
        <w:rPr>
          <w:sz w:val="22"/>
          <w:szCs w:val="22"/>
        </w:rPr>
        <w:t>s samen</w:t>
      </w:r>
      <w:r w:rsidRPr="001D5F6B">
        <w:rPr>
          <w:sz w:val="22"/>
          <w:szCs w:val="22"/>
        </w:rPr>
        <w:t>.</w:t>
      </w:r>
    </w:p>
    <w:p w:rsidR="00B63111" w:rsidRPr="001D5F6B" w:rsidRDefault="00B63111" w:rsidP="009E3B0C">
      <w:pPr>
        <w:pStyle w:val="StandaardSV"/>
        <w:rPr>
          <w:szCs w:val="22"/>
        </w:rPr>
      </w:pPr>
    </w:p>
    <w:p w:rsidR="00235C4E" w:rsidRDefault="00235C4E">
      <w:pPr>
        <w:spacing w:after="200" w:line="276" w:lineRule="auto"/>
        <w:rPr>
          <w:sz w:val="22"/>
          <w:u w:val="single"/>
        </w:rPr>
      </w:pPr>
      <w:r>
        <w:rPr>
          <w:u w:val="single"/>
        </w:rPr>
        <w:br w:type="page"/>
      </w:r>
    </w:p>
    <w:p w:rsidR="00B63111" w:rsidRDefault="00F210EB" w:rsidP="00F210EB">
      <w:pPr>
        <w:pStyle w:val="StandaardSV"/>
        <w:numPr>
          <w:ilvl w:val="0"/>
          <w:numId w:val="2"/>
        </w:numPr>
        <w:rPr>
          <w:u w:val="single"/>
        </w:rPr>
      </w:pPr>
      <w:r w:rsidRPr="00F210EB">
        <w:rPr>
          <w:u w:val="single"/>
        </w:rPr>
        <w:lastRenderedPageBreak/>
        <w:t xml:space="preserve">Steun via as 3 en as 4 </w:t>
      </w:r>
    </w:p>
    <w:p w:rsidR="00767F78" w:rsidRPr="00F210EB" w:rsidRDefault="00767F78" w:rsidP="00767F78">
      <w:pPr>
        <w:pStyle w:val="StandaardSV"/>
        <w:ind w:left="360"/>
        <w:rPr>
          <w:u w:val="single"/>
        </w:rPr>
      </w:pPr>
    </w:p>
    <w:p w:rsidR="00F210EB" w:rsidRPr="009E3337" w:rsidRDefault="00F210EB" w:rsidP="00235C4E">
      <w:pPr>
        <w:pStyle w:val="StandaardSV"/>
        <w:ind w:left="708"/>
        <w:rPr>
          <w:szCs w:val="22"/>
        </w:rPr>
      </w:pPr>
      <w:r w:rsidRPr="009E3337">
        <w:rPr>
          <w:szCs w:val="22"/>
        </w:rPr>
        <w:t>Projecten rond hoeve- en streekproducten kunnen ook steun krijgen via as 3 en 4 (leader) van het PDPO II. Deze projecten worden beheerd door VLM. Het is niet mogelijk om alle projecten rond hoeve- en streekproducten uit de projectendatabank te halen omdat het thema hoeve-en streekproducten niet tot de thema-indeling behoort. In onderstaande tabel kunt u een inschatting vinden van projecten rond hoeve- en streekproducten via as 3 en 4.</w:t>
      </w:r>
    </w:p>
    <w:p w:rsidR="00F210EB" w:rsidRPr="009E3337" w:rsidRDefault="00F210EB" w:rsidP="00F210EB">
      <w:pPr>
        <w:pStyle w:val="StandaardSV"/>
        <w:rPr>
          <w:i/>
          <w:szCs w:val="22"/>
        </w:rPr>
      </w:pPr>
    </w:p>
    <w:tbl>
      <w:tblPr>
        <w:tblW w:w="7953" w:type="dxa"/>
        <w:tblInd w:w="55" w:type="dxa"/>
        <w:tblCellMar>
          <w:left w:w="70" w:type="dxa"/>
          <w:right w:w="70" w:type="dxa"/>
        </w:tblCellMar>
        <w:tblLook w:val="04A0" w:firstRow="1" w:lastRow="0" w:firstColumn="1" w:lastColumn="0" w:noHBand="0" w:noVBand="1"/>
      </w:tblPr>
      <w:tblGrid>
        <w:gridCol w:w="1716"/>
        <w:gridCol w:w="1701"/>
        <w:gridCol w:w="1418"/>
        <w:gridCol w:w="1701"/>
        <w:gridCol w:w="1417"/>
      </w:tblGrid>
      <w:tr w:rsidR="00F210EB" w:rsidRPr="00F210EB" w:rsidTr="00CF546F">
        <w:trPr>
          <w:trHeight w:val="28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provincie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totale projectkost 2012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cofinanciering</w:t>
            </w:r>
          </w:p>
        </w:tc>
        <w:tc>
          <w:tcPr>
            <w:tcW w:w="1701" w:type="dxa"/>
            <w:tcBorders>
              <w:top w:val="single" w:sz="4" w:space="0" w:color="auto"/>
              <w:left w:val="nil"/>
              <w:bottom w:val="single" w:sz="4" w:space="0" w:color="auto"/>
              <w:right w:val="nil"/>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totale projectkost 2013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cofinanciering</w:t>
            </w:r>
          </w:p>
        </w:tc>
      </w:tr>
      <w:tr w:rsidR="00F210EB" w:rsidRPr="00F210EB" w:rsidTr="00B93E0B">
        <w:trPr>
          <w:trHeight w:val="288"/>
        </w:trPr>
        <w:tc>
          <w:tcPr>
            <w:tcW w:w="1716" w:type="dxa"/>
            <w:tcBorders>
              <w:top w:val="nil"/>
              <w:left w:val="single" w:sz="4" w:space="0" w:color="auto"/>
              <w:bottom w:val="nil"/>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West-Vlaanderen</w:t>
            </w:r>
          </w:p>
        </w:tc>
        <w:tc>
          <w:tcPr>
            <w:tcW w:w="1701" w:type="dxa"/>
            <w:tcBorders>
              <w:top w:val="nil"/>
              <w:left w:val="nil"/>
              <w:bottom w:val="nil"/>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€ 219.567,7</w:t>
            </w:r>
          </w:p>
        </w:tc>
        <w:tc>
          <w:tcPr>
            <w:tcW w:w="1418" w:type="dxa"/>
            <w:tcBorders>
              <w:top w:val="nil"/>
              <w:left w:val="nil"/>
              <w:bottom w:val="nil"/>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58%</w:t>
            </w:r>
          </w:p>
        </w:tc>
        <w:tc>
          <w:tcPr>
            <w:tcW w:w="1701" w:type="dxa"/>
            <w:tcBorders>
              <w:top w:val="nil"/>
              <w:left w:val="nil"/>
              <w:bottom w:val="nil"/>
              <w:right w:val="nil"/>
            </w:tcBorders>
            <w:shd w:val="clear" w:color="auto" w:fill="auto"/>
            <w:noWrap/>
            <w:vAlign w:val="bottom"/>
          </w:tcPr>
          <w:p w:rsidR="00F210EB" w:rsidRPr="00F210EB" w:rsidRDefault="00F210EB" w:rsidP="00B93E0B">
            <w:pPr>
              <w:jc w:val="center"/>
              <w:rPr>
                <w:color w:val="000000"/>
                <w:sz w:val="22"/>
                <w:szCs w:val="22"/>
                <w:lang w:val="nl-BE" w:eastAsia="nl-BE"/>
              </w:rPr>
            </w:pPr>
          </w:p>
        </w:tc>
        <w:tc>
          <w:tcPr>
            <w:tcW w:w="1417" w:type="dxa"/>
            <w:tcBorders>
              <w:top w:val="nil"/>
              <w:left w:val="single" w:sz="4" w:space="0" w:color="auto"/>
              <w:bottom w:val="nil"/>
              <w:right w:val="single" w:sz="4" w:space="0" w:color="auto"/>
            </w:tcBorders>
            <w:shd w:val="clear" w:color="auto" w:fill="auto"/>
            <w:noWrap/>
            <w:vAlign w:val="bottom"/>
          </w:tcPr>
          <w:p w:rsidR="00F210EB" w:rsidRPr="00F210EB" w:rsidRDefault="00F210EB" w:rsidP="00B93E0B">
            <w:pPr>
              <w:jc w:val="center"/>
              <w:rPr>
                <w:color w:val="000000"/>
                <w:sz w:val="22"/>
                <w:szCs w:val="22"/>
                <w:lang w:val="nl-BE" w:eastAsia="nl-BE"/>
              </w:rPr>
            </w:pPr>
          </w:p>
        </w:tc>
      </w:tr>
      <w:tr w:rsidR="00F210EB" w:rsidRPr="00F210EB" w:rsidTr="00CF546F">
        <w:trPr>
          <w:trHeight w:val="288"/>
        </w:trPr>
        <w:tc>
          <w:tcPr>
            <w:tcW w:w="1716" w:type="dxa"/>
            <w:tcBorders>
              <w:top w:val="nil"/>
              <w:left w:val="single" w:sz="4" w:space="0" w:color="auto"/>
              <w:bottom w:val="nil"/>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Oost-Vlaanderen</w:t>
            </w:r>
          </w:p>
        </w:tc>
        <w:tc>
          <w:tcPr>
            <w:tcW w:w="1701" w:type="dxa"/>
            <w:tcBorders>
              <w:top w:val="nil"/>
              <w:left w:val="nil"/>
              <w:bottom w:val="nil"/>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€ 65.550,0</w:t>
            </w:r>
          </w:p>
        </w:tc>
        <w:tc>
          <w:tcPr>
            <w:tcW w:w="1418" w:type="dxa"/>
            <w:tcBorders>
              <w:top w:val="nil"/>
              <w:left w:val="nil"/>
              <w:bottom w:val="nil"/>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65%</w:t>
            </w:r>
          </w:p>
        </w:tc>
        <w:tc>
          <w:tcPr>
            <w:tcW w:w="1701" w:type="dxa"/>
            <w:tcBorders>
              <w:top w:val="nil"/>
              <w:left w:val="nil"/>
              <w:bottom w:val="nil"/>
              <w:right w:val="nil"/>
            </w:tcBorders>
            <w:shd w:val="clear" w:color="auto" w:fill="auto"/>
            <w:noWrap/>
            <w:vAlign w:val="bottom"/>
            <w:hideMark/>
          </w:tcPr>
          <w:p w:rsidR="00F210EB" w:rsidRPr="00F210EB" w:rsidRDefault="00F210EB" w:rsidP="00B93E0B">
            <w:pPr>
              <w:jc w:val="right"/>
              <w:rPr>
                <w:color w:val="000000"/>
                <w:sz w:val="22"/>
                <w:szCs w:val="22"/>
                <w:lang w:val="nl-BE" w:eastAsia="nl-BE"/>
              </w:rPr>
            </w:pPr>
            <w:r w:rsidRPr="00F210EB">
              <w:rPr>
                <w:color w:val="000000"/>
                <w:sz w:val="22"/>
                <w:szCs w:val="22"/>
                <w:lang w:val="nl-BE" w:eastAsia="nl-BE"/>
              </w:rPr>
              <w:t>€ 181.845,9</w:t>
            </w:r>
          </w:p>
        </w:tc>
        <w:tc>
          <w:tcPr>
            <w:tcW w:w="1417" w:type="dxa"/>
            <w:tcBorders>
              <w:top w:val="nil"/>
              <w:left w:val="single" w:sz="4" w:space="0" w:color="auto"/>
              <w:bottom w:val="nil"/>
              <w:right w:val="single" w:sz="4" w:space="0" w:color="auto"/>
            </w:tcBorders>
            <w:shd w:val="clear" w:color="auto" w:fill="auto"/>
            <w:noWrap/>
            <w:vAlign w:val="bottom"/>
            <w:hideMark/>
          </w:tcPr>
          <w:p w:rsidR="00F210EB" w:rsidRPr="00F210EB" w:rsidRDefault="00F210EB" w:rsidP="00B93E0B">
            <w:pPr>
              <w:jc w:val="right"/>
              <w:rPr>
                <w:color w:val="000000"/>
                <w:sz w:val="22"/>
                <w:szCs w:val="22"/>
                <w:lang w:val="nl-BE" w:eastAsia="nl-BE"/>
              </w:rPr>
            </w:pPr>
            <w:r w:rsidRPr="00F210EB">
              <w:rPr>
                <w:color w:val="000000"/>
                <w:sz w:val="22"/>
                <w:szCs w:val="22"/>
                <w:lang w:val="nl-BE" w:eastAsia="nl-BE"/>
              </w:rPr>
              <w:t>65%</w:t>
            </w:r>
          </w:p>
        </w:tc>
      </w:tr>
      <w:tr w:rsidR="00F210EB" w:rsidRPr="00F210EB" w:rsidTr="00CF546F">
        <w:trPr>
          <w:trHeight w:val="288"/>
        </w:trPr>
        <w:tc>
          <w:tcPr>
            <w:tcW w:w="1716" w:type="dxa"/>
            <w:tcBorders>
              <w:top w:val="nil"/>
              <w:left w:val="single" w:sz="4" w:space="0" w:color="auto"/>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Vlaams-Brabant</w:t>
            </w:r>
          </w:p>
        </w:tc>
        <w:tc>
          <w:tcPr>
            <w:tcW w:w="1701" w:type="dxa"/>
            <w:tcBorders>
              <w:top w:val="nil"/>
              <w:left w:val="nil"/>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€ 140.210,0</w:t>
            </w:r>
          </w:p>
        </w:tc>
        <w:tc>
          <w:tcPr>
            <w:tcW w:w="1418" w:type="dxa"/>
            <w:tcBorders>
              <w:top w:val="nil"/>
              <w:left w:val="nil"/>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63%</w:t>
            </w:r>
          </w:p>
        </w:tc>
        <w:tc>
          <w:tcPr>
            <w:tcW w:w="1701" w:type="dxa"/>
            <w:tcBorders>
              <w:top w:val="nil"/>
              <w:left w:val="nil"/>
              <w:right w:val="nil"/>
            </w:tcBorders>
            <w:shd w:val="clear" w:color="auto" w:fill="auto"/>
            <w:noWrap/>
            <w:vAlign w:val="bottom"/>
            <w:hideMark/>
          </w:tcPr>
          <w:p w:rsidR="00F210EB" w:rsidRPr="00F210EB" w:rsidRDefault="00F210EB" w:rsidP="00B93E0B">
            <w:pPr>
              <w:jc w:val="right"/>
              <w:rPr>
                <w:color w:val="000000"/>
                <w:sz w:val="22"/>
                <w:szCs w:val="22"/>
                <w:lang w:val="nl-BE" w:eastAsia="nl-BE"/>
              </w:rPr>
            </w:pPr>
            <w:r w:rsidRPr="00F210EB">
              <w:rPr>
                <w:color w:val="000000"/>
                <w:sz w:val="22"/>
                <w:szCs w:val="22"/>
                <w:lang w:val="nl-BE" w:eastAsia="nl-BE"/>
              </w:rPr>
              <w:t>€ 79.961,4</w:t>
            </w:r>
          </w:p>
        </w:tc>
        <w:tc>
          <w:tcPr>
            <w:tcW w:w="1417" w:type="dxa"/>
            <w:tcBorders>
              <w:top w:val="nil"/>
              <w:left w:val="single" w:sz="4" w:space="0" w:color="auto"/>
              <w:right w:val="single" w:sz="4" w:space="0" w:color="auto"/>
            </w:tcBorders>
            <w:shd w:val="clear" w:color="auto" w:fill="auto"/>
            <w:noWrap/>
            <w:vAlign w:val="bottom"/>
            <w:hideMark/>
          </w:tcPr>
          <w:p w:rsidR="00F210EB" w:rsidRPr="00F210EB" w:rsidRDefault="00F210EB" w:rsidP="00B93E0B">
            <w:pPr>
              <w:jc w:val="right"/>
              <w:rPr>
                <w:color w:val="000000"/>
                <w:sz w:val="22"/>
                <w:szCs w:val="22"/>
                <w:lang w:val="nl-BE" w:eastAsia="nl-BE"/>
              </w:rPr>
            </w:pPr>
            <w:r w:rsidRPr="00F210EB">
              <w:rPr>
                <w:color w:val="000000"/>
                <w:sz w:val="22"/>
                <w:szCs w:val="22"/>
                <w:lang w:val="nl-BE" w:eastAsia="nl-BE"/>
              </w:rPr>
              <w:t>62,5%</w:t>
            </w:r>
          </w:p>
        </w:tc>
      </w:tr>
      <w:tr w:rsidR="00CF546F" w:rsidRPr="009E3337" w:rsidTr="00B93E0B">
        <w:trPr>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210EB" w:rsidRPr="00F210EB" w:rsidRDefault="00F210EB" w:rsidP="00F210EB">
            <w:pPr>
              <w:rPr>
                <w:color w:val="000000"/>
                <w:sz w:val="22"/>
                <w:szCs w:val="22"/>
                <w:lang w:val="nl-BE" w:eastAsia="nl-BE"/>
              </w:rPr>
            </w:pPr>
            <w:r w:rsidRPr="00F210EB">
              <w:rPr>
                <w:color w:val="000000"/>
                <w:sz w:val="22"/>
                <w:szCs w:val="22"/>
                <w:lang w:val="nl-BE" w:eastAsia="nl-BE"/>
              </w:rPr>
              <w:t>Limburg</w:t>
            </w:r>
          </w:p>
        </w:tc>
        <w:tc>
          <w:tcPr>
            <w:tcW w:w="1701" w:type="dxa"/>
            <w:tcBorders>
              <w:top w:val="nil"/>
              <w:left w:val="nil"/>
              <w:bottom w:val="single" w:sz="4" w:space="0" w:color="auto"/>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€ 24.365,0</w:t>
            </w:r>
          </w:p>
        </w:tc>
        <w:tc>
          <w:tcPr>
            <w:tcW w:w="1418" w:type="dxa"/>
            <w:tcBorders>
              <w:top w:val="nil"/>
              <w:left w:val="nil"/>
              <w:bottom w:val="single" w:sz="4" w:space="0" w:color="auto"/>
              <w:right w:val="single" w:sz="4" w:space="0" w:color="auto"/>
            </w:tcBorders>
            <w:shd w:val="clear" w:color="auto" w:fill="auto"/>
            <w:noWrap/>
            <w:vAlign w:val="bottom"/>
            <w:hideMark/>
          </w:tcPr>
          <w:p w:rsidR="00F210EB" w:rsidRPr="00F210EB" w:rsidRDefault="00F210EB" w:rsidP="00F210EB">
            <w:pPr>
              <w:jc w:val="right"/>
              <w:rPr>
                <w:color w:val="000000"/>
                <w:sz w:val="22"/>
                <w:szCs w:val="22"/>
                <w:lang w:val="nl-BE" w:eastAsia="nl-BE"/>
              </w:rPr>
            </w:pPr>
            <w:r w:rsidRPr="00F210EB">
              <w:rPr>
                <w:color w:val="000000"/>
                <w:sz w:val="22"/>
                <w:szCs w:val="22"/>
                <w:lang w:val="nl-BE" w:eastAsia="nl-BE"/>
              </w:rPr>
              <w:t>65%</w:t>
            </w:r>
          </w:p>
        </w:tc>
        <w:tc>
          <w:tcPr>
            <w:tcW w:w="1701" w:type="dxa"/>
            <w:tcBorders>
              <w:top w:val="nil"/>
              <w:left w:val="nil"/>
              <w:bottom w:val="single" w:sz="4" w:space="0" w:color="auto"/>
              <w:right w:val="nil"/>
            </w:tcBorders>
            <w:shd w:val="clear" w:color="auto" w:fill="auto"/>
            <w:noWrap/>
            <w:vAlign w:val="bottom"/>
          </w:tcPr>
          <w:p w:rsidR="00F210EB" w:rsidRPr="00F210EB" w:rsidRDefault="00F210EB" w:rsidP="00B93E0B">
            <w:pPr>
              <w:jc w:val="right"/>
              <w:rPr>
                <w:color w:val="000000"/>
                <w:sz w:val="22"/>
                <w:szCs w:val="22"/>
                <w:lang w:val="nl-BE" w:eastAsia="nl-BE"/>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F210EB" w:rsidRPr="00F210EB" w:rsidRDefault="00F210EB" w:rsidP="00B93E0B">
            <w:pPr>
              <w:jc w:val="right"/>
              <w:rPr>
                <w:color w:val="000000"/>
                <w:sz w:val="22"/>
                <w:szCs w:val="22"/>
                <w:lang w:val="nl-BE" w:eastAsia="nl-BE"/>
              </w:rPr>
            </w:pPr>
          </w:p>
        </w:tc>
      </w:tr>
      <w:tr w:rsidR="00CF546F" w:rsidRPr="009E3337" w:rsidTr="00CF546F">
        <w:trPr>
          <w:trHeight w:val="28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546F" w:rsidRPr="009E3337" w:rsidRDefault="00CF546F" w:rsidP="00F210EB">
            <w:pPr>
              <w:rPr>
                <w:color w:val="000000"/>
                <w:sz w:val="22"/>
                <w:szCs w:val="22"/>
                <w:lang w:val="nl-BE" w:eastAsia="nl-BE"/>
              </w:rPr>
            </w:pPr>
            <w:r w:rsidRPr="009E3337">
              <w:rPr>
                <w:color w:val="000000"/>
                <w:sz w:val="22"/>
                <w:szCs w:val="22"/>
                <w:lang w:val="nl-BE" w:eastAsia="nl-BE"/>
              </w:rPr>
              <w:t xml:space="preserve">Totaal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F546F" w:rsidRPr="009E3337" w:rsidRDefault="00B93E0B" w:rsidP="00F210EB">
            <w:pPr>
              <w:jc w:val="right"/>
              <w:rPr>
                <w:color w:val="000000"/>
                <w:sz w:val="22"/>
                <w:szCs w:val="22"/>
                <w:lang w:val="nl-BE" w:eastAsia="nl-BE"/>
              </w:rPr>
            </w:pPr>
            <w:r w:rsidRPr="009E3337">
              <w:rPr>
                <w:color w:val="000000"/>
                <w:sz w:val="22"/>
                <w:szCs w:val="22"/>
                <w:lang w:val="nl-BE" w:eastAsia="nl-BE"/>
              </w:rPr>
              <w:t>€ 449.692,7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F546F" w:rsidRPr="009E3337" w:rsidRDefault="00CF546F" w:rsidP="00F210EB">
            <w:pPr>
              <w:jc w:val="right"/>
              <w:rPr>
                <w:color w:val="000000"/>
                <w:sz w:val="22"/>
                <w:szCs w:val="22"/>
                <w:lang w:val="nl-BE" w:eastAsia="nl-BE"/>
              </w:rPr>
            </w:pPr>
          </w:p>
        </w:tc>
        <w:tc>
          <w:tcPr>
            <w:tcW w:w="1701" w:type="dxa"/>
            <w:tcBorders>
              <w:top w:val="single" w:sz="4" w:space="0" w:color="auto"/>
              <w:left w:val="nil"/>
              <w:bottom w:val="single" w:sz="4" w:space="0" w:color="auto"/>
              <w:right w:val="nil"/>
            </w:tcBorders>
            <w:shd w:val="clear" w:color="auto" w:fill="auto"/>
            <w:noWrap/>
            <w:vAlign w:val="bottom"/>
          </w:tcPr>
          <w:p w:rsidR="00CF546F" w:rsidRPr="009E3337" w:rsidRDefault="00CF546F" w:rsidP="00CF546F">
            <w:pPr>
              <w:jc w:val="right"/>
              <w:rPr>
                <w:color w:val="000000"/>
                <w:sz w:val="22"/>
                <w:szCs w:val="22"/>
                <w:lang w:val="nl-BE" w:eastAsia="nl-BE"/>
              </w:rPr>
            </w:pPr>
            <w:r w:rsidRPr="009E3337">
              <w:rPr>
                <w:color w:val="000000"/>
                <w:sz w:val="22"/>
                <w:szCs w:val="22"/>
                <w:lang w:val="nl-BE" w:eastAsia="nl-BE"/>
              </w:rPr>
              <w:t xml:space="preserve">€ </w:t>
            </w:r>
            <w:r w:rsidR="00BE110B">
              <w:rPr>
                <w:color w:val="000000"/>
                <w:sz w:val="22"/>
                <w:szCs w:val="22"/>
                <w:lang w:val="nl-BE" w:eastAsia="nl-BE"/>
              </w:rPr>
              <w:t>2</w:t>
            </w:r>
            <w:r w:rsidRPr="009E3337">
              <w:rPr>
                <w:color w:val="000000"/>
                <w:sz w:val="22"/>
                <w:szCs w:val="22"/>
                <w:lang w:val="nl-BE" w:eastAsia="nl-BE"/>
              </w:rPr>
              <w:t>61.807,2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546F" w:rsidRPr="009E3337" w:rsidRDefault="00CF546F" w:rsidP="00F210EB">
            <w:pPr>
              <w:rPr>
                <w:color w:val="000000"/>
                <w:sz w:val="22"/>
                <w:szCs w:val="22"/>
                <w:lang w:val="nl-BE" w:eastAsia="nl-BE"/>
              </w:rPr>
            </w:pPr>
          </w:p>
        </w:tc>
      </w:tr>
    </w:tbl>
    <w:p w:rsidR="00F210EB" w:rsidRPr="0025216F" w:rsidRDefault="00F210EB" w:rsidP="00F210EB">
      <w:pPr>
        <w:pStyle w:val="StandaardSV"/>
        <w:rPr>
          <w:i/>
          <w:szCs w:val="22"/>
        </w:rPr>
      </w:pPr>
    </w:p>
    <w:sectPr w:rsidR="00F210EB" w:rsidRPr="00252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7395"/>
    <w:multiLevelType w:val="hybridMultilevel"/>
    <w:tmpl w:val="CA2EE9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E80256F"/>
    <w:multiLevelType w:val="hybridMultilevel"/>
    <w:tmpl w:val="59EAC4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70180BF3"/>
    <w:multiLevelType w:val="hybridMultilevel"/>
    <w:tmpl w:val="08EA5A4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0C"/>
    <w:rsid w:val="00074188"/>
    <w:rsid w:val="001D5F6B"/>
    <w:rsid w:val="00235C4E"/>
    <w:rsid w:val="003A2094"/>
    <w:rsid w:val="00400164"/>
    <w:rsid w:val="004C3D41"/>
    <w:rsid w:val="004E50F3"/>
    <w:rsid w:val="00767F78"/>
    <w:rsid w:val="008221A2"/>
    <w:rsid w:val="008D5785"/>
    <w:rsid w:val="009665E9"/>
    <w:rsid w:val="009E3337"/>
    <w:rsid w:val="009E3B0C"/>
    <w:rsid w:val="00A2716E"/>
    <w:rsid w:val="00AD31C1"/>
    <w:rsid w:val="00AF5141"/>
    <w:rsid w:val="00B04B6D"/>
    <w:rsid w:val="00B63111"/>
    <w:rsid w:val="00B93E0B"/>
    <w:rsid w:val="00BE110B"/>
    <w:rsid w:val="00C72F0C"/>
    <w:rsid w:val="00CF546F"/>
    <w:rsid w:val="00D532E9"/>
    <w:rsid w:val="00E36357"/>
    <w:rsid w:val="00F210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B0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E3B0C"/>
    <w:pPr>
      <w:jc w:val="both"/>
    </w:pPr>
    <w:rPr>
      <w:b/>
      <w:smallCaps/>
      <w:sz w:val="22"/>
    </w:rPr>
  </w:style>
  <w:style w:type="paragraph" w:customStyle="1" w:styleId="StandaardSV">
    <w:name w:val="Standaard SV"/>
    <w:basedOn w:val="Standaard"/>
    <w:rsid w:val="009E3B0C"/>
    <w:pPr>
      <w:jc w:val="both"/>
    </w:pPr>
    <w:rPr>
      <w:sz w:val="22"/>
    </w:rPr>
  </w:style>
  <w:style w:type="paragraph" w:styleId="Lijstalinea">
    <w:name w:val="List Paragraph"/>
    <w:basedOn w:val="Standaard"/>
    <w:uiPriority w:val="34"/>
    <w:qFormat/>
    <w:rsid w:val="001D5F6B"/>
    <w:pPr>
      <w:ind w:left="720"/>
      <w:contextualSpacing/>
    </w:pPr>
  </w:style>
  <w:style w:type="paragraph" w:styleId="Ballontekst">
    <w:name w:val="Balloon Text"/>
    <w:basedOn w:val="Standaard"/>
    <w:link w:val="BallontekstChar"/>
    <w:uiPriority w:val="99"/>
    <w:semiHidden/>
    <w:unhideWhenUsed/>
    <w:rsid w:val="00AF5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14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B0C"/>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9E3B0C"/>
    <w:pPr>
      <w:jc w:val="both"/>
    </w:pPr>
    <w:rPr>
      <w:b/>
      <w:smallCaps/>
      <w:sz w:val="22"/>
    </w:rPr>
  </w:style>
  <w:style w:type="paragraph" w:customStyle="1" w:styleId="StandaardSV">
    <w:name w:val="Standaard SV"/>
    <w:basedOn w:val="Standaard"/>
    <w:rsid w:val="009E3B0C"/>
    <w:pPr>
      <w:jc w:val="both"/>
    </w:pPr>
    <w:rPr>
      <w:sz w:val="22"/>
    </w:rPr>
  </w:style>
  <w:style w:type="paragraph" w:styleId="Lijstalinea">
    <w:name w:val="List Paragraph"/>
    <w:basedOn w:val="Standaard"/>
    <w:uiPriority w:val="34"/>
    <w:qFormat/>
    <w:rsid w:val="001D5F6B"/>
    <w:pPr>
      <w:ind w:left="720"/>
      <w:contextualSpacing/>
    </w:pPr>
  </w:style>
  <w:style w:type="paragraph" w:styleId="Ballontekst">
    <w:name w:val="Balloon Text"/>
    <w:basedOn w:val="Standaard"/>
    <w:link w:val="BallontekstChar"/>
    <w:uiPriority w:val="99"/>
    <w:semiHidden/>
    <w:unhideWhenUsed/>
    <w:rsid w:val="00AF5141"/>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14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1569">
      <w:bodyDiv w:val="1"/>
      <w:marLeft w:val="0"/>
      <w:marRight w:val="0"/>
      <w:marTop w:val="0"/>
      <w:marBottom w:val="0"/>
      <w:divBdr>
        <w:top w:val="none" w:sz="0" w:space="0" w:color="auto"/>
        <w:left w:val="none" w:sz="0" w:space="0" w:color="auto"/>
        <w:bottom w:val="none" w:sz="0" w:space="0" w:color="auto"/>
        <w:right w:val="none" w:sz="0" w:space="0" w:color="auto"/>
      </w:divBdr>
    </w:div>
    <w:div w:id="1088693208">
      <w:bodyDiv w:val="1"/>
      <w:marLeft w:val="0"/>
      <w:marRight w:val="0"/>
      <w:marTop w:val="0"/>
      <w:marBottom w:val="0"/>
      <w:divBdr>
        <w:top w:val="none" w:sz="0" w:space="0" w:color="auto"/>
        <w:left w:val="none" w:sz="0" w:space="0" w:color="auto"/>
        <w:bottom w:val="none" w:sz="0" w:space="0" w:color="auto"/>
        <w:right w:val="none" w:sz="0" w:space="0" w:color="auto"/>
      </w:divBdr>
    </w:div>
    <w:div w:id="14537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cp:lastPrinted>2014-04-29T10:24:00Z</cp:lastPrinted>
  <dcterms:created xsi:type="dcterms:W3CDTF">2014-05-12T07:49:00Z</dcterms:created>
  <dcterms:modified xsi:type="dcterms:W3CDTF">2014-05-12T07:51:00Z</dcterms:modified>
</cp:coreProperties>
</file>