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1C6C" w14:textId="77777777" w:rsidR="005841B4" w:rsidRPr="005F6D01" w:rsidRDefault="005841B4" w:rsidP="005841B4">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14:paraId="218F4B54" w14:textId="77777777" w:rsidR="005841B4" w:rsidRPr="005F6D01" w:rsidRDefault="005841B4" w:rsidP="005841B4">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3073B326"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92507B">
            <w:rPr>
              <w:sz w:val="22"/>
              <w:szCs w:val="22"/>
              <w:lang w:val="nl-BE"/>
            </w:rPr>
            <w:t>543</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26T00:00:00Z">
            <w:dateFormat w:val="d MMMM yyyy"/>
            <w:lid w:val="nl-BE"/>
            <w:storeMappedDataAs w:val="dateTime"/>
            <w:calendar w:val="gregorian"/>
          </w:date>
        </w:sdtPr>
        <w:sdtEndPr/>
        <w:sdtContent>
          <w:r w:rsidR="0092507B">
            <w:rPr>
              <w:sz w:val="22"/>
              <w:szCs w:val="22"/>
              <w:lang w:val="nl-BE"/>
            </w:rPr>
            <w:t>26 maart 2014</w:t>
          </w:r>
        </w:sdtContent>
      </w:sdt>
    </w:p>
    <w:p w14:paraId="6DE63957" w14:textId="661E58F4"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92507B">
            <w:rPr>
              <w:b/>
              <w:caps/>
              <w:sz w:val="18"/>
              <w:szCs w:val="22"/>
              <w:lang w:val="nl-BE"/>
            </w:rPr>
            <w:t>Jos De Meyer</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DF4F6D">
          <w:pgSz w:w="11906" w:h="16838"/>
          <w:pgMar w:top="1418" w:right="1418" w:bottom="1418" w:left="1418" w:header="709" w:footer="709" w:gutter="0"/>
          <w:cols w:space="708"/>
          <w:docGrid w:linePitch="360"/>
        </w:sectPr>
      </w:pPr>
    </w:p>
    <w:p w14:paraId="1C911415" w14:textId="77777777" w:rsidR="0068216A" w:rsidRPr="005628FF" w:rsidRDefault="0068216A" w:rsidP="003F1093">
      <w:pPr>
        <w:jc w:val="both"/>
        <w:rPr>
          <w:sz w:val="22"/>
          <w:szCs w:val="22"/>
        </w:rPr>
      </w:pPr>
    </w:p>
    <w:p w14:paraId="2DAFC2A9" w14:textId="77777777" w:rsidR="0042412A" w:rsidRPr="001305C3" w:rsidRDefault="0042412A" w:rsidP="001305C3">
      <w:pPr>
        <w:pStyle w:val="StandaardSV"/>
        <w:rPr>
          <w:szCs w:val="22"/>
        </w:rPr>
      </w:pPr>
    </w:p>
    <w:p w14:paraId="7FC91296" w14:textId="77777777" w:rsidR="00E82ABE" w:rsidRDefault="0042412A" w:rsidP="00D73B75">
      <w:pPr>
        <w:pStyle w:val="StandaardSV"/>
        <w:numPr>
          <w:ilvl w:val="0"/>
          <w:numId w:val="18"/>
        </w:numPr>
        <w:rPr>
          <w:szCs w:val="22"/>
        </w:rPr>
      </w:pPr>
      <w:r w:rsidRPr="00E82ABE">
        <w:rPr>
          <w:szCs w:val="22"/>
        </w:rPr>
        <w:t>De gemiddelde kostprijs per leerling in de leertijd bedraagt ongeveer 2.900 euro.</w:t>
      </w:r>
    </w:p>
    <w:p w14:paraId="71302852" w14:textId="77777777" w:rsidR="00E82ABE" w:rsidRDefault="00E82ABE" w:rsidP="00E82ABE">
      <w:pPr>
        <w:pStyle w:val="StandaardSV"/>
        <w:rPr>
          <w:szCs w:val="22"/>
        </w:rPr>
      </w:pPr>
    </w:p>
    <w:p w14:paraId="7DEB6C2A" w14:textId="5FDB0A8A" w:rsidR="0092507B" w:rsidRPr="00E82ABE" w:rsidRDefault="0092507B" w:rsidP="00D73B75">
      <w:pPr>
        <w:pStyle w:val="StandaardSV"/>
        <w:numPr>
          <w:ilvl w:val="0"/>
          <w:numId w:val="18"/>
        </w:numPr>
        <w:rPr>
          <w:szCs w:val="22"/>
        </w:rPr>
      </w:pPr>
      <w:r w:rsidRPr="00E82ABE">
        <w:rPr>
          <w:szCs w:val="22"/>
        </w:rPr>
        <w:t xml:space="preserve">De kostprijs voor een leerling </w:t>
      </w:r>
      <w:r w:rsidR="0042412A" w:rsidRPr="00E82ABE">
        <w:rPr>
          <w:szCs w:val="22"/>
        </w:rPr>
        <w:t xml:space="preserve">in de leertijd </w:t>
      </w:r>
      <w:r w:rsidRPr="00E82ABE">
        <w:rPr>
          <w:szCs w:val="22"/>
        </w:rPr>
        <w:t>wordt bepaald door:</w:t>
      </w:r>
    </w:p>
    <w:p w14:paraId="4BA182E4" w14:textId="77777777" w:rsidR="0092507B" w:rsidRPr="001305C3" w:rsidRDefault="0092507B" w:rsidP="001305C3">
      <w:pPr>
        <w:pStyle w:val="Lijstalinea"/>
        <w:numPr>
          <w:ilvl w:val="0"/>
          <w:numId w:val="15"/>
        </w:numPr>
        <w:spacing w:after="200" w:line="276" w:lineRule="auto"/>
        <w:contextualSpacing/>
        <w:jc w:val="both"/>
        <w:rPr>
          <w:rFonts w:ascii="Times New Roman" w:hAnsi="Times New Roman"/>
        </w:rPr>
      </w:pPr>
      <w:r w:rsidRPr="001305C3">
        <w:rPr>
          <w:rFonts w:ascii="Times New Roman" w:hAnsi="Times New Roman"/>
        </w:rPr>
        <w:t>De leervergoeding</w:t>
      </w:r>
    </w:p>
    <w:p w14:paraId="0E273395" w14:textId="77777777" w:rsidR="0092507B" w:rsidRPr="001305C3" w:rsidRDefault="0092507B" w:rsidP="001305C3">
      <w:pPr>
        <w:pStyle w:val="Lijstalinea"/>
        <w:numPr>
          <w:ilvl w:val="0"/>
          <w:numId w:val="15"/>
        </w:numPr>
        <w:spacing w:after="200" w:line="276" w:lineRule="auto"/>
        <w:contextualSpacing/>
        <w:jc w:val="both"/>
        <w:rPr>
          <w:rFonts w:ascii="Times New Roman" w:hAnsi="Times New Roman"/>
        </w:rPr>
      </w:pPr>
      <w:r w:rsidRPr="001305C3">
        <w:rPr>
          <w:rFonts w:ascii="Times New Roman" w:hAnsi="Times New Roman"/>
        </w:rPr>
        <w:t xml:space="preserve">De RSZ-bijdragen </w:t>
      </w:r>
    </w:p>
    <w:p w14:paraId="10F28AF0" w14:textId="77777777" w:rsidR="0092507B" w:rsidRPr="001305C3" w:rsidRDefault="0092507B" w:rsidP="001305C3">
      <w:pPr>
        <w:pStyle w:val="Lijstalinea"/>
        <w:numPr>
          <w:ilvl w:val="0"/>
          <w:numId w:val="15"/>
        </w:numPr>
        <w:spacing w:after="200" w:line="276" w:lineRule="auto"/>
        <w:contextualSpacing/>
        <w:jc w:val="both"/>
        <w:rPr>
          <w:rFonts w:ascii="Times New Roman" w:hAnsi="Times New Roman"/>
        </w:rPr>
      </w:pPr>
      <w:r w:rsidRPr="001305C3">
        <w:rPr>
          <w:rFonts w:ascii="Times New Roman" w:hAnsi="Times New Roman"/>
        </w:rPr>
        <w:t>Externe kosten (arbeidsongevallenverzekering, externe dienst, sociaal secretariaat)</w:t>
      </w:r>
    </w:p>
    <w:p w14:paraId="43C8C851" w14:textId="77777777" w:rsidR="0092507B" w:rsidRPr="001305C3" w:rsidRDefault="0092507B" w:rsidP="001305C3">
      <w:pPr>
        <w:pStyle w:val="Lijstalinea"/>
        <w:jc w:val="both"/>
        <w:rPr>
          <w:rFonts w:ascii="Times New Roman" w:hAnsi="Times New Roman"/>
        </w:rPr>
      </w:pPr>
    </w:p>
    <w:p w14:paraId="08B9AEEF" w14:textId="77777777" w:rsidR="0092507B" w:rsidRPr="001305C3" w:rsidRDefault="0092507B" w:rsidP="00DF4F6D">
      <w:pPr>
        <w:ind w:left="360"/>
        <w:jc w:val="both"/>
        <w:rPr>
          <w:sz w:val="22"/>
          <w:szCs w:val="22"/>
        </w:rPr>
      </w:pPr>
      <w:r w:rsidRPr="001305C3">
        <w:rPr>
          <w:sz w:val="22"/>
          <w:szCs w:val="22"/>
          <w:u w:val="single"/>
        </w:rPr>
        <w:t>De leervergoeding</w:t>
      </w:r>
      <w:r w:rsidRPr="001305C3">
        <w:rPr>
          <w:sz w:val="22"/>
          <w:szCs w:val="22"/>
        </w:rPr>
        <w:t xml:space="preserve"> schommelt tussen de 370,81  en de 520,08 euro bruto per maand afhankelijk van het opleidingsjaar waarin de leerling zich bevindt en de leeftijd van de jongere. </w:t>
      </w:r>
    </w:p>
    <w:p w14:paraId="5678C2B1" w14:textId="77777777" w:rsidR="0092507B" w:rsidRPr="001305C3" w:rsidRDefault="0092507B" w:rsidP="00DF4F6D">
      <w:pPr>
        <w:ind w:left="360"/>
        <w:jc w:val="both"/>
        <w:rPr>
          <w:sz w:val="22"/>
          <w:szCs w:val="22"/>
        </w:rPr>
      </w:pPr>
    </w:p>
    <w:p w14:paraId="71D1DF28" w14:textId="1863AD4F" w:rsidR="0092507B" w:rsidRPr="001305C3" w:rsidRDefault="0092507B" w:rsidP="00DF4F6D">
      <w:pPr>
        <w:ind w:left="360"/>
        <w:jc w:val="both"/>
        <w:rPr>
          <w:sz w:val="22"/>
          <w:szCs w:val="22"/>
        </w:rPr>
      </w:pPr>
      <w:r w:rsidRPr="001305C3">
        <w:rPr>
          <w:sz w:val="22"/>
          <w:szCs w:val="22"/>
        </w:rPr>
        <w:t xml:space="preserve">De </w:t>
      </w:r>
      <w:r w:rsidRPr="001305C3">
        <w:rPr>
          <w:sz w:val="22"/>
          <w:szCs w:val="22"/>
          <w:u w:val="single"/>
        </w:rPr>
        <w:t>RSZ-bijdragen</w:t>
      </w:r>
      <w:r w:rsidRPr="001305C3">
        <w:rPr>
          <w:sz w:val="22"/>
          <w:szCs w:val="22"/>
        </w:rPr>
        <w:t xml:space="preserve"> werkgever zijn beperkt (jaarlijkse vakantie, arbeidsongevallen en beroepsziekten en enkele kleinere bijdragen) tot 31 december van het jaar waarin de jongere 18 wordt. Tijdens de beperkte onderwerping kan er automatisch gebruik gemaakt worden van de </w:t>
      </w:r>
      <w:proofErr w:type="spellStart"/>
      <w:r w:rsidRPr="001305C3">
        <w:rPr>
          <w:sz w:val="22"/>
          <w:szCs w:val="22"/>
        </w:rPr>
        <w:t>doelgroepvermindering</w:t>
      </w:r>
      <w:proofErr w:type="spellEnd"/>
      <w:r w:rsidRPr="001305C3">
        <w:rPr>
          <w:sz w:val="22"/>
          <w:szCs w:val="22"/>
        </w:rPr>
        <w:t xml:space="preserve"> jongeren. Dit maakt dat de bijdragen voor arbeidsongevallen en beroepsziekten (tezamen 1,30%) kunnen worden gerecupereerd. </w:t>
      </w:r>
      <w:r w:rsidR="00A30F53">
        <w:rPr>
          <w:sz w:val="22"/>
          <w:szCs w:val="22"/>
        </w:rPr>
        <w:t xml:space="preserve">Ongeacht het statuut (arbeider of bediende) gaat het op jaarbasis voor de werkgever om een bijkomende kost van ongeveer 17%, dit zijn voornamelijk de bijdragen voor jaarlijkse vakantie. </w:t>
      </w:r>
    </w:p>
    <w:p w14:paraId="1B6B0016" w14:textId="770ED8D7" w:rsidR="0092507B" w:rsidRPr="001305C3" w:rsidRDefault="0092507B" w:rsidP="00DF4F6D">
      <w:pPr>
        <w:ind w:left="360"/>
        <w:jc w:val="both"/>
        <w:rPr>
          <w:sz w:val="22"/>
          <w:szCs w:val="22"/>
        </w:rPr>
      </w:pPr>
      <w:r w:rsidRPr="001305C3">
        <w:rPr>
          <w:sz w:val="22"/>
          <w:szCs w:val="22"/>
        </w:rPr>
        <w:t xml:space="preserve">Vanaf 1 januari van het jaar waarin de leerling 19 wordt, valt de leerling onder de volledige RSZ-onderwerping. Dit maakt dat er ook voor andere sectoren (pensioenen, werkloosheid, ziekte- en invaliditeit) bijdragen moeten worden betaald. De structurele vermindering, die automatisch kan worden toegepast, zorgt er voor dat de kost voor een leerling die valt onder de volledige RSZ-onderwerping, quasi dezelfde blijft als tijdens de beperkte onderwerping. </w:t>
      </w:r>
    </w:p>
    <w:p w14:paraId="72EF1DE3" w14:textId="77777777" w:rsidR="0092507B" w:rsidRPr="001305C3" w:rsidRDefault="0092507B" w:rsidP="00DF4F6D">
      <w:pPr>
        <w:ind w:left="360"/>
        <w:jc w:val="both"/>
        <w:rPr>
          <w:sz w:val="22"/>
          <w:szCs w:val="22"/>
        </w:rPr>
      </w:pPr>
    </w:p>
    <w:p w14:paraId="5A5A7BC2" w14:textId="77777777" w:rsidR="0092507B" w:rsidRPr="001305C3" w:rsidRDefault="0092507B" w:rsidP="00DF4F6D">
      <w:pPr>
        <w:ind w:left="360"/>
        <w:jc w:val="both"/>
        <w:rPr>
          <w:sz w:val="22"/>
          <w:szCs w:val="22"/>
        </w:rPr>
      </w:pPr>
      <w:r w:rsidRPr="001305C3">
        <w:rPr>
          <w:sz w:val="22"/>
          <w:szCs w:val="22"/>
        </w:rPr>
        <w:t xml:space="preserve">Daarbij komen nog een </w:t>
      </w:r>
      <w:r w:rsidRPr="001305C3">
        <w:rPr>
          <w:sz w:val="22"/>
          <w:szCs w:val="22"/>
          <w:u w:val="single"/>
        </w:rPr>
        <w:t>aantal vaste kosten</w:t>
      </w:r>
      <w:r w:rsidRPr="001305C3">
        <w:rPr>
          <w:sz w:val="22"/>
          <w:szCs w:val="22"/>
        </w:rPr>
        <w:t xml:space="preserve"> zoals deze voor de arbeidsongevallenverzekering, de kosten voor de externe dienst voor bescherming op het werk (arbeidsgeneeskundig onderzoek) en mogelijks deze van het sociaal secretariaat. Vooral de kostprijs van de arbeidsongevallenverzekering kan sterk uiteenlopen en is grotendeels afhankelijk van de sector waarin de jongere wordt opgeleid. </w:t>
      </w:r>
    </w:p>
    <w:p w14:paraId="5F3E9B49" w14:textId="77777777" w:rsidR="0092507B" w:rsidRPr="001305C3" w:rsidRDefault="0092507B" w:rsidP="001305C3">
      <w:pPr>
        <w:jc w:val="both"/>
        <w:rPr>
          <w:sz w:val="22"/>
          <w:szCs w:val="22"/>
        </w:rPr>
      </w:pPr>
    </w:p>
    <w:p w14:paraId="7B43C17B" w14:textId="710D814D" w:rsidR="00FD709E" w:rsidRPr="001305C3" w:rsidRDefault="00FD709E" w:rsidP="00E82ABE">
      <w:pPr>
        <w:pStyle w:val="StandaardSV"/>
        <w:numPr>
          <w:ilvl w:val="0"/>
          <w:numId w:val="18"/>
        </w:numPr>
        <w:rPr>
          <w:szCs w:val="22"/>
        </w:rPr>
      </w:pPr>
      <w:r w:rsidRPr="001305C3">
        <w:rPr>
          <w:szCs w:val="22"/>
        </w:rPr>
        <w:t xml:space="preserve">Zoals mijn collega-minister van Onderwijs Pascal Smet reeds antwoordde wordt er onder verschillende vormen samengewerkt tussen de VDAB, SYNTRA Vlaanderen en Onderwijs om de systemen van leren en werken in het veld te zetten. Vanuit het departement WSE, SYNTRA Vlaanderen en VDAB werd onder andere een nauwe samenwerking en afstemming gerealiseerd over de harmonisering van de statuten binnen leren en werken. Dit heeft als doelstelling meer afstemming te realiseren tussen de leertijd en het DBSO. Tevens startte dit voorjaar een transnationaal ESF-project rond ‘Naar een optimalisering van het landschap leren en werken, geïnspireerd door buitenlandse concepten’. Het departement Onderwijs </w:t>
      </w:r>
      <w:r w:rsidR="00E82ABE">
        <w:rPr>
          <w:szCs w:val="22"/>
        </w:rPr>
        <w:t xml:space="preserve">en SYNTRA Vlaanderen zijn </w:t>
      </w:r>
      <w:r w:rsidRPr="001305C3">
        <w:rPr>
          <w:szCs w:val="22"/>
        </w:rPr>
        <w:t xml:space="preserve">voor dit project vertegenwoordigd in het kernteam. </w:t>
      </w:r>
    </w:p>
    <w:p w14:paraId="0D68F605" w14:textId="4143022D" w:rsidR="008D2554" w:rsidRPr="001305C3" w:rsidRDefault="00FD709E" w:rsidP="00DF4F6D">
      <w:pPr>
        <w:spacing w:before="240"/>
        <w:ind w:left="360"/>
        <w:jc w:val="both"/>
        <w:rPr>
          <w:sz w:val="22"/>
          <w:szCs w:val="22"/>
        </w:rPr>
      </w:pPr>
      <w:r w:rsidRPr="001305C3">
        <w:rPr>
          <w:sz w:val="22"/>
          <w:szCs w:val="22"/>
        </w:rPr>
        <w:t xml:space="preserve">Naast de uitkomst van deze ontwikkelingen, moet ook de evaluatie van het decreet leren en werken afgewacht worden. Ik hoop dat de resultaten van al deze (gelijktijdige) oefeningen tot betere of nieuwe manieren van samenwerken </w:t>
      </w:r>
      <w:r w:rsidR="00E82ABE">
        <w:rPr>
          <w:sz w:val="22"/>
          <w:szCs w:val="22"/>
        </w:rPr>
        <w:t>zullen</w:t>
      </w:r>
      <w:r w:rsidRPr="001305C3">
        <w:rPr>
          <w:sz w:val="22"/>
          <w:szCs w:val="22"/>
        </w:rPr>
        <w:t xml:space="preserve"> leiden. </w:t>
      </w:r>
    </w:p>
    <w:p w14:paraId="5204DA0A" w14:textId="77777777" w:rsidR="00FD709E" w:rsidRPr="00E82ABE" w:rsidRDefault="00FD709E" w:rsidP="001305C3">
      <w:pPr>
        <w:pStyle w:val="StandaardSV"/>
        <w:rPr>
          <w:szCs w:val="22"/>
        </w:rPr>
      </w:pPr>
    </w:p>
    <w:p w14:paraId="146CB731" w14:textId="2D3BE8FB" w:rsidR="008D2554" w:rsidRPr="00E82ABE" w:rsidRDefault="008D2554" w:rsidP="00E82ABE">
      <w:pPr>
        <w:pStyle w:val="Lijstalinea"/>
        <w:numPr>
          <w:ilvl w:val="0"/>
          <w:numId w:val="18"/>
        </w:numPr>
        <w:jc w:val="both"/>
        <w:rPr>
          <w:rFonts w:ascii="Times New Roman" w:hAnsi="Times New Roman"/>
        </w:rPr>
      </w:pPr>
      <w:r w:rsidRPr="00E82ABE">
        <w:rPr>
          <w:rFonts w:ascii="Times New Roman" w:hAnsi="Times New Roman"/>
        </w:rPr>
        <w:lastRenderedPageBreak/>
        <w:t>Pas na ingang van het decreet leren en werken en na goedkeuring van de leerplannen kunnen onderwijsstudiebewijzen (getuigschrift 2</w:t>
      </w:r>
      <w:r w:rsidRPr="00E82ABE">
        <w:rPr>
          <w:rFonts w:ascii="Times New Roman" w:hAnsi="Times New Roman"/>
          <w:vertAlign w:val="superscript"/>
        </w:rPr>
        <w:t>e</w:t>
      </w:r>
      <w:r w:rsidRPr="00E82ABE">
        <w:rPr>
          <w:rFonts w:ascii="Times New Roman" w:hAnsi="Times New Roman"/>
        </w:rPr>
        <w:t xml:space="preserve"> graad, studiegetuigschrift 3</w:t>
      </w:r>
      <w:r w:rsidRPr="00E82ABE">
        <w:rPr>
          <w:rFonts w:ascii="Times New Roman" w:hAnsi="Times New Roman"/>
          <w:vertAlign w:val="superscript"/>
        </w:rPr>
        <w:t>e</w:t>
      </w:r>
      <w:r w:rsidRPr="00E82ABE">
        <w:rPr>
          <w:rFonts w:ascii="Times New Roman" w:hAnsi="Times New Roman"/>
        </w:rPr>
        <w:t xml:space="preserve"> graad en diploma secundair onderwijs) wettelijk uitgereikt worden voor de leertijd. </w:t>
      </w:r>
    </w:p>
    <w:p w14:paraId="1FC91765" w14:textId="77777777" w:rsidR="008D2554" w:rsidRPr="001305C3" w:rsidRDefault="008D2554" w:rsidP="00E82ABE">
      <w:pPr>
        <w:ind w:left="708"/>
        <w:jc w:val="both"/>
        <w:rPr>
          <w:sz w:val="22"/>
          <w:szCs w:val="22"/>
        </w:rPr>
      </w:pPr>
    </w:p>
    <w:p w14:paraId="06D7F79A" w14:textId="1A208953" w:rsidR="0092507B" w:rsidRPr="001305C3" w:rsidRDefault="0092507B" w:rsidP="00DF4F6D">
      <w:pPr>
        <w:ind w:left="360"/>
        <w:jc w:val="both"/>
        <w:rPr>
          <w:sz w:val="22"/>
          <w:szCs w:val="22"/>
        </w:rPr>
      </w:pPr>
      <w:r w:rsidRPr="001305C3">
        <w:rPr>
          <w:sz w:val="22"/>
          <w:szCs w:val="22"/>
        </w:rPr>
        <w:t xml:space="preserve">Het decreet startte in het schooljaar 2008-2009 </w:t>
      </w:r>
      <w:r w:rsidR="008D2554" w:rsidRPr="001305C3">
        <w:rPr>
          <w:sz w:val="22"/>
          <w:szCs w:val="22"/>
        </w:rPr>
        <w:t>en</w:t>
      </w:r>
      <w:r w:rsidRPr="001305C3">
        <w:rPr>
          <w:sz w:val="22"/>
          <w:szCs w:val="22"/>
        </w:rPr>
        <w:t xml:space="preserve"> de leerplannen </w:t>
      </w:r>
      <w:r w:rsidR="008D2554" w:rsidRPr="001305C3">
        <w:rPr>
          <w:sz w:val="22"/>
          <w:szCs w:val="22"/>
        </w:rPr>
        <w:t xml:space="preserve">werden </w:t>
      </w:r>
      <w:r w:rsidRPr="001305C3">
        <w:rPr>
          <w:sz w:val="22"/>
          <w:szCs w:val="22"/>
        </w:rPr>
        <w:t>goedgekeurd begin 2009</w:t>
      </w:r>
      <w:r w:rsidR="008D2554" w:rsidRPr="001305C3">
        <w:rPr>
          <w:sz w:val="22"/>
          <w:szCs w:val="22"/>
        </w:rPr>
        <w:t>.</w:t>
      </w:r>
      <w:r w:rsidRPr="001305C3">
        <w:rPr>
          <w:sz w:val="22"/>
          <w:szCs w:val="22"/>
        </w:rPr>
        <w:t xml:space="preserve"> </w:t>
      </w:r>
      <w:r w:rsidR="008D2554" w:rsidRPr="001305C3">
        <w:rPr>
          <w:sz w:val="22"/>
          <w:szCs w:val="22"/>
        </w:rPr>
        <w:t xml:space="preserve">Vanaf </w:t>
      </w:r>
      <w:r w:rsidRPr="001305C3">
        <w:rPr>
          <w:sz w:val="22"/>
          <w:szCs w:val="22"/>
        </w:rPr>
        <w:t xml:space="preserve">juni 2010 </w:t>
      </w:r>
      <w:r w:rsidR="008D2554" w:rsidRPr="001305C3">
        <w:rPr>
          <w:sz w:val="22"/>
          <w:szCs w:val="22"/>
        </w:rPr>
        <w:t xml:space="preserve">(schooljaar 2009-2010) konden er </w:t>
      </w:r>
      <w:r w:rsidRPr="001305C3">
        <w:rPr>
          <w:sz w:val="22"/>
          <w:szCs w:val="22"/>
        </w:rPr>
        <w:t xml:space="preserve">studiebewijzen uitgereikt worden. </w:t>
      </w:r>
    </w:p>
    <w:p w14:paraId="3C20ECF9" w14:textId="77777777" w:rsidR="008D2554" w:rsidRPr="001305C3" w:rsidRDefault="008D2554" w:rsidP="00E82ABE">
      <w:pPr>
        <w:ind w:left="708"/>
        <w:jc w:val="both"/>
        <w:rPr>
          <w:sz w:val="22"/>
          <w:szCs w:val="22"/>
        </w:rPr>
      </w:pPr>
    </w:p>
    <w:p w14:paraId="3B52FA72" w14:textId="29F7951F" w:rsidR="008D2554" w:rsidRDefault="008D2554" w:rsidP="00DF4F6D">
      <w:pPr>
        <w:ind w:left="360"/>
        <w:jc w:val="both"/>
        <w:rPr>
          <w:sz w:val="22"/>
          <w:szCs w:val="22"/>
        </w:rPr>
      </w:pPr>
      <w:r w:rsidRPr="001305C3">
        <w:rPr>
          <w:sz w:val="22"/>
          <w:szCs w:val="22"/>
        </w:rPr>
        <w:t>Uitgereikte onderwijsstudiebewijzen in absolute getallen:</w:t>
      </w:r>
    </w:p>
    <w:p w14:paraId="3AC3C72E" w14:textId="77777777" w:rsidR="00DF4F6D" w:rsidRPr="001305C3" w:rsidRDefault="00DF4F6D" w:rsidP="00DF4F6D">
      <w:pPr>
        <w:ind w:left="360"/>
        <w:jc w:val="both"/>
        <w:rPr>
          <w:sz w:val="22"/>
          <w:szCs w:val="22"/>
        </w:rPr>
      </w:pPr>
    </w:p>
    <w:tbl>
      <w:tblPr>
        <w:tblW w:w="6466" w:type="dxa"/>
        <w:tblInd w:w="763" w:type="dxa"/>
        <w:tblCellMar>
          <w:left w:w="70" w:type="dxa"/>
          <w:right w:w="70" w:type="dxa"/>
        </w:tblCellMar>
        <w:tblLook w:val="04A0" w:firstRow="1" w:lastRow="0" w:firstColumn="1" w:lastColumn="0" w:noHBand="0" w:noVBand="1"/>
      </w:tblPr>
      <w:tblGrid>
        <w:gridCol w:w="1575"/>
        <w:gridCol w:w="1700"/>
        <w:gridCol w:w="1700"/>
        <w:gridCol w:w="1491"/>
      </w:tblGrid>
      <w:tr w:rsidR="0092507B" w:rsidRPr="001305C3" w14:paraId="212DD438" w14:textId="77777777" w:rsidTr="00E82ABE">
        <w:trPr>
          <w:trHeight w:val="552"/>
        </w:trPr>
        <w:tc>
          <w:tcPr>
            <w:tcW w:w="1575" w:type="dxa"/>
            <w:tcBorders>
              <w:top w:val="nil"/>
              <w:left w:val="nil"/>
              <w:bottom w:val="single" w:sz="4" w:space="0" w:color="FFFFFF"/>
              <w:right w:val="single" w:sz="4" w:space="0" w:color="FFFFFF"/>
            </w:tcBorders>
            <w:shd w:val="clear" w:color="auto" w:fill="A6A6A6"/>
            <w:vAlign w:val="bottom"/>
            <w:hideMark/>
          </w:tcPr>
          <w:p w14:paraId="3409E86D" w14:textId="77777777" w:rsidR="0092507B" w:rsidRPr="001305C3" w:rsidRDefault="0092507B" w:rsidP="001305C3">
            <w:pPr>
              <w:spacing w:line="276" w:lineRule="auto"/>
              <w:jc w:val="both"/>
              <w:rPr>
                <w:rFonts w:eastAsiaTheme="minorHAnsi"/>
                <w:sz w:val="22"/>
                <w:szCs w:val="22"/>
                <w:lang w:val="nl-BE" w:eastAsia="nl-BE"/>
              </w:rPr>
            </w:pPr>
          </w:p>
        </w:tc>
        <w:tc>
          <w:tcPr>
            <w:tcW w:w="1700" w:type="dxa"/>
            <w:tcBorders>
              <w:top w:val="nil"/>
              <w:left w:val="single" w:sz="4" w:space="0" w:color="FFFFFF"/>
              <w:bottom w:val="single" w:sz="4" w:space="0" w:color="FFFFFF"/>
              <w:right w:val="single" w:sz="4" w:space="0" w:color="FFFFFF"/>
            </w:tcBorders>
            <w:shd w:val="clear" w:color="auto" w:fill="A6A6A6"/>
            <w:vAlign w:val="center"/>
            <w:hideMark/>
          </w:tcPr>
          <w:p w14:paraId="7B265B2F"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 graad</w:t>
            </w:r>
          </w:p>
        </w:tc>
        <w:tc>
          <w:tcPr>
            <w:tcW w:w="1700" w:type="dxa"/>
            <w:tcBorders>
              <w:top w:val="nil"/>
              <w:left w:val="single" w:sz="4" w:space="0" w:color="FFFFFF"/>
              <w:bottom w:val="single" w:sz="4" w:space="0" w:color="FFFFFF"/>
              <w:right w:val="single" w:sz="4" w:space="0" w:color="FFFFFF"/>
            </w:tcBorders>
            <w:shd w:val="clear" w:color="auto" w:fill="A6A6A6"/>
            <w:vAlign w:val="center"/>
            <w:hideMark/>
          </w:tcPr>
          <w:p w14:paraId="0985261E"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 jaar 3° graad</w:t>
            </w:r>
          </w:p>
        </w:tc>
        <w:tc>
          <w:tcPr>
            <w:tcW w:w="1491" w:type="dxa"/>
            <w:tcBorders>
              <w:top w:val="nil"/>
              <w:left w:val="single" w:sz="4" w:space="0" w:color="FFFFFF"/>
              <w:bottom w:val="single" w:sz="4" w:space="0" w:color="FFFFFF"/>
              <w:right w:val="nil"/>
            </w:tcBorders>
            <w:shd w:val="clear" w:color="auto" w:fill="A6A6A6"/>
            <w:vAlign w:val="center"/>
            <w:hideMark/>
          </w:tcPr>
          <w:p w14:paraId="5414131B"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Diploma</w:t>
            </w:r>
          </w:p>
        </w:tc>
      </w:tr>
      <w:tr w:rsidR="0092507B" w:rsidRPr="001305C3" w14:paraId="62C58C04" w14:textId="77777777" w:rsidTr="00E82ABE">
        <w:trPr>
          <w:trHeight w:val="288"/>
        </w:trPr>
        <w:tc>
          <w:tcPr>
            <w:tcW w:w="1575" w:type="dxa"/>
            <w:tcBorders>
              <w:top w:val="single" w:sz="4" w:space="0" w:color="FFFFFF"/>
              <w:left w:val="nil"/>
              <w:bottom w:val="single" w:sz="4" w:space="0" w:color="FFFFFF"/>
              <w:right w:val="single" w:sz="4" w:space="0" w:color="FFFFFF"/>
            </w:tcBorders>
            <w:shd w:val="clear" w:color="auto" w:fill="A6A6A6"/>
            <w:vAlign w:val="bottom"/>
            <w:hideMark/>
          </w:tcPr>
          <w:p w14:paraId="763320E9"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2009-2010</w:t>
            </w:r>
          </w:p>
        </w:tc>
        <w:tc>
          <w:tcPr>
            <w:tcW w:w="1700"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2282902B"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546</w:t>
            </w:r>
          </w:p>
        </w:tc>
        <w:tc>
          <w:tcPr>
            <w:tcW w:w="1700"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05E18F7A"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411</w:t>
            </w:r>
          </w:p>
        </w:tc>
        <w:tc>
          <w:tcPr>
            <w:tcW w:w="1491" w:type="dxa"/>
            <w:tcBorders>
              <w:top w:val="single" w:sz="4" w:space="0" w:color="FFFFFF"/>
              <w:left w:val="single" w:sz="4" w:space="0" w:color="FFFFFF"/>
              <w:bottom w:val="single" w:sz="4" w:space="0" w:color="FFFFFF"/>
              <w:right w:val="nil"/>
            </w:tcBorders>
            <w:shd w:val="clear" w:color="auto" w:fill="A6A6A6"/>
            <w:noWrap/>
            <w:vAlign w:val="bottom"/>
            <w:hideMark/>
          </w:tcPr>
          <w:p w14:paraId="3949E43B"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191</w:t>
            </w:r>
          </w:p>
        </w:tc>
      </w:tr>
      <w:tr w:rsidR="0092507B" w:rsidRPr="001305C3" w14:paraId="2B9F4464" w14:textId="77777777" w:rsidTr="00E82ABE">
        <w:trPr>
          <w:trHeight w:val="288"/>
        </w:trPr>
        <w:tc>
          <w:tcPr>
            <w:tcW w:w="1575" w:type="dxa"/>
            <w:tcBorders>
              <w:top w:val="single" w:sz="4" w:space="0" w:color="FFFFFF"/>
              <w:left w:val="nil"/>
              <w:bottom w:val="single" w:sz="4" w:space="0" w:color="FFFFFF"/>
              <w:right w:val="single" w:sz="4" w:space="0" w:color="FFFFFF"/>
            </w:tcBorders>
            <w:shd w:val="clear" w:color="auto" w:fill="D9D9D9"/>
            <w:vAlign w:val="bottom"/>
            <w:hideMark/>
          </w:tcPr>
          <w:p w14:paraId="4F995476"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2010-2011</w:t>
            </w:r>
          </w:p>
        </w:tc>
        <w:tc>
          <w:tcPr>
            <w:tcW w:w="1700"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484A18FF"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512</w:t>
            </w:r>
          </w:p>
        </w:tc>
        <w:tc>
          <w:tcPr>
            <w:tcW w:w="1700"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5DADB837"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489</w:t>
            </w:r>
          </w:p>
        </w:tc>
        <w:tc>
          <w:tcPr>
            <w:tcW w:w="1491" w:type="dxa"/>
            <w:tcBorders>
              <w:top w:val="single" w:sz="4" w:space="0" w:color="FFFFFF"/>
              <w:left w:val="single" w:sz="4" w:space="0" w:color="FFFFFF"/>
              <w:bottom w:val="single" w:sz="4" w:space="0" w:color="FFFFFF"/>
              <w:right w:val="nil"/>
            </w:tcBorders>
            <w:shd w:val="clear" w:color="auto" w:fill="D9D9D9"/>
            <w:noWrap/>
            <w:vAlign w:val="bottom"/>
            <w:hideMark/>
          </w:tcPr>
          <w:p w14:paraId="6C80FE0E"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239</w:t>
            </w:r>
          </w:p>
        </w:tc>
      </w:tr>
      <w:tr w:rsidR="0092507B" w:rsidRPr="001305C3" w14:paraId="50C5B119" w14:textId="77777777" w:rsidTr="00E82ABE">
        <w:trPr>
          <w:trHeight w:val="288"/>
        </w:trPr>
        <w:tc>
          <w:tcPr>
            <w:tcW w:w="1575" w:type="dxa"/>
            <w:tcBorders>
              <w:top w:val="single" w:sz="4" w:space="0" w:color="FFFFFF"/>
              <w:left w:val="nil"/>
              <w:bottom w:val="single" w:sz="4" w:space="0" w:color="FFFFFF"/>
              <w:right w:val="single" w:sz="4" w:space="0" w:color="FFFFFF"/>
            </w:tcBorders>
            <w:shd w:val="clear" w:color="auto" w:fill="A6A6A6"/>
            <w:vAlign w:val="bottom"/>
            <w:hideMark/>
          </w:tcPr>
          <w:p w14:paraId="180F79FC"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2011-2012</w:t>
            </w:r>
          </w:p>
        </w:tc>
        <w:tc>
          <w:tcPr>
            <w:tcW w:w="1700"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24C7813B" w14:textId="77777777" w:rsidR="0092507B" w:rsidRPr="001305C3" w:rsidRDefault="0092507B" w:rsidP="001305C3">
            <w:pPr>
              <w:spacing w:afterLines="60" w:after="144" w:line="276" w:lineRule="auto"/>
              <w:contextualSpacing/>
              <w:jc w:val="both"/>
              <w:rPr>
                <w:bCs/>
                <w:sz w:val="22"/>
                <w:szCs w:val="22"/>
                <w:lang w:eastAsia="nl-BE"/>
              </w:rPr>
            </w:pPr>
            <w:r w:rsidRPr="001305C3">
              <w:rPr>
                <w:bCs/>
                <w:sz w:val="22"/>
                <w:szCs w:val="22"/>
                <w:lang w:eastAsia="nl-BE"/>
              </w:rPr>
              <w:t>537</w:t>
            </w:r>
          </w:p>
        </w:tc>
        <w:tc>
          <w:tcPr>
            <w:tcW w:w="1700" w:type="dxa"/>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14B56F41" w14:textId="77777777" w:rsidR="0092507B" w:rsidRPr="001305C3" w:rsidRDefault="0092507B" w:rsidP="001305C3">
            <w:pPr>
              <w:spacing w:afterLines="60" w:after="144" w:line="276" w:lineRule="auto"/>
              <w:contextualSpacing/>
              <w:jc w:val="both"/>
              <w:rPr>
                <w:bCs/>
                <w:sz w:val="22"/>
                <w:szCs w:val="22"/>
                <w:lang w:eastAsia="nl-BE"/>
              </w:rPr>
            </w:pPr>
            <w:r w:rsidRPr="001305C3">
              <w:rPr>
                <w:bCs/>
                <w:sz w:val="22"/>
                <w:szCs w:val="22"/>
                <w:lang w:eastAsia="nl-BE"/>
              </w:rPr>
              <w:t>477</w:t>
            </w:r>
          </w:p>
        </w:tc>
        <w:tc>
          <w:tcPr>
            <w:tcW w:w="1491" w:type="dxa"/>
            <w:tcBorders>
              <w:top w:val="single" w:sz="4" w:space="0" w:color="FFFFFF"/>
              <w:left w:val="single" w:sz="4" w:space="0" w:color="FFFFFF"/>
              <w:bottom w:val="single" w:sz="4" w:space="0" w:color="FFFFFF"/>
              <w:right w:val="nil"/>
            </w:tcBorders>
            <w:shd w:val="clear" w:color="auto" w:fill="A6A6A6"/>
            <w:noWrap/>
            <w:vAlign w:val="bottom"/>
            <w:hideMark/>
          </w:tcPr>
          <w:p w14:paraId="0F79DAA5" w14:textId="77777777" w:rsidR="0092507B" w:rsidRPr="001305C3" w:rsidRDefault="0092507B" w:rsidP="001305C3">
            <w:pPr>
              <w:spacing w:afterLines="60" w:after="144" w:line="276" w:lineRule="auto"/>
              <w:contextualSpacing/>
              <w:jc w:val="both"/>
              <w:rPr>
                <w:bCs/>
                <w:sz w:val="22"/>
                <w:szCs w:val="22"/>
                <w:lang w:eastAsia="nl-BE"/>
              </w:rPr>
            </w:pPr>
            <w:r w:rsidRPr="001305C3">
              <w:rPr>
                <w:bCs/>
                <w:sz w:val="22"/>
                <w:szCs w:val="22"/>
                <w:lang w:eastAsia="nl-BE"/>
              </w:rPr>
              <w:t>375</w:t>
            </w:r>
          </w:p>
        </w:tc>
      </w:tr>
      <w:tr w:rsidR="0092507B" w:rsidRPr="001305C3" w14:paraId="0962CCFD" w14:textId="77777777" w:rsidTr="00E82ABE">
        <w:trPr>
          <w:trHeight w:val="288"/>
        </w:trPr>
        <w:tc>
          <w:tcPr>
            <w:tcW w:w="1575" w:type="dxa"/>
            <w:tcBorders>
              <w:top w:val="single" w:sz="4" w:space="0" w:color="FFFFFF"/>
              <w:left w:val="nil"/>
              <w:bottom w:val="single" w:sz="4" w:space="0" w:color="FFFFFF"/>
              <w:right w:val="single" w:sz="4" w:space="0" w:color="FFFFFF"/>
            </w:tcBorders>
            <w:shd w:val="clear" w:color="auto" w:fill="D9D9D9"/>
            <w:vAlign w:val="bottom"/>
            <w:hideMark/>
          </w:tcPr>
          <w:p w14:paraId="4B27FF06" w14:textId="77777777" w:rsidR="0092507B" w:rsidRPr="001305C3" w:rsidRDefault="0092507B" w:rsidP="001305C3">
            <w:pPr>
              <w:spacing w:afterLines="60" w:after="144" w:line="276" w:lineRule="auto"/>
              <w:contextualSpacing/>
              <w:jc w:val="both"/>
              <w:rPr>
                <w:b/>
                <w:bCs/>
                <w:color w:val="000000"/>
                <w:sz w:val="22"/>
                <w:szCs w:val="22"/>
                <w:lang w:eastAsia="nl-BE"/>
              </w:rPr>
            </w:pPr>
            <w:r w:rsidRPr="001305C3">
              <w:rPr>
                <w:b/>
                <w:bCs/>
                <w:color w:val="000000"/>
                <w:sz w:val="22"/>
                <w:szCs w:val="22"/>
                <w:lang w:eastAsia="nl-BE"/>
              </w:rPr>
              <w:t>2012-2013</w:t>
            </w:r>
          </w:p>
        </w:tc>
        <w:tc>
          <w:tcPr>
            <w:tcW w:w="1700"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586F5515"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412</w:t>
            </w:r>
          </w:p>
        </w:tc>
        <w:tc>
          <w:tcPr>
            <w:tcW w:w="1700" w:type="dxa"/>
            <w:tcBorders>
              <w:top w:val="single" w:sz="4" w:space="0" w:color="FFFFFF"/>
              <w:left w:val="single" w:sz="4" w:space="0" w:color="FFFFFF"/>
              <w:bottom w:val="single" w:sz="4" w:space="0" w:color="FFFFFF"/>
              <w:right w:val="single" w:sz="4" w:space="0" w:color="FFFFFF"/>
            </w:tcBorders>
            <w:shd w:val="clear" w:color="auto" w:fill="D9D9D9"/>
            <w:noWrap/>
            <w:vAlign w:val="bottom"/>
            <w:hideMark/>
          </w:tcPr>
          <w:p w14:paraId="421FE08B"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372</w:t>
            </w:r>
          </w:p>
        </w:tc>
        <w:tc>
          <w:tcPr>
            <w:tcW w:w="1491" w:type="dxa"/>
            <w:tcBorders>
              <w:top w:val="single" w:sz="4" w:space="0" w:color="FFFFFF"/>
              <w:left w:val="single" w:sz="4" w:space="0" w:color="FFFFFF"/>
              <w:bottom w:val="single" w:sz="4" w:space="0" w:color="FFFFFF"/>
              <w:right w:val="nil"/>
            </w:tcBorders>
            <w:shd w:val="clear" w:color="auto" w:fill="D9D9D9"/>
            <w:noWrap/>
            <w:vAlign w:val="bottom"/>
            <w:hideMark/>
          </w:tcPr>
          <w:p w14:paraId="5BF60D23" w14:textId="77777777" w:rsidR="0092507B" w:rsidRPr="001305C3" w:rsidRDefault="0092507B" w:rsidP="001305C3">
            <w:pPr>
              <w:spacing w:afterLines="60" w:after="144" w:line="276" w:lineRule="auto"/>
              <w:contextualSpacing/>
              <w:jc w:val="both"/>
              <w:rPr>
                <w:color w:val="000000"/>
                <w:sz w:val="22"/>
                <w:szCs w:val="22"/>
                <w:lang w:eastAsia="nl-BE"/>
              </w:rPr>
            </w:pPr>
            <w:r w:rsidRPr="001305C3">
              <w:rPr>
                <w:color w:val="000000"/>
                <w:sz w:val="22"/>
                <w:szCs w:val="22"/>
                <w:lang w:eastAsia="nl-BE"/>
              </w:rPr>
              <w:t>437</w:t>
            </w:r>
          </w:p>
        </w:tc>
      </w:tr>
    </w:tbl>
    <w:p w14:paraId="014BB00A" w14:textId="77777777" w:rsidR="0092507B" w:rsidRPr="001305C3" w:rsidRDefault="0092507B" w:rsidP="00E82ABE">
      <w:pPr>
        <w:ind w:left="708"/>
        <w:jc w:val="both"/>
        <w:rPr>
          <w:sz w:val="22"/>
          <w:szCs w:val="22"/>
        </w:rPr>
      </w:pPr>
    </w:p>
    <w:p w14:paraId="3E762FC4" w14:textId="6B21938C" w:rsidR="000350D4" w:rsidRPr="001305C3" w:rsidRDefault="000350D4" w:rsidP="00DF4F6D">
      <w:pPr>
        <w:spacing w:afterLines="60" w:after="144"/>
        <w:ind w:left="426"/>
        <w:contextualSpacing/>
        <w:jc w:val="both"/>
        <w:rPr>
          <w:sz w:val="22"/>
          <w:szCs w:val="22"/>
        </w:rPr>
      </w:pPr>
      <w:r w:rsidRPr="001305C3">
        <w:rPr>
          <w:sz w:val="22"/>
          <w:szCs w:val="22"/>
        </w:rPr>
        <w:t>Op 1 februari 2013 geldt het volgende i.v.m. de vooropleiding van de jongeren bij instap:</w:t>
      </w:r>
    </w:p>
    <w:p w14:paraId="571353AF" w14:textId="77777777" w:rsidR="000350D4" w:rsidRPr="001305C3" w:rsidRDefault="000350D4" w:rsidP="00DF4F6D">
      <w:pPr>
        <w:numPr>
          <w:ilvl w:val="0"/>
          <w:numId w:val="16"/>
        </w:numPr>
        <w:spacing w:afterLines="60" w:after="144"/>
        <w:ind w:left="851"/>
        <w:contextualSpacing/>
        <w:jc w:val="both"/>
        <w:rPr>
          <w:sz w:val="22"/>
          <w:szCs w:val="22"/>
        </w:rPr>
      </w:pPr>
      <w:r w:rsidRPr="001305C3">
        <w:rPr>
          <w:sz w:val="22"/>
          <w:szCs w:val="22"/>
        </w:rPr>
        <w:t>37,8% stapt in met 2e graad en/of 5e jaar geslaagd</w:t>
      </w:r>
    </w:p>
    <w:p w14:paraId="1B7E467B" w14:textId="77777777" w:rsidR="000350D4" w:rsidRPr="001305C3" w:rsidRDefault="000350D4" w:rsidP="00DF4F6D">
      <w:pPr>
        <w:numPr>
          <w:ilvl w:val="0"/>
          <w:numId w:val="16"/>
        </w:numPr>
        <w:spacing w:afterLines="60" w:after="144"/>
        <w:ind w:left="851"/>
        <w:contextualSpacing/>
        <w:jc w:val="both"/>
        <w:rPr>
          <w:sz w:val="22"/>
          <w:szCs w:val="22"/>
        </w:rPr>
      </w:pPr>
      <w:r w:rsidRPr="001305C3">
        <w:rPr>
          <w:sz w:val="22"/>
          <w:szCs w:val="22"/>
        </w:rPr>
        <w:t>6,6% stapt in met 3e graad/diploma</w:t>
      </w:r>
    </w:p>
    <w:p w14:paraId="5662915B" w14:textId="77777777" w:rsidR="000350D4" w:rsidRPr="001305C3" w:rsidRDefault="000350D4" w:rsidP="00DF4F6D">
      <w:pPr>
        <w:spacing w:afterLines="60" w:after="144"/>
        <w:ind w:left="426"/>
        <w:contextualSpacing/>
        <w:jc w:val="both"/>
        <w:rPr>
          <w:sz w:val="22"/>
          <w:szCs w:val="22"/>
        </w:rPr>
      </w:pPr>
      <w:r w:rsidRPr="001305C3">
        <w:rPr>
          <w:sz w:val="22"/>
          <w:szCs w:val="22"/>
        </w:rPr>
        <w:t>Uit de cijfers van de vooropleiding blijkt dat er veel jongeren instappen met een 2</w:t>
      </w:r>
      <w:r w:rsidRPr="001305C3">
        <w:rPr>
          <w:sz w:val="22"/>
          <w:szCs w:val="22"/>
          <w:vertAlign w:val="superscript"/>
        </w:rPr>
        <w:t>e</w:t>
      </w:r>
      <w:r w:rsidRPr="001305C3">
        <w:rPr>
          <w:sz w:val="22"/>
          <w:szCs w:val="22"/>
        </w:rPr>
        <w:t xml:space="preserve"> graad wat betekent dat ze in leertijd ingeschaald worden in 5AV of m.a.w. het 3</w:t>
      </w:r>
      <w:r w:rsidRPr="001305C3">
        <w:rPr>
          <w:sz w:val="22"/>
          <w:szCs w:val="22"/>
          <w:vertAlign w:val="superscript"/>
        </w:rPr>
        <w:t>e</w:t>
      </w:r>
      <w:r w:rsidRPr="001305C3">
        <w:rPr>
          <w:sz w:val="22"/>
          <w:szCs w:val="22"/>
        </w:rPr>
        <w:t xml:space="preserve"> </w:t>
      </w:r>
      <w:proofErr w:type="spellStart"/>
      <w:r w:rsidRPr="001305C3">
        <w:rPr>
          <w:sz w:val="22"/>
          <w:szCs w:val="22"/>
        </w:rPr>
        <w:t>graadspakket</w:t>
      </w:r>
      <w:proofErr w:type="spellEnd"/>
      <w:r w:rsidRPr="001305C3">
        <w:rPr>
          <w:sz w:val="22"/>
          <w:szCs w:val="22"/>
        </w:rPr>
        <w:t xml:space="preserve"> van de algemene vorming.  Dit verklaart de daling van de studiebewijzen van de 2</w:t>
      </w:r>
      <w:r w:rsidRPr="001305C3">
        <w:rPr>
          <w:sz w:val="22"/>
          <w:szCs w:val="22"/>
          <w:vertAlign w:val="superscript"/>
        </w:rPr>
        <w:t>e</w:t>
      </w:r>
      <w:r w:rsidRPr="001305C3">
        <w:rPr>
          <w:sz w:val="22"/>
          <w:szCs w:val="22"/>
        </w:rPr>
        <w:t xml:space="preserve"> graad.  </w:t>
      </w:r>
    </w:p>
    <w:p w14:paraId="1E6F4480" w14:textId="2895E463" w:rsidR="000350D4" w:rsidRPr="001305C3" w:rsidRDefault="000350D4" w:rsidP="00DF4F6D">
      <w:pPr>
        <w:spacing w:afterLines="60" w:after="144"/>
        <w:ind w:left="426"/>
        <w:contextualSpacing/>
        <w:jc w:val="both"/>
        <w:rPr>
          <w:sz w:val="22"/>
          <w:szCs w:val="22"/>
        </w:rPr>
      </w:pPr>
      <w:r w:rsidRPr="001305C3">
        <w:rPr>
          <w:sz w:val="22"/>
          <w:szCs w:val="22"/>
        </w:rPr>
        <w:t xml:space="preserve">Veel trajecten in leertijd duren 3 jaar en als men instapt in 5AV dan gaan deze jongeren vooral proberen te streven naar het halen van 7AV en dus eerder het diploma secundair onderwijs </w:t>
      </w:r>
      <w:r w:rsidR="00DF4F6D" w:rsidRPr="001305C3">
        <w:rPr>
          <w:sz w:val="22"/>
          <w:szCs w:val="22"/>
        </w:rPr>
        <w:t>i.p.v.</w:t>
      </w:r>
      <w:r w:rsidRPr="001305C3">
        <w:rPr>
          <w:sz w:val="22"/>
          <w:szCs w:val="22"/>
        </w:rPr>
        <w:t xml:space="preserve"> het getuigschrift (6AV).</w:t>
      </w:r>
      <w:bookmarkStart w:id="0" w:name="_GoBack"/>
      <w:bookmarkEnd w:id="0"/>
      <w:r w:rsidRPr="001305C3">
        <w:rPr>
          <w:sz w:val="22"/>
          <w:szCs w:val="22"/>
        </w:rPr>
        <w:t xml:space="preserve"> Bovendien merken we ook dat jongeren instappen na de 3</w:t>
      </w:r>
      <w:r w:rsidRPr="001305C3">
        <w:rPr>
          <w:sz w:val="22"/>
          <w:szCs w:val="22"/>
          <w:vertAlign w:val="superscript"/>
        </w:rPr>
        <w:t>e</w:t>
      </w:r>
      <w:r w:rsidRPr="001305C3">
        <w:rPr>
          <w:sz w:val="22"/>
          <w:szCs w:val="22"/>
        </w:rPr>
        <w:t xml:space="preserve"> graad om nog een opleiding binnen leertijd te volgen. Deze jongeren worden ingeschaald in 7AV. Deze beide elementen verklaren de stijging van het diploma secundair onderwijs.</w:t>
      </w:r>
    </w:p>
    <w:p w14:paraId="2DA3A051" w14:textId="77777777" w:rsidR="000350D4" w:rsidRPr="001305C3" w:rsidRDefault="000350D4" w:rsidP="00DF4F6D">
      <w:pPr>
        <w:spacing w:afterLines="60" w:after="144"/>
        <w:ind w:left="426"/>
        <w:contextualSpacing/>
        <w:jc w:val="both"/>
        <w:rPr>
          <w:sz w:val="22"/>
          <w:szCs w:val="22"/>
        </w:rPr>
      </w:pPr>
      <w:r w:rsidRPr="001305C3">
        <w:rPr>
          <w:sz w:val="22"/>
          <w:szCs w:val="22"/>
        </w:rPr>
        <w:t xml:space="preserve">Deze stijging wordt vooral nu duidelijk omdat de nieuwe studiebewijzen pas konden vanaf juni 2010 maar voor jongeren die instapten in 2010-2011 in een 3-jarig traject zijn de resultaten pas in juni 2013 zichtbaar. </w:t>
      </w:r>
    </w:p>
    <w:p w14:paraId="794A17A4" w14:textId="77777777" w:rsidR="000350D4" w:rsidRPr="001305C3" w:rsidRDefault="000350D4" w:rsidP="00DF4F6D">
      <w:pPr>
        <w:spacing w:afterLines="60" w:after="144"/>
        <w:ind w:left="426"/>
        <w:contextualSpacing/>
        <w:jc w:val="both"/>
        <w:rPr>
          <w:sz w:val="22"/>
          <w:szCs w:val="22"/>
          <w:u w:val="single"/>
        </w:rPr>
      </w:pPr>
    </w:p>
    <w:p w14:paraId="2B790656" w14:textId="39A93177" w:rsidR="000350D4" w:rsidRPr="001305C3" w:rsidRDefault="0092507B" w:rsidP="00DF4F6D">
      <w:pPr>
        <w:ind w:left="426"/>
        <w:jc w:val="both"/>
        <w:rPr>
          <w:sz w:val="22"/>
          <w:szCs w:val="22"/>
        </w:rPr>
      </w:pPr>
      <w:r w:rsidRPr="001305C3">
        <w:rPr>
          <w:sz w:val="22"/>
          <w:szCs w:val="22"/>
        </w:rPr>
        <w:t>Een jongere kan de leertijd afsluiten met bv een 3</w:t>
      </w:r>
      <w:r w:rsidRPr="001305C3">
        <w:rPr>
          <w:sz w:val="22"/>
          <w:szCs w:val="22"/>
          <w:vertAlign w:val="superscript"/>
        </w:rPr>
        <w:t>e</w:t>
      </w:r>
      <w:r w:rsidRPr="001305C3">
        <w:rPr>
          <w:sz w:val="22"/>
          <w:szCs w:val="22"/>
        </w:rPr>
        <w:t xml:space="preserve"> graad én diploma tegelijkertijd. Dit heeft te maken met de definitie in het decreet leren en werken wanneer een onderwijsstudiebewijs mag uitgereikt worden. Een onderwijsstudiebewijs krijgt men pas na het halen van een certificaat van een beroep. Iemand die bv een 3-jarig opleidingstraject tegelzetter volgt en ondertussen slaagt in de 3</w:t>
      </w:r>
      <w:r w:rsidRPr="001305C3">
        <w:rPr>
          <w:sz w:val="22"/>
          <w:szCs w:val="22"/>
          <w:vertAlign w:val="superscript"/>
        </w:rPr>
        <w:t>e</w:t>
      </w:r>
      <w:r w:rsidRPr="001305C3">
        <w:rPr>
          <w:sz w:val="22"/>
          <w:szCs w:val="22"/>
        </w:rPr>
        <w:t xml:space="preserve"> graad (5</w:t>
      </w:r>
      <w:r w:rsidRPr="001305C3">
        <w:rPr>
          <w:sz w:val="22"/>
          <w:szCs w:val="22"/>
          <w:vertAlign w:val="superscript"/>
        </w:rPr>
        <w:t>e</w:t>
      </w:r>
      <w:r w:rsidRPr="001305C3">
        <w:rPr>
          <w:sz w:val="22"/>
          <w:szCs w:val="22"/>
        </w:rPr>
        <w:t xml:space="preserve"> en 6</w:t>
      </w:r>
      <w:r w:rsidRPr="001305C3">
        <w:rPr>
          <w:sz w:val="22"/>
          <w:szCs w:val="22"/>
          <w:vertAlign w:val="superscript"/>
        </w:rPr>
        <w:t>e</w:t>
      </w:r>
      <w:r w:rsidR="000350D4" w:rsidRPr="001305C3">
        <w:rPr>
          <w:sz w:val="22"/>
          <w:szCs w:val="22"/>
        </w:rPr>
        <w:t xml:space="preserve"> jaar algemene vorming</w:t>
      </w:r>
      <w:r w:rsidRPr="001305C3">
        <w:rPr>
          <w:sz w:val="22"/>
          <w:szCs w:val="22"/>
        </w:rPr>
        <w:t>) en het 3</w:t>
      </w:r>
      <w:r w:rsidRPr="001305C3">
        <w:rPr>
          <w:sz w:val="22"/>
          <w:szCs w:val="22"/>
          <w:vertAlign w:val="superscript"/>
        </w:rPr>
        <w:t>e</w:t>
      </w:r>
      <w:r w:rsidRPr="001305C3">
        <w:rPr>
          <w:sz w:val="22"/>
          <w:szCs w:val="22"/>
        </w:rPr>
        <w:t xml:space="preserve"> leerjaar van die 3</w:t>
      </w:r>
      <w:r w:rsidRPr="001305C3">
        <w:rPr>
          <w:sz w:val="22"/>
          <w:szCs w:val="22"/>
          <w:vertAlign w:val="superscript"/>
        </w:rPr>
        <w:t>e</w:t>
      </w:r>
      <w:r w:rsidRPr="001305C3">
        <w:rPr>
          <w:sz w:val="22"/>
          <w:szCs w:val="22"/>
        </w:rPr>
        <w:t xml:space="preserve"> graad, krijgt op het einde van zijn leertijd zowel het studiebewijs 3</w:t>
      </w:r>
      <w:r w:rsidRPr="001305C3">
        <w:rPr>
          <w:sz w:val="22"/>
          <w:szCs w:val="22"/>
          <w:vertAlign w:val="superscript"/>
        </w:rPr>
        <w:t>e</w:t>
      </w:r>
      <w:r w:rsidRPr="001305C3">
        <w:rPr>
          <w:sz w:val="22"/>
          <w:szCs w:val="22"/>
        </w:rPr>
        <w:t xml:space="preserve"> graad, als het diploma als het getuigschrift leertijd (certificaat beroepsdeel). Een tegelzetter die bv instapte in 2010-2011 en een normaal verloop van zijn 3</w:t>
      </w:r>
      <w:r w:rsidR="000350D4" w:rsidRPr="001305C3">
        <w:rPr>
          <w:sz w:val="22"/>
          <w:szCs w:val="22"/>
        </w:rPr>
        <w:t>-</w:t>
      </w:r>
      <w:r w:rsidRPr="001305C3">
        <w:rPr>
          <w:sz w:val="22"/>
          <w:szCs w:val="22"/>
        </w:rPr>
        <w:t>jarig traject had, kreeg pas in juni 2013 het resultaat in studiebewijzen.</w:t>
      </w:r>
      <w:r w:rsidR="000350D4" w:rsidRPr="001305C3">
        <w:rPr>
          <w:sz w:val="22"/>
          <w:szCs w:val="22"/>
        </w:rPr>
        <w:t xml:space="preserve"> Daarom zegt het weinig om de cijfers van de studiebewijzen af te zetten ten aanzien van het aantal leerlingen die de leertijd afsluiten.</w:t>
      </w:r>
    </w:p>
    <w:sectPr w:rsidR="000350D4" w:rsidRPr="001305C3" w:rsidSect="00DF4F6D">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DEA7" w14:textId="77777777" w:rsidR="00E2581C" w:rsidRDefault="00E2581C" w:rsidP="00464A7A">
      <w:r>
        <w:separator/>
      </w:r>
    </w:p>
  </w:endnote>
  <w:endnote w:type="continuationSeparator" w:id="0">
    <w:p w14:paraId="46ED576B" w14:textId="77777777" w:rsidR="00E2581C" w:rsidRDefault="00E2581C"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E9ED" w14:textId="77777777" w:rsidR="00E2581C" w:rsidRDefault="00E2581C" w:rsidP="00464A7A">
      <w:r>
        <w:separator/>
      </w:r>
    </w:p>
  </w:footnote>
  <w:footnote w:type="continuationSeparator" w:id="0">
    <w:p w14:paraId="10A762D9" w14:textId="77777777" w:rsidR="00E2581C" w:rsidRDefault="00E2581C"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1B"/>
    <w:multiLevelType w:val="hybridMultilevel"/>
    <w:tmpl w:val="B10A64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1B188D"/>
    <w:multiLevelType w:val="hybridMultilevel"/>
    <w:tmpl w:val="06D470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5">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nsid w:val="51224782"/>
    <w:multiLevelType w:val="hybridMultilevel"/>
    <w:tmpl w:val="2230D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6E823EBF"/>
    <w:multiLevelType w:val="hybridMultilevel"/>
    <w:tmpl w:val="D68448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6EED5472"/>
    <w:multiLevelType w:val="hybridMultilevel"/>
    <w:tmpl w:val="3306DCEE"/>
    <w:lvl w:ilvl="0" w:tplc="6B74DA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6F741A5"/>
    <w:multiLevelType w:val="hybridMultilevel"/>
    <w:tmpl w:val="B63474D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2"/>
  </w:num>
  <w:num w:numId="2">
    <w:abstractNumId w:val="1"/>
  </w:num>
  <w:num w:numId="3">
    <w:abstractNumId w:val="2"/>
  </w:num>
  <w:num w:numId="4">
    <w:abstractNumId w:val="3"/>
  </w:num>
  <w:num w:numId="5">
    <w:abstractNumId w:val="13"/>
  </w:num>
  <w:num w:numId="6">
    <w:abstractNumId w:val="7"/>
  </w:num>
  <w:num w:numId="7">
    <w:abstractNumId w:val="6"/>
  </w:num>
  <w:num w:numId="8">
    <w:abstractNumId w:val="9"/>
  </w:num>
  <w:num w:numId="9">
    <w:abstractNumId w:val="8"/>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350D4"/>
    <w:rsid w:val="000503E5"/>
    <w:rsid w:val="000610CE"/>
    <w:rsid w:val="000731A8"/>
    <w:rsid w:val="00073AE2"/>
    <w:rsid w:val="001305C3"/>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2412A"/>
    <w:rsid w:val="00451B13"/>
    <w:rsid w:val="0045733F"/>
    <w:rsid w:val="00462E13"/>
    <w:rsid w:val="00463D2B"/>
    <w:rsid w:val="00464A7A"/>
    <w:rsid w:val="00482870"/>
    <w:rsid w:val="00484404"/>
    <w:rsid w:val="00492D21"/>
    <w:rsid w:val="00495CB1"/>
    <w:rsid w:val="00496B5B"/>
    <w:rsid w:val="004B1659"/>
    <w:rsid w:val="005628FF"/>
    <w:rsid w:val="00572E3E"/>
    <w:rsid w:val="005841B4"/>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64FDF"/>
    <w:rsid w:val="007771C0"/>
    <w:rsid w:val="007B35E6"/>
    <w:rsid w:val="007E2BCE"/>
    <w:rsid w:val="008906D6"/>
    <w:rsid w:val="008D2554"/>
    <w:rsid w:val="008E02B5"/>
    <w:rsid w:val="008E60A9"/>
    <w:rsid w:val="008F18E6"/>
    <w:rsid w:val="0092507B"/>
    <w:rsid w:val="009373D7"/>
    <w:rsid w:val="009A3970"/>
    <w:rsid w:val="009C0FF4"/>
    <w:rsid w:val="009D7514"/>
    <w:rsid w:val="00A27757"/>
    <w:rsid w:val="00A30F53"/>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DF4F6D"/>
    <w:rsid w:val="00E135AC"/>
    <w:rsid w:val="00E13E2E"/>
    <w:rsid w:val="00E2581C"/>
    <w:rsid w:val="00E37C52"/>
    <w:rsid w:val="00E7231E"/>
    <w:rsid w:val="00E82ABE"/>
    <w:rsid w:val="00EB1EE1"/>
    <w:rsid w:val="00EC7346"/>
    <w:rsid w:val="00ED0183"/>
    <w:rsid w:val="00ED7FBB"/>
    <w:rsid w:val="00EE0092"/>
    <w:rsid w:val="00F6262A"/>
    <w:rsid w:val="00F84CFC"/>
    <w:rsid w:val="00F95777"/>
    <w:rsid w:val="00FD2B0C"/>
    <w:rsid w:val="00FD7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iPriority w:val="99"/>
    <w:semiHidden/>
    <w:unhideWhenUsed/>
    <w:rsid w:val="0092507B"/>
    <w:rPr>
      <w:color w:val="0000FF" w:themeColor="hyperlink"/>
      <w:u w:val="single"/>
    </w:rPr>
  </w:style>
  <w:style w:type="paragraph" w:styleId="Tekstopmerking">
    <w:name w:val="annotation text"/>
    <w:basedOn w:val="Standaard"/>
    <w:link w:val="TekstopmerkingChar"/>
    <w:uiPriority w:val="99"/>
    <w:semiHidden/>
    <w:unhideWhenUsed/>
    <w:rsid w:val="0092507B"/>
    <w:rPr>
      <w:sz w:val="20"/>
      <w:szCs w:val="20"/>
    </w:rPr>
  </w:style>
  <w:style w:type="character" w:customStyle="1" w:styleId="TekstopmerkingChar">
    <w:name w:val="Tekst opmerking Char"/>
    <w:basedOn w:val="Standaardalinea-lettertype"/>
    <w:link w:val="Tekstopmerking"/>
    <w:uiPriority w:val="99"/>
    <w:semiHidden/>
    <w:rsid w:val="0092507B"/>
    <w:rPr>
      <w:lang w:val="nl-NL" w:eastAsia="nl-NL"/>
    </w:rPr>
  </w:style>
  <w:style w:type="character" w:styleId="Verwijzingopmerking">
    <w:name w:val="annotation reference"/>
    <w:basedOn w:val="Standaardalinea-lettertype"/>
    <w:uiPriority w:val="99"/>
    <w:semiHidden/>
    <w:unhideWhenUsed/>
    <w:rsid w:val="0092507B"/>
    <w:rPr>
      <w:sz w:val="16"/>
      <w:szCs w:val="16"/>
    </w:rPr>
  </w:style>
  <w:style w:type="table" w:styleId="Tabelraster">
    <w:name w:val="Table Grid"/>
    <w:basedOn w:val="Standaardtabel"/>
    <w:uiPriority w:val="59"/>
    <w:rsid w:val="00925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semiHidden/>
    <w:unhideWhenUsed/>
    <w:rsid w:val="00FD709E"/>
    <w:rPr>
      <w:b/>
      <w:bCs/>
    </w:rPr>
  </w:style>
  <w:style w:type="character" w:customStyle="1" w:styleId="OnderwerpvanopmerkingChar">
    <w:name w:val="Onderwerp van opmerking Char"/>
    <w:basedOn w:val="TekstopmerkingChar"/>
    <w:link w:val="Onderwerpvanopmerking"/>
    <w:semiHidden/>
    <w:rsid w:val="00FD709E"/>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iPriority w:val="99"/>
    <w:semiHidden/>
    <w:unhideWhenUsed/>
    <w:rsid w:val="0092507B"/>
    <w:rPr>
      <w:color w:val="0000FF" w:themeColor="hyperlink"/>
      <w:u w:val="single"/>
    </w:rPr>
  </w:style>
  <w:style w:type="paragraph" w:styleId="Tekstopmerking">
    <w:name w:val="annotation text"/>
    <w:basedOn w:val="Standaard"/>
    <w:link w:val="TekstopmerkingChar"/>
    <w:uiPriority w:val="99"/>
    <w:semiHidden/>
    <w:unhideWhenUsed/>
    <w:rsid w:val="0092507B"/>
    <w:rPr>
      <w:sz w:val="20"/>
      <w:szCs w:val="20"/>
    </w:rPr>
  </w:style>
  <w:style w:type="character" w:customStyle="1" w:styleId="TekstopmerkingChar">
    <w:name w:val="Tekst opmerking Char"/>
    <w:basedOn w:val="Standaardalinea-lettertype"/>
    <w:link w:val="Tekstopmerking"/>
    <w:uiPriority w:val="99"/>
    <w:semiHidden/>
    <w:rsid w:val="0092507B"/>
    <w:rPr>
      <w:lang w:val="nl-NL" w:eastAsia="nl-NL"/>
    </w:rPr>
  </w:style>
  <w:style w:type="character" w:styleId="Verwijzingopmerking">
    <w:name w:val="annotation reference"/>
    <w:basedOn w:val="Standaardalinea-lettertype"/>
    <w:uiPriority w:val="99"/>
    <w:semiHidden/>
    <w:unhideWhenUsed/>
    <w:rsid w:val="0092507B"/>
    <w:rPr>
      <w:sz w:val="16"/>
      <w:szCs w:val="16"/>
    </w:rPr>
  </w:style>
  <w:style w:type="table" w:styleId="Tabelraster">
    <w:name w:val="Table Grid"/>
    <w:basedOn w:val="Standaardtabel"/>
    <w:uiPriority w:val="59"/>
    <w:rsid w:val="00925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semiHidden/>
    <w:unhideWhenUsed/>
    <w:rsid w:val="00FD709E"/>
    <w:rPr>
      <w:b/>
      <w:bCs/>
    </w:rPr>
  </w:style>
  <w:style w:type="character" w:customStyle="1" w:styleId="OnderwerpvanopmerkingChar">
    <w:name w:val="Onderwerp van opmerking Char"/>
    <w:basedOn w:val="TekstopmerkingChar"/>
    <w:link w:val="Onderwerpvanopmerking"/>
    <w:semiHidden/>
    <w:rsid w:val="00FD709E"/>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235164547">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91500"/>
    <w:rsid w:val="002A3787"/>
    <w:rsid w:val="00317C8C"/>
    <w:rsid w:val="003D53FC"/>
    <w:rsid w:val="003F12A6"/>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543 Leertijd- Stand van zaken</Titel_x0020_vraag>
    <Vraagnummer xmlns="7a2e3783-fe9a-4a2f-bbf4-debb4ac58a5c">543</Vraagnummer>
    <DatumVraag xmlns="7a2e3783-fe9a-4a2f-bbf4-debb4ac58a5c">2014-03-25T23:00:00+00:00</DatumVraag>
    <DocumentSetDescription xmlns="http://schemas.microsoft.com/sharepoint/v3" xsi:nil="true"/>
    <Antwoord_x0020_vereist xmlns="7a2e3783-fe9a-4a2f-bbf4-debb4ac58a5c">2014-04-22T22:00:00+00:00</Antwoord_x0020_vereist>
    <Onderwerp_x0020_vraag xmlns="7a2e3783-fe9a-4a2f-bbf4-debb4ac58a5c">Leertijd- Stand van zaken</Onderwerp_x0020_vraag>
    <TaxCatchAll xmlns="7a2e3783-fe9a-4a2f-bbf4-debb4ac58a5c"/>
    <Antwoordnummer xmlns="7a2e3783-fe9a-4a2f-bbf4-debb4ac58a5c">543</Antwoordnummer>
    <Extra_x0020_Behandelaars xmlns="7a2e3783-fe9a-4a2f-bbf4-debb4ac58a5c">
      <UserInfo>
        <DisplayName/>
        <AccountId xsi:nil="true"/>
        <AccountType/>
      </UserInfo>
    </Extra_x0020_Behandelaars>
    <Parlementair xmlns="7a2e3783-fe9a-4a2f-bbf4-debb4ac58a5c">Jos De Meyer</Parlementair>
    <Doorloopstatus xmlns="7a2e3783-fe9a-4a2f-bbf4-debb4ac58a5c">Beantwoord</Doorloopstatus>
    <Behandelaar xmlns="7a2e3783-fe9a-4a2f-bbf4-debb4ac58a5c">
      <UserInfo>
        <DisplayName>Heyman, Ryfka</DisplayName>
        <AccountId>129</AccountId>
        <AccountType/>
      </UserInfo>
    </Behandelaar>
    <Vraag_x0020_beantwoord xmlns="7a2e3783-fe9a-4a2f-bbf4-debb4ac58a5c">2014-04-18T14:36:07+00:00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371</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4</Value>
    </ExterneAgentschappen>
    <Vraagverstuurd xmlns="0432e282-c115-404d-9267-bbe15fcac7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http://purl.org/dc/terms/"/>
    <ds:schemaRef ds:uri="http://www.w3.org/XML/1998/namespace"/>
    <ds:schemaRef ds:uri="http://purl.org/dc/elements/1.1/"/>
    <ds:schemaRef ds:uri="$ListId:ParlementaireVragen;"/>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0432e282-c115-404d-9267-bbe15fcac794"/>
    <ds:schemaRef ds:uri="ec82e040-88e9-4975-bc13-a42fab7bb9ce"/>
    <ds:schemaRef ds:uri="7a2e3783-fe9a-4a2f-bbf4-debb4ac58a5c"/>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1573DB9C-27C2-4A28-AB9E-05DC4C3B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Leertijd Stavaza</vt:lpstr>
      <vt:lpstr>Pact 2020 Werkzaamheidsgraad</vt:lpstr>
    </vt:vector>
  </TitlesOfParts>
  <Company>MVG</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Leertijd Stavaza</dc:title>
  <dc:creator>techne</dc:creator>
  <cp:lastModifiedBy>Nathalie De Keyzer</cp:lastModifiedBy>
  <cp:revision>3</cp:revision>
  <cp:lastPrinted>2014-05-06T12:54:00Z</cp:lastPrinted>
  <dcterms:created xsi:type="dcterms:W3CDTF">2014-05-06T12:54:00Z</dcterms:created>
  <dcterms:modified xsi:type="dcterms:W3CDTF">2014-05-07T14:28:00Z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d933c5b1-4f1e-4624-8ebb-ea91f319bb91</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