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030E3C">
        <w:rPr>
          <w:szCs w:val="22"/>
        </w:rPr>
        <w:t>jo</w:t>
      </w:r>
      <w:r w:rsidR="00695E76">
        <w:rPr>
          <w:szCs w:val="22"/>
        </w:rPr>
        <w:t xml:space="preserve"> vandeurzen</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3B45FE">
        <w:rPr>
          <w:noProof/>
        </w:rPr>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2873D3"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antwoord</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F24D61">
        <w:rPr>
          <w:b w:val="0"/>
        </w:rPr>
        <w:t>450</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6715CC">
        <w:rPr>
          <w:b w:val="0"/>
        </w:rPr>
        <w:t>2</w:t>
      </w:r>
      <w:r w:rsidR="00F24D61">
        <w:rPr>
          <w:b w:val="0"/>
        </w:rPr>
        <w:t>5</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477C60">
        <w:rPr>
          <w:b w:val="0"/>
        </w:rPr>
      </w:r>
      <w:r w:rsidR="00477C60">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477C60">
        <w:rPr>
          <w:b w:val="0"/>
        </w:rPr>
      </w:r>
      <w:r w:rsidR="00477C60">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F24D61">
        <w:rPr>
          <w:rStyle w:val="AntwoordNaamMinisterChar"/>
        </w:rPr>
        <w:t>els robeyns</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8E481D" w:rsidRPr="0007500E" w:rsidRDefault="008E481D" w:rsidP="008E481D">
      <w:pPr>
        <w:numPr>
          <w:ilvl w:val="1"/>
          <w:numId w:val="17"/>
        </w:numPr>
        <w:tabs>
          <w:tab w:val="clear" w:pos="1440"/>
        </w:tabs>
        <w:ind w:left="426" w:hanging="426"/>
        <w:jc w:val="both"/>
        <w:rPr>
          <w:szCs w:val="22"/>
        </w:rPr>
      </w:pPr>
      <w:r w:rsidRPr="0007500E">
        <w:rPr>
          <w:szCs w:val="22"/>
        </w:rPr>
        <w:lastRenderedPageBreak/>
        <w:t xml:space="preserve">De provincie Limburg beschikt op 1 </w:t>
      </w:r>
      <w:r>
        <w:rPr>
          <w:szCs w:val="22"/>
        </w:rPr>
        <w:t>april</w:t>
      </w:r>
      <w:r w:rsidRPr="0007500E">
        <w:rPr>
          <w:szCs w:val="22"/>
        </w:rPr>
        <w:t xml:space="preserve"> 201</w:t>
      </w:r>
      <w:r>
        <w:rPr>
          <w:szCs w:val="22"/>
        </w:rPr>
        <w:t>4</w:t>
      </w:r>
      <w:r w:rsidRPr="0007500E">
        <w:rPr>
          <w:szCs w:val="22"/>
        </w:rPr>
        <w:t xml:space="preserve"> over </w:t>
      </w:r>
      <w:r>
        <w:rPr>
          <w:szCs w:val="22"/>
        </w:rPr>
        <w:t>7.470</w:t>
      </w:r>
      <w:r w:rsidRPr="0007500E">
        <w:rPr>
          <w:szCs w:val="22"/>
        </w:rPr>
        <w:t xml:space="preserve"> bestaande woongelegenheden in woonzorgcentra. Ten opzichte van 1 januari 201</w:t>
      </w:r>
      <w:r>
        <w:rPr>
          <w:szCs w:val="22"/>
        </w:rPr>
        <w:t>3</w:t>
      </w:r>
      <w:r w:rsidRPr="0007500E">
        <w:rPr>
          <w:szCs w:val="22"/>
        </w:rPr>
        <w:t xml:space="preserve"> is dit een toename met </w:t>
      </w:r>
      <w:r>
        <w:rPr>
          <w:color w:val="000000"/>
          <w:szCs w:val="22"/>
        </w:rPr>
        <w:t xml:space="preserve">613 </w:t>
      </w:r>
      <w:r w:rsidRPr="0007500E">
        <w:rPr>
          <w:szCs w:val="22"/>
        </w:rPr>
        <w:t>woongelegenheden of</w:t>
      </w:r>
      <w:r>
        <w:rPr>
          <w:szCs w:val="22"/>
        </w:rPr>
        <w:t xml:space="preserve"> </w:t>
      </w:r>
      <w:r>
        <w:rPr>
          <w:color w:val="000000"/>
          <w:szCs w:val="22"/>
        </w:rPr>
        <w:t>8,94</w:t>
      </w:r>
      <w:r w:rsidRPr="00B116BB">
        <w:rPr>
          <w:color w:val="000000"/>
          <w:szCs w:val="22"/>
        </w:rPr>
        <w:t>%</w:t>
      </w:r>
      <w:r w:rsidRPr="0007500E">
        <w:rPr>
          <w:szCs w:val="22"/>
        </w:rPr>
        <w:t xml:space="preserve"> (zie</w:t>
      </w:r>
      <w:r>
        <w:rPr>
          <w:szCs w:val="22"/>
        </w:rPr>
        <w:t xml:space="preserve"> ook ons</w:t>
      </w:r>
      <w:r w:rsidRPr="0007500E">
        <w:rPr>
          <w:szCs w:val="22"/>
        </w:rPr>
        <w:t xml:space="preserve"> antwoord op de schriftelijke </w:t>
      </w:r>
      <w:r>
        <w:rPr>
          <w:szCs w:val="22"/>
        </w:rPr>
        <w:t>vragen 301</w:t>
      </w:r>
      <w:r w:rsidRPr="0007500E">
        <w:rPr>
          <w:szCs w:val="22"/>
        </w:rPr>
        <w:t xml:space="preserve"> van </w:t>
      </w:r>
      <w:r>
        <w:rPr>
          <w:szCs w:val="22"/>
        </w:rPr>
        <w:t>28 februari 2013 en 13 januari 2011</w:t>
      </w:r>
      <w:r w:rsidRPr="0007500E">
        <w:rPr>
          <w:szCs w:val="22"/>
        </w:rPr>
        <w:t>).</w:t>
      </w:r>
    </w:p>
    <w:p w:rsidR="008E481D" w:rsidRPr="00B63897" w:rsidRDefault="008E481D" w:rsidP="008E481D">
      <w:pPr>
        <w:ind w:left="426" w:hanging="426"/>
        <w:jc w:val="both"/>
        <w:rPr>
          <w:szCs w:val="22"/>
        </w:rPr>
      </w:pPr>
    </w:p>
    <w:p w:rsidR="008E481D" w:rsidRDefault="008E481D" w:rsidP="008E481D">
      <w:pPr>
        <w:numPr>
          <w:ilvl w:val="1"/>
          <w:numId w:val="17"/>
        </w:numPr>
        <w:tabs>
          <w:tab w:val="clear" w:pos="1440"/>
        </w:tabs>
        <w:ind w:left="426" w:hanging="426"/>
        <w:jc w:val="both"/>
        <w:rPr>
          <w:szCs w:val="22"/>
        </w:rPr>
      </w:pPr>
      <w:r w:rsidRPr="00B63897">
        <w:rPr>
          <w:szCs w:val="22"/>
        </w:rPr>
        <w:t>Het programmacijfer 20</w:t>
      </w:r>
      <w:r>
        <w:rPr>
          <w:szCs w:val="22"/>
        </w:rPr>
        <w:t>14</w:t>
      </w:r>
      <w:r w:rsidRPr="00B63897">
        <w:rPr>
          <w:szCs w:val="22"/>
        </w:rPr>
        <w:t xml:space="preserve"> voor de woongelegenheden in </w:t>
      </w:r>
      <w:r>
        <w:rPr>
          <w:szCs w:val="22"/>
        </w:rPr>
        <w:t>woonzorgcentra</w:t>
      </w:r>
      <w:r w:rsidRPr="00B63897">
        <w:rPr>
          <w:szCs w:val="22"/>
        </w:rPr>
        <w:t xml:space="preserve"> is gebaseerd op de bevolkingsprojecties voor 201</w:t>
      </w:r>
      <w:r>
        <w:rPr>
          <w:szCs w:val="22"/>
        </w:rPr>
        <w:t>9</w:t>
      </w:r>
      <w:r w:rsidRPr="00B63897">
        <w:rPr>
          <w:szCs w:val="22"/>
        </w:rPr>
        <w:t xml:space="preserve"> en omvat voor de provincie Limburg </w:t>
      </w:r>
      <w:r w:rsidRPr="00703527">
        <w:rPr>
          <w:color w:val="000000"/>
          <w:szCs w:val="22"/>
        </w:rPr>
        <w:t>11.</w:t>
      </w:r>
      <w:r>
        <w:rPr>
          <w:color w:val="000000"/>
          <w:szCs w:val="22"/>
        </w:rPr>
        <w:t>634</w:t>
      </w:r>
      <w:r w:rsidRPr="00B63897">
        <w:rPr>
          <w:szCs w:val="22"/>
        </w:rPr>
        <w:t xml:space="preserve"> woongelegenheden. Het programmacijfer 2020 dat gebaseerd is op de bevolkingsprojecties voor 2025 omvat voor de provincie Limburg </w:t>
      </w:r>
      <w:r w:rsidRPr="00703527">
        <w:rPr>
          <w:color w:val="000000"/>
          <w:szCs w:val="22"/>
        </w:rPr>
        <w:t>13.388</w:t>
      </w:r>
      <w:r w:rsidRPr="00B63897">
        <w:rPr>
          <w:szCs w:val="22"/>
        </w:rPr>
        <w:t xml:space="preserve"> woongelegenheden. </w:t>
      </w:r>
    </w:p>
    <w:p w:rsidR="008E481D" w:rsidRPr="00B63897" w:rsidRDefault="008E481D" w:rsidP="008E481D">
      <w:pPr>
        <w:ind w:left="426" w:hanging="426"/>
        <w:jc w:val="both"/>
        <w:rPr>
          <w:szCs w:val="22"/>
        </w:rPr>
      </w:pPr>
    </w:p>
    <w:p w:rsidR="008E481D" w:rsidRDefault="008E481D" w:rsidP="008E481D">
      <w:pPr>
        <w:numPr>
          <w:ilvl w:val="1"/>
          <w:numId w:val="17"/>
        </w:numPr>
        <w:tabs>
          <w:tab w:val="clear" w:pos="1440"/>
        </w:tabs>
        <w:ind w:left="426" w:hanging="426"/>
        <w:jc w:val="both"/>
        <w:rPr>
          <w:szCs w:val="22"/>
        </w:rPr>
      </w:pPr>
      <w:r>
        <w:rPr>
          <w:szCs w:val="22"/>
        </w:rPr>
        <w:t>D</w:t>
      </w:r>
      <w:r w:rsidRPr="00B63897">
        <w:rPr>
          <w:szCs w:val="22"/>
        </w:rPr>
        <w:t xml:space="preserve">e 1.900 bijkomende bedden </w:t>
      </w:r>
      <w:r>
        <w:rPr>
          <w:szCs w:val="22"/>
        </w:rPr>
        <w:t xml:space="preserve">in woonzorgcentra en centra voor kortverblijf vervat in het Limburgplan zullen </w:t>
      </w:r>
      <w:r w:rsidRPr="00B63897">
        <w:rPr>
          <w:szCs w:val="22"/>
        </w:rPr>
        <w:t xml:space="preserve">via subsidiëring </w:t>
      </w:r>
      <w:r>
        <w:rPr>
          <w:szCs w:val="22"/>
        </w:rPr>
        <w:t>of waarborgverlening door</w:t>
      </w:r>
      <w:r w:rsidRPr="00B63897">
        <w:rPr>
          <w:szCs w:val="22"/>
        </w:rPr>
        <w:t xml:space="preserve"> de Vlaamse overheid gerealiseerd worden (zie </w:t>
      </w:r>
      <w:r>
        <w:rPr>
          <w:szCs w:val="22"/>
        </w:rPr>
        <w:t xml:space="preserve">ook het antwoord op </w:t>
      </w:r>
      <w:r w:rsidRPr="00B63897">
        <w:rPr>
          <w:szCs w:val="22"/>
        </w:rPr>
        <w:t xml:space="preserve">punten </w:t>
      </w:r>
      <w:r>
        <w:rPr>
          <w:szCs w:val="22"/>
        </w:rPr>
        <w:t>3 en 4 van de schriftelijke vraag 103 van 13 januari 2011</w:t>
      </w:r>
      <w:r w:rsidRPr="00B63897">
        <w:rPr>
          <w:szCs w:val="22"/>
        </w:rPr>
        <w:t>)</w:t>
      </w:r>
      <w:r>
        <w:rPr>
          <w:szCs w:val="22"/>
        </w:rPr>
        <w:t>.</w:t>
      </w:r>
    </w:p>
    <w:p w:rsidR="008E481D" w:rsidRDefault="008E481D" w:rsidP="008E481D">
      <w:pPr>
        <w:ind w:left="426" w:hanging="426"/>
        <w:jc w:val="both"/>
        <w:rPr>
          <w:szCs w:val="22"/>
        </w:rPr>
      </w:pPr>
    </w:p>
    <w:p w:rsidR="008E481D" w:rsidRPr="00B63897" w:rsidRDefault="008E481D" w:rsidP="00733EA7">
      <w:pPr>
        <w:ind w:left="426"/>
        <w:jc w:val="both"/>
        <w:rPr>
          <w:szCs w:val="22"/>
        </w:rPr>
      </w:pPr>
      <w:r>
        <w:rPr>
          <w:szCs w:val="22"/>
        </w:rPr>
        <w:t xml:space="preserve">Op 1 april 2014 zijn er effectief reeds </w:t>
      </w:r>
      <w:r>
        <w:rPr>
          <w:color w:val="000000"/>
          <w:szCs w:val="22"/>
        </w:rPr>
        <w:t xml:space="preserve">814 </w:t>
      </w:r>
      <w:r>
        <w:rPr>
          <w:szCs w:val="22"/>
        </w:rPr>
        <w:t xml:space="preserve">bijkomende woongelegenheden gerealiseerd. </w:t>
      </w:r>
      <w:r w:rsidRPr="00B63897">
        <w:rPr>
          <w:szCs w:val="22"/>
        </w:rPr>
        <w:t xml:space="preserve">Voor een aantal van </w:t>
      </w:r>
      <w:r>
        <w:rPr>
          <w:szCs w:val="22"/>
        </w:rPr>
        <w:t xml:space="preserve">de overige definitief </w:t>
      </w:r>
      <w:r w:rsidRPr="00B63897">
        <w:rPr>
          <w:szCs w:val="22"/>
        </w:rPr>
        <w:t xml:space="preserve">goedgekeurde projecten zijn de werken </w:t>
      </w:r>
      <w:r>
        <w:rPr>
          <w:szCs w:val="22"/>
        </w:rPr>
        <w:t xml:space="preserve">ondertussen aanbesteed en in uitvoering, en zullen de bijkomende woongelegenheden in 2014 en volgende jaren in gebruik genomen kunnen worden. </w:t>
      </w:r>
    </w:p>
    <w:p w:rsidR="008E481D" w:rsidRPr="00B63897" w:rsidRDefault="008E481D" w:rsidP="008E481D">
      <w:pPr>
        <w:ind w:left="426" w:hanging="426"/>
        <w:jc w:val="both"/>
        <w:rPr>
          <w:szCs w:val="22"/>
        </w:rPr>
      </w:pPr>
    </w:p>
    <w:p w:rsidR="008E481D" w:rsidRPr="00D568F3" w:rsidRDefault="008E481D" w:rsidP="008E481D">
      <w:pPr>
        <w:pStyle w:val="Lijstalinea"/>
        <w:numPr>
          <w:ilvl w:val="1"/>
          <w:numId w:val="17"/>
        </w:numPr>
        <w:tabs>
          <w:tab w:val="clear" w:pos="1440"/>
        </w:tabs>
        <w:ind w:left="426" w:hanging="426"/>
        <w:jc w:val="both"/>
        <w:rPr>
          <w:sz w:val="22"/>
          <w:szCs w:val="22"/>
        </w:rPr>
      </w:pPr>
      <w:r w:rsidRPr="00D568F3">
        <w:rPr>
          <w:sz w:val="22"/>
          <w:szCs w:val="22"/>
        </w:rPr>
        <w:t xml:space="preserve">Voor de provincie Limburg zijn er op 1 april 2014 met VIPA gesubsidieerde bouwprojecten met in totaal 4.085 woongelegenheden in </w:t>
      </w:r>
      <w:r>
        <w:rPr>
          <w:sz w:val="22"/>
          <w:szCs w:val="22"/>
        </w:rPr>
        <w:t>een fase van de VIPA</w:t>
      </w:r>
      <w:r w:rsidRPr="00D568F3">
        <w:rPr>
          <w:sz w:val="22"/>
          <w:szCs w:val="22"/>
        </w:rPr>
        <w:t xml:space="preserve">-procedure, gaande van indiening van een </w:t>
      </w:r>
      <w:proofErr w:type="spellStart"/>
      <w:r w:rsidRPr="00D568F3">
        <w:rPr>
          <w:sz w:val="22"/>
          <w:szCs w:val="22"/>
        </w:rPr>
        <w:t>zorgstrategisch</w:t>
      </w:r>
      <w:proofErr w:type="spellEnd"/>
      <w:r w:rsidRPr="00D568F3">
        <w:rPr>
          <w:sz w:val="22"/>
          <w:szCs w:val="22"/>
        </w:rPr>
        <w:t xml:space="preserve"> plan tot effectief gerealiseerd (met uitbetaling van de jaarlijkse </w:t>
      </w:r>
      <w:r>
        <w:rPr>
          <w:sz w:val="22"/>
          <w:szCs w:val="22"/>
        </w:rPr>
        <w:t>VIPA</w:t>
      </w:r>
      <w:r w:rsidRPr="00D568F3">
        <w:rPr>
          <w:sz w:val="22"/>
          <w:szCs w:val="22"/>
        </w:rPr>
        <w:t xml:space="preserve">-subsidies). Dit betreft in totaal 3.895 woongelegenheden in woonzorgcentra en 190 woongelegenheden in centra voor kortverblijf. Van deze aantallen zijn er wat de woonzorgcentra betreft in totaal 1.817 bijkomende woongelegenheden en 2.078 vervangingswoongelegenheden. Voor de centra voor kortverblijf zijn dit respectievelijk 168 bijkomende woongelegenheden en 22 vervangingswoongelegenheden. </w:t>
      </w:r>
    </w:p>
    <w:p w:rsidR="008E481D" w:rsidRDefault="008E481D" w:rsidP="008E481D">
      <w:pPr>
        <w:ind w:left="426" w:hanging="426"/>
        <w:jc w:val="both"/>
      </w:pPr>
    </w:p>
    <w:p w:rsidR="008E481D" w:rsidRPr="0007500E" w:rsidRDefault="008E481D" w:rsidP="008E481D">
      <w:pPr>
        <w:ind w:left="426"/>
        <w:jc w:val="both"/>
        <w:rPr>
          <w:szCs w:val="22"/>
        </w:rPr>
      </w:pPr>
      <w:r w:rsidRPr="0007500E">
        <w:rPr>
          <w:szCs w:val="22"/>
        </w:rPr>
        <w:t xml:space="preserve">Naast de gesubsidieerde projecten zijn er nog een beperkt aantal projecten waar de Vlaamse overheid de door de initiatiefnemer afgesloten leningen bij financiële instellingen waarborgt (VIPA-waarborg). Het betreft voor woonzorgcentra de realisatie van 182 bijkomende woongelegenheden en 31 vervangingswoongelegenheden. </w:t>
      </w:r>
    </w:p>
    <w:p w:rsidR="008E481D" w:rsidRDefault="008E481D" w:rsidP="008E481D">
      <w:pPr>
        <w:ind w:left="426" w:hanging="426"/>
        <w:jc w:val="both"/>
      </w:pPr>
    </w:p>
    <w:p w:rsidR="008E481D" w:rsidRPr="0007500E" w:rsidRDefault="008E481D" w:rsidP="008E481D">
      <w:pPr>
        <w:ind w:left="426"/>
        <w:jc w:val="both"/>
        <w:rPr>
          <w:szCs w:val="22"/>
        </w:rPr>
      </w:pPr>
      <w:r w:rsidRPr="0007500E">
        <w:rPr>
          <w:szCs w:val="22"/>
        </w:rPr>
        <w:t xml:space="preserve">Samenvattend betekent dit dat er op 1 </w:t>
      </w:r>
      <w:r>
        <w:rPr>
          <w:szCs w:val="22"/>
        </w:rPr>
        <w:t>april 2014</w:t>
      </w:r>
      <w:r w:rsidRPr="0007500E">
        <w:rPr>
          <w:szCs w:val="22"/>
        </w:rPr>
        <w:t xml:space="preserve"> in totaal </w:t>
      </w:r>
      <w:r>
        <w:rPr>
          <w:szCs w:val="22"/>
        </w:rPr>
        <w:t>2.167</w:t>
      </w:r>
      <w:r w:rsidRPr="0007500E">
        <w:rPr>
          <w:szCs w:val="22"/>
        </w:rPr>
        <w:t xml:space="preserve"> bijkomende </w:t>
      </w:r>
      <w:proofErr w:type="spellStart"/>
      <w:r w:rsidRPr="0007500E">
        <w:rPr>
          <w:szCs w:val="22"/>
        </w:rPr>
        <w:t>woon-gelegenheden</w:t>
      </w:r>
      <w:proofErr w:type="spellEnd"/>
      <w:r w:rsidRPr="0007500E">
        <w:rPr>
          <w:szCs w:val="22"/>
        </w:rPr>
        <w:t xml:space="preserve"> (</w:t>
      </w:r>
      <w:r>
        <w:rPr>
          <w:szCs w:val="22"/>
        </w:rPr>
        <w:t>1.999</w:t>
      </w:r>
      <w:r w:rsidRPr="0007500E">
        <w:rPr>
          <w:szCs w:val="22"/>
        </w:rPr>
        <w:t xml:space="preserve"> woongelegenheden in woonzorgcentra en </w:t>
      </w:r>
      <w:r>
        <w:rPr>
          <w:szCs w:val="22"/>
        </w:rPr>
        <w:t>168</w:t>
      </w:r>
      <w:r w:rsidRPr="0007500E">
        <w:rPr>
          <w:szCs w:val="22"/>
        </w:rPr>
        <w:t xml:space="preserve"> woongelegenheden in centra voor kortverblijf</w:t>
      </w:r>
      <w:r>
        <w:rPr>
          <w:szCs w:val="22"/>
        </w:rPr>
        <w:t>) in één of andere fase van de VIPA</w:t>
      </w:r>
      <w:r w:rsidRPr="0007500E">
        <w:rPr>
          <w:szCs w:val="22"/>
        </w:rPr>
        <w:t xml:space="preserve">-procedure opgenomen </w:t>
      </w:r>
      <w:r>
        <w:rPr>
          <w:szCs w:val="22"/>
        </w:rPr>
        <w:t xml:space="preserve">zijn en in aanmerking kunnen komen voor opname in </w:t>
      </w:r>
      <w:r w:rsidRPr="0007500E">
        <w:rPr>
          <w:szCs w:val="22"/>
        </w:rPr>
        <w:t>dit luik van het Limburgplan.</w:t>
      </w:r>
    </w:p>
    <w:p w:rsidR="008E481D" w:rsidRDefault="008E481D" w:rsidP="008E481D">
      <w:pPr>
        <w:ind w:left="426" w:hanging="426"/>
      </w:pPr>
    </w:p>
    <w:p w:rsidR="008E481D" w:rsidRDefault="008E481D" w:rsidP="008E481D">
      <w:pPr>
        <w:ind w:left="426" w:hanging="426"/>
      </w:pPr>
    </w:p>
    <w:p w:rsidR="008E481D" w:rsidRDefault="008E481D" w:rsidP="008E481D">
      <w:pPr>
        <w:ind w:left="426" w:hanging="426"/>
      </w:pPr>
    </w:p>
    <w:p w:rsidR="008E481D" w:rsidRDefault="008E481D" w:rsidP="008E481D">
      <w:pPr>
        <w:ind w:left="426" w:hanging="426"/>
      </w:pPr>
    </w:p>
    <w:p w:rsidR="008E481D" w:rsidRDefault="008E481D" w:rsidP="008E481D">
      <w:pPr>
        <w:ind w:left="426" w:hanging="426"/>
      </w:pPr>
    </w:p>
    <w:p w:rsidR="008E481D" w:rsidRDefault="008E481D" w:rsidP="008E481D">
      <w:pPr>
        <w:ind w:left="426" w:hanging="426"/>
      </w:pPr>
    </w:p>
    <w:p w:rsidR="008E481D" w:rsidRDefault="008E481D" w:rsidP="008E481D">
      <w:pPr>
        <w:ind w:left="426" w:hanging="426"/>
      </w:pPr>
    </w:p>
    <w:p w:rsidR="008E481D" w:rsidRDefault="008E481D" w:rsidP="008E481D">
      <w:pPr>
        <w:ind w:left="426"/>
      </w:pPr>
      <w:r>
        <w:lastRenderedPageBreak/>
        <w:t>Dit geeft volgende globale overzichtstabel:</w:t>
      </w:r>
    </w:p>
    <w:p w:rsidR="008E481D" w:rsidRDefault="008E481D" w:rsidP="008E481D"/>
    <w:tbl>
      <w:tblPr>
        <w:tblW w:w="8892" w:type="dxa"/>
        <w:tblInd w:w="720" w:type="dxa"/>
        <w:tblCellMar>
          <w:left w:w="0" w:type="dxa"/>
          <w:right w:w="0" w:type="dxa"/>
        </w:tblCellMar>
        <w:tblLook w:val="04A0" w:firstRow="1" w:lastRow="0" w:firstColumn="1" w:lastColumn="0" w:noHBand="0" w:noVBand="1"/>
      </w:tblPr>
      <w:tblGrid>
        <w:gridCol w:w="3076"/>
        <w:gridCol w:w="1418"/>
        <w:gridCol w:w="1419"/>
        <w:gridCol w:w="1418"/>
        <w:gridCol w:w="1561"/>
      </w:tblGrid>
      <w:tr w:rsidR="008E481D" w:rsidRPr="0044029B" w:rsidTr="00D669B5">
        <w:tc>
          <w:tcPr>
            <w:tcW w:w="3076" w:type="dxa"/>
            <w:tcBorders>
              <w:top w:val="single" w:sz="8" w:space="0" w:color="000000"/>
              <w:left w:val="single" w:sz="8" w:space="0" w:color="000000"/>
              <w:bottom w:val="single" w:sz="8" w:space="0" w:color="000000"/>
              <w:right w:val="single" w:sz="8" w:space="0" w:color="000000"/>
            </w:tcBorders>
            <w:shd w:val="clear" w:color="auto" w:fill="FABF8F"/>
            <w:tcMar>
              <w:top w:w="0" w:type="dxa"/>
              <w:left w:w="108" w:type="dxa"/>
              <w:bottom w:w="0" w:type="dxa"/>
              <w:right w:w="108" w:type="dxa"/>
            </w:tcMar>
            <w:hideMark/>
          </w:tcPr>
          <w:p w:rsidR="008E481D" w:rsidRPr="0044029B" w:rsidRDefault="008E481D" w:rsidP="00D669B5">
            <w:pPr>
              <w:pStyle w:val="Lijstalinea"/>
              <w:ind w:left="0"/>
              <w:rPr>
                <w:color w:val="000000"/>
                <w:sz w:val="22"/>
                <w:szCs w:val="22"/>
                <w:lang w:eastAsia="en-US"/>
              </w:rPr>
            </w:pPr>
            <w:r w:rsidRPr="0044029B">
              <w:rPr>
                <w:color w:val="000000"/>
                <w:sz w:val="22"/>
                <w:szCs w:val="22"/>
                <w:lang w:eastAsia="en-US"/>
              </w:rPr>
              <w:t xml:space="preserve">Totaal </w:t>
            </w:r>
            <w:proofErr w:type="spellStart"/>
            <w:r w:rsidRPr="0044029B">
              <w:rPr>
                <w:bCs/>
                <w:color w:val="000000"/>
                <w:sz w:val="22"/>
                <w:szCs w:val="22"/>
                <w:lang w:eastAsia="en-US"/>
              </w:rPr>
              <w:t>wgl</w:t>
            </w:r>
            <w:proofErr w:type="spellEnd"/>
            <w:r w:rsidRPr="0044029B">
              <w:rPr>
                <w:bCs/>
                <w:color w:val="000000"/>
                <w:sz w:val="22"/>
                <w:szCs w:val="22"/>
                <w:lang w:eastAsia="en-US"/>
              </w:rPr>
              <w:t xml:space="preserve">. in Limburgplan – subsidies </w:t>
            </w:r>
          </w:p>
        </w:tc>
        <w:tc>
          <w:tcPr>
            <w:tcW w:w="2837" w:type="dxa"/>
            <w:gridSpan w:val="2"/>
            <w:tcBorders>
              <w:top w:val="single" w:sz="8" w:space="0" w:color="000000"/>
              <w:left w:val="nil"/>
              <w:bottom w:val="single" w:sz="8" w:space="0" w:color="000000"/>
              <w:right w:val="single" w:sz="8" w:space="0" w:color="000000"/>
            </w:tcBorders>
            <w:shd w:val="clear" w:color="auto" w:fill="FABF8F"/>
            <w:tcMar>
              <w:top w:w="0" w:type="dxa"/>
              <w:left w:w="108" w:type="dxa"/>
              <w:bottom w:w="0" w:type="dxa"/>
              <w:right w:w="108" w:type="dxa"/>
            </w:tcMar>
            <w:hideMark/>
          </w:tcPr>
          <w:p w:rsidR="008E481D" w:rsidRPr="0044029B" w:rsidRDefault="008E481D" w:rsidP="00D669B5">
            <w:pPr>
              <w:pStyle w:val="Lijstalinea"/>
              <w:ind w:left="0"/>
              <w:jc w:val="center"/>
              <w:rPr>
                <w:color w:val="000000"/>
                <w:sz w:val="22"/>
                <w:szCs w:val="22"/>
                <w:lang w:eastAsia="en-US"/>
              </w:rPr>
            </w:pPr>
            <w:r w:rsidRPr="0044029B">
              <w:rPr>
                <w:color w:val="000000"/>
                <w:sz w:val="22"/>
                <w:szCs w:val="22"/>
                <w:lang w:eastAsia="en-US"/>
              </w:rPr>
              <w:t>WZC</w:t>
            </w:r>
          </w:p>
        </w:tc>
        <w:tc>
          <w:tcPr>
            <w:tcW w:w="2979" w:type="dxa"/>
            <w:gridSpan w:val="2"/>
            <w:tcBorders>
              <w:top w:val="single" w:sz="8" w:space="0" w:color="000000"/>
              <w:left w:val="nil"/>
              <w:bottom w:val="single" w:sz="8" w:space="0" w:color="000000"/>
              <w:right w:val="single" w:sz="8" w:space="0" w:color="000000"/>
            </w:tcBorders>
            <w:shd w:val="clear" w:color="auto" w:fill="FABF8F"/>
            <w:tcMar>
              <w:top w:w="0" w:type="dxa"/>
              <w:left w:w="108" w:type="dxa"/>
              <w:bottom w:w="0" w:type="dxa"/>
              <w:right w:w="108" w:type="dxa"/>
            </w:tcMar>
            <w:hideMark/>
          </w:tcPr>
          <w:p w:rsidR="008E481D" w:rsidRPr="0044029B" w:rsidRDefault="008E481D" w:rsidP="00D669B5">
            <w:pPr>
              <w:pStyle w:val="Lijstalinea"/>
              <w:ind w:left="0"/>
              <w:jc w:val="center"/>
              <w:rPr>
                <w:color w:val="000000"/>
                <w:sz w:val="22"/>
                <w:szCs w:val="22"/>
                <w:lang w:eastAsia="en-US"/>
              </w:rPr>
            </w:pPr>
            <w:r w:rsidRPr="0044029B">
              <w:rPr>
                <w:color w:val="000000"/>
                <w:sz w:val="22"/>
                <w:szCs w:val="22"/>
                <w:lang w:eastAsia="en-US"/>
              </w:rPr>
              <w:t>CVK</w:t>
            </w:r>
          </w:p>
        </w:tc>
      </w:tr>
      <w:tr w:rsidR="008E481D" w:rsidRPr="0044029B" w:rsidTr="00D669B5">
        <w:tc>
          <w:tcPr>
            <w:tcW w:w="30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481D" w:rsidRPr="0044029B" w:rsidRDefault="008E481D" w:rsidP="00D669B5">
            <w:pPr>
              <w:pStyle w:val="Lijstalinea"/>
              <w:ind w:left="0"/>
              <w:jc w:val="center"/>
              <w:rPr>
                <w:bCs/>
                <w:color w:val="000000"/>
                <w:sz w:val="22"/>
                <w:szCs w:val="22"/>
                <w:lang w:eastAsia="en-US"/>
              </w:rPr>
            </w:pPr>
            <w:r w:rsidRPr="0044029B">
              <w:rPr>
                <w:bCs/>
                <w:color w:val="000000"/>
                <w:sz w:val="22"/>
                <w:szCs w:val="22"/>
                <w:lang w:eastAsia="en-US"/>
              </w:rPr>
              <w:t>4.085</w:t>
            </w:r>
          </w:p>
        </w:tc>
        <w:tc>
          <w:tcPr>
            <w:tcW w:w="283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E481D" w:rsidRPr="0044029B" w:rsidRDefault="008E481D" w:rsidP="00D669B5">
            <w:pPr>
              <w:pStyle w:val="Lijstalinea"/>
              <w:ind w:left="0"/>
              <w:jc w:val="center"/>
              <w:rPr>
                <w:bCs/>
                <w:color w:val="000000"/>
                <w:sz w:val="22"/>
                <w:szCs w:val="22"/>
                <w:lang w:eastAsia="en-US"/>
              </w:rPr>
            </w:pPr>
            <w:r w:rsidRPr="0044029B">
              <w:rPr>
                <w:bCs/>
                <w:color w:val="000000"/>
                <w:sz w:val="22"/>
                <w:szCs w:val="22"/>
                <w:lang w:eastAsia="en-US"/>
              </w:rPr>
              <w:t>3.895</w:t>
            </w:r>
          </w:p>
        </w:tc>
        <w:tc>
          <w:tcPr>
            <w:tcW w:w="297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E481D" w:rsidRPr="0044029B" w:rsidRDefault="008E481D" w:rsidP="00D669B5">
            <w:pPr>
              <w:pStyle w:val="Lijstalinea"/>
              <w:ind w:left="0"/>
              <w:jc w:val="center"/>
              <w:rPr>
                <w:bCs/>
                <w:color w:val="000000"/>
                <w:sz w:val="22"/>
                <w:szCs w:val="22"/>
                <w:lang w:eastAsia="en-US"/>
              </w:rPr>
            </w:pPr>
            <w:r w:rsidRPr="0044029B">
              <w:rPr>
                <w:bCs/>
                <w:color w:val="000000"/>
                <w:sz w:val="22"/>
                <w:szCs w:val="22"/>
                <w:lang w:eastAsia="en-US"/>
              </w:rPr>
              <w:t>190</w:t>
            </w:r>
          </w:p>
        </w:tc>
      </w:tr>
      <w:tr w:rsidR="008E481D" w:rsidRPr="0044029B" w:rsidTr="00D669B5">
        <w:tc>
          <w:tcPr>
            <w:tcW w:w="30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481D" w:rsidRPr="0044029B" w:rsidRDefault="008E481D" w:rsidP="00D669B5">
            <w:pPr>
              <w:pStyle w:val="Lijstalinea"/>
              <w:ind w:left="0"/>
              <w:rPr>
                <w:color w:val="000000"/>
                <w:sz w:val="22"/>
                <w:szCs w:val="22"/>
                <w:lang w:eastAsia="en-US"/>
              </w:rPr>
            </w:pP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E481D" w:rsidRPr="0044029B" w:rsidRDefault="008E481D" w:rsidP="00D669B5">
            <w:pPr>
              <w:pStyle w:val="Lijstalinea"/>
              <w:ind w:left="0"/>
              <w:jc w:val="center"/>
              <w:rPr>
                <w:color w:val="000000"/>
                <w:sz w:val="22"/>
                <w:szCs w:val="22"/>
                <w:lang w:eastAsia="en-US"/>
              </w:rPr>
            </w:pPr>
            <w:r w:rsidRPr="0044029B">
              <w:rPr>
                <w:color w:val="000000"/>
                <w:sz w:val="22"/>
                <w:szCs w:val="22"/>
                <w:lang w:eastAsia="en-US"/>
              </w:rPr>
              <w:t>nieuw</w:t>
            </w:r>
          </w:p>
        </w:tc>
        <w:tc>
          <w:tcPr>
            <w:tcW w:w="1419" w:type="dxa"/>
            <w:tcBorders>
              <w:top w:val="nil"/>
              <w:left w:val="nil"/>
              <w:bottom w:val="single" w:sz="8" w:space="0" w:color="000000"/>
              <w:right w:val="single" w:sz="8" w:space="0" w:color="000000"/>
            </w:tcBorders>
            <w:tcMar>
              <w:top w:w="0" w:type="dxa"/>
              <w:left w:w="108" w:type="dxa"/>
              <w:bottom w:w="0" w:type="dxa"/>
              <w:right w:w="108" w:type="dxa"/>
            </w:tcMar>
            <w:hideMark/>
          </w:tcPr>
          <w:p w:rsidR="008E481D" w:rsidRPr="0044029B" w:rsidRDefault="008E481D" w:rsidP="00D669B5">
            <w:pPr>
              <w:pStyle w:val="Lijstalinea"/>
              <w:ind w:left="0"/>
              <w:jc w:val="center"/>
              <w:rPr>
                <w:color w:val="000000"/>
                <w:sz w:val="22"/>
                <w:szCs w:val="22"/>
                <w:lang w:eastAsia="en-US"/>
              </w:rPr>
            </w:pPr>
            <w:r w:rsidRPr="0044029B">
              <w:rPr>
                <w:color w:val="000000"/>
                <w:sz w:val="22"/>
                <w:szCs w:val="22"/>
                <w:lang w:eastAsia="en-US"/>
              </w:rPr>
              <w:t>vervanging</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E481D" w:rsidRPr="0044029B" w:rsidRDefault="008E481D" w:rsidP="00D669B5">
            <w:pPr>
              <w:pStyle w:val="Lijstalinea"/>
              <w:ind w:left="0"/>
              <w:jc w:val="center"/>
              <w:rPr>
                <w:color w:val="000000"/>
                <w:sz w:val="22"/>
                <w:szCs w:val="22"/>
                <w:lang w:eastAsia="en-US"/>
              </w:rPr>
            </w:pPr>
            <w:r w:rsidRPr="0044029B">
              <w:rPr>
                <w:color w:val="000000"/>
                <w:sz w:val="22"/>
                <w:szCs w:val="22"/>
                <w:lang w:eastAsia="en-US"/>
              </w:rPr>
              <w:t>nieuw</w:t>
            </w:r>
          </w:p>
        </w:tc>
        <w:tc>
          <w:tcPr>
            <w:tcW w:w="1561" w:type="dxa"/>
            <w:tcBorders>
              <w:top w:val="nil"/>
              <w:left w:val="nil"/>
              <w:bottom w:val="single" w:sz="8" w:space="0" w:color="000000"/>
              <w:right w:val="single" w:sz="8" w:space="0" w:color="000000"/>
            </w:tcBorders>
            <w:tcMar>
              <w:top w:w="0" w:type="dxa"/>
              <w:left w:w="108" w:type="dxa"/>
              <w:bottom w:w="0" w:type="dxa"/>
              <w:right w:w="108" w:type="dxa"/>
            </w:tcMar>
            <w:hideMark/>
          </w:tcPr>
          <w:p w:rsidR="008E481D" w:rsidRPr="0044029B" w:rsidRDefault="008E481D" w:rsidP="00D669B5">
            <w:pPr>
              <w:pStyle w:val="Lijstalinea"/>
              <w:ind w:left="0"/>
              <w:jc w:val="center"/>
              <w:rPr>
                <w:color w:val="000000"/>
                <w:sz w:val="22"/>
                <w:szCs w:val="22"/>
                <w:lang w:eastAsia="en-US"/>
              </w:rPr>
            </w:pPr>
            <w:r w:rsidRPr="0044029B">
              <w:rPr>
                <w:color w:val="000000"/>
                <w:sz w:val="22"/>
                <w:szCs w:val="22"/>
                <w:lang w:eastAsia="en-US"/>
              </w:rPr>
              <w:t>vervanging</w:t>
            </w:r>
          </w:p>
        </w:tc>
      </w:tr>
      <w:tr w:rsidR="008E481D" w:rsidRPr="0044029B" w:rsidTr="00D669B5">
        <w:tc>
          <w:tcPr>
            <w:tcW w:w="30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481D" w:rsidRPr="0044029B" w:rsidRDefault="008E481D" w:rsidP="00D669B5">
            <w:pPr>
              <w:pStyle w:val="Lijstalinea"/>
              <w:ind w:left="0"/>
              <w:rPr>
                <w:color w:val="000000"/>
                <w:sz w:val="22"/>
                <w:szCs w:val="22"/>
                <w:lang w:eastAsia="en-US"/>
              </w:rPr>
            </w:pP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E481D" w:rsidRPr="0044029B" w:rsidRDefault="008E481D" w:rsidP="00D669B5">
            <w:pPr>
              <w:pStyle w:val="Lijstalinea"/>
              <w:ind w:left="0"/>
              <w:jc w:val="center"/>
              <w:rPr>
                <w:bCs/>
                <w:color w:val="000000"/>
                <w:sz w:val="22"/>
                <w:szCs w:val="22"/>
                <w:lang w:eastAsia="en-US"/>
              </w:rPr>
            </w:pPr>
            <w:r w:rsidRPr="0044029B">
              <w:rPr>
                <w:bCs/>
                <w:color w:val="000000"/>
                <w:sz w:val="22"/>
                <w:szCs w:val="22"/>
                <w:lang w:eastAsia="en-US"/>
              </w:rPr>
              <w:t>1.817</w:t>
            </w:r>
          </w:p>
        </w:tc>
        <w:tc>
          <w:tcPr>
            <w:tcW w:w="1419" w:type="dxa"/>
            <w:tcBorders>
              <w:top w:val="nil"/>
              <w:left w:val="nil"/>
              <w:bottom w:val="single" w:sz="8" w:space="0" w:color="000000"/>
              <w:right w:val="single" w:sz="8" w:space="0" w:color="000000"/>
            </w:tcBorders>
            <w:tcMar>
              <w:top w:w="0" w:type="dxa"/>
              <w:left w:w="108" w:type="dxa"/>
              <w:bottom w:w="0" w:type="dxa"/>
              <w:right w:w="108" w:type="dxa"/>
            </w:tcMar>
            <w:hideMark/>
          </w:tcPr>
          <w:p w:rsidR="008E481D" w:rsidRPr="0044029B" w:rsidRDefault="008E481D" w:rsidP="00D669B5">
            <w:pPr>
              <w:pStyle w:val="Lijstalinea"/>
              <w:ind w:left="0"/>
              <w:jc w:val="center"/>
              <w:rPr>
                <w:bCs/>
                <w:color w:val="000000"/>
                <w:sz w:val="22"/>
                <w:szCs w:val="22"/>
                <w:lang w:eastAsia="en-US"/>
              </w:rPr>
            </w:pPr>
            <w:r w:rsidRPr="0044029B">
              <w:rPr>
                <w:bCs/>
                <w:color w:val="000000"/>
                <w:sz w:val="22"/>
                <w:szCs w:val="22"/>
                <w:lang w:eastAsia="en-US"/>
              </w:rPr>
              <w:t>2.078</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E481D" w:rsidRPr="0044029B" w:rsidRDefault="008E481D" w:rsidP="00D669B5">
            <w:pPr>
              <w:pStyle w:val="Lijstalinea"/>
              <w:ind w:left="0"/>
              <w:jc w:val="center"/>
              <w:rPr>
                <w:bCs/>
                <w:color w:val="000000"/>
                <w:sz w:val="22"/>
                <w:szCs w:val="22"/>
                <w:lang w:eastAsia="en-US"/>
              </w:rPr>
            </w:pPr>
            <w:r w:rsidRPr="0044029B">
              <w:rPr>
                <w:bCs/>
                <w:color w:val="000000"/>
                <w:sz w:val="22"/>
                <w:szCs w:val="22"/>
                <w:lang w:eastAsia="en-US"/>
              </w:rPr>
              <w:t>168</w:t>
            </w:r>
          </w:p>
        </w:tc>
        <w:tc>
          <w:tcPr>
            <w:tcW w:w="1561" w:type="dxa"/>
            <w:tcBorders>
              <w:top w:val="nil"/>
              <w:left w:val="nil"/>
              <w:bottom w:val="single" w:sz="8" w:space="0" w:color="000000"/>
              <w:right w:val="single" w:sz="8" w:space="0" w:color="000000"/>
            </w:tcBorders>
            <w:tcMar>
              <w:top w:w="0" w:type="dxa"/>
              <w:left w:w="108" w:type="dxa"/>
              <w:bottom w:w="0" w:type="dxa"/>
              <w:right w:w="108" w:type="dxa"/>
            </w:tcMar>
            <w:hideMark/>
          </w:tcPr>
          <w:p w:rsidR="008E481D" w:rsidRPr="0044029B" w:rsidRDefault="008E481D" w:rsidP="00D669B5">
            <w:pPr>
              <w:pStyle w:val="Lijstalinea"/>
              <w:ind w:left="0"/>
              <w:jc w:val="center"/>
              <w:rPr>
                <w:bCs/>
                <w:color w:val="000000"/>
                <w:sz w:val="22"/>
                <w:szCs w:val="22"/>
                <w:lang w:eastAsia="en-US"/>
              </w:rPr>
            </w:pPr>
            <w:r w:rsidRPr="0044029B">
              <w:rPr>
                <w:bCs/>
                <w:color w:val="000000"/>
                <w:sz w:val="22"/>
                <w:szCs w:val="22"/>
                <w:lang w:eastAsia="en-US"/>
              </w:rPr>
              <w:t>22</w:t>
            </w:r>
          </w:p>
        </w:tc>
      </w:tr>
      <w:tr w:rsidR="008E481D" w:rsidRPr="0044029B" w:rsidTr="00D669B5">
        <w:tc>
          <w:tcPr>
            <w:tcW w:w="30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481D" w:rsidRPr="0044029B" w:rsidRDefault="008E481D" w:rsidP="00D669B5">
            <w:pPr>
              <w:pStyle w:val="Lijstalinea"/>
              <w:ind w:left="0"/>
              <w:rPr>
                <w:bCs/>
                <w:color w:val="000000"/>
                <w:sz w:val="22"/>
                <w:szCs w:val="22"/>
                <w:lang w:eastAsia="en-US"/>
              </w:rPr>
            </w:pPr>
            <w:r w:rsidRPr="0044029B">
              <w:rPr>
                <w:bCs/>
                <w:color w:val="000000"/>
                <w:sz w:val="22"/>
                <w:szCs w:val="22"/>
                <w:lang w:eastAsia="en-US"/>
              </w:rPr>
              <w:t>Totaal nieuw WZC + CVK</w:t>
            </w:r>
          </w:p>
        </w:tc>
        <w:tc>
          <w:tcPr>
            <w:tcW w:w="581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8E481D" w:rsidRPr="0044029B" w:rsidRDefault="008E481D" w:rsidP="00D669B5">
            <w:pPr>
              <w:pStyle w:val="Lijstalinea"/>
              <w:ind w:left="0"/>
              <w:jc w:val="center"/>
              <w:rPr>
                <w:bCs/>
                <w:color w:val="000000"/>
                <w:sz w:val="22"/>
                <w:szCs w:val="22"/>
                <w:lang w:eastAsia="en-US"/>
              </w:rPr>
            </w:pPr>
            <w:r w:rsidRPr="0044029B">
              <w:rPr>
                <w:bCs/>
                <w:color w:val="000000"/>
                <w:sz w:val="22"/>
                <w:szCs w:val="22"/>
                <w:lang w:eastAsia="en-US"/>
              </w:rPr>
              <w:t>1.985</w:t>
            </w:r>
          </w:p>
        </w:tc>
      </w:tr>
      <w:tr w:rsidR="008E481D" w:rsidRPr="0044029B" w:rsidTr="00D669B5">
        <w:tc>
          <w:tcPr>
            <w:tcW w:w="8892" w:type="dxa"/>
            <w:gridSpan w:val="5"/>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E481D" w:rsidRPr="0044029B" w:rsidRDefault="008E481D" w:rsidP="00D669B5">
            <w:pPr>
              <w:pStyle w:val="Lijstalinea"/>
              <w:ind w:left="0"/>
              <w:rPr>
                <w:color w:val="000000"/>
                <w:sz w:val="22"/>
                <w:szCs w:val="22"/>
                <w:lang w:eastAsia="en-US"/>
              </w:rPr>
            </w:pPr>
          </w:p>
        </w:tc>
      </w:tr>
      <w:tr w:rsidR="008E481D" w:rsidRPr="0044029B" w:rsidTr="00D669B5">
        <w:tc>
          <w:tcPr>
            <w:tcW w:w="3076" w:type="dxa"/>
            <w:tcBorders>
              <w:top w:val="nil"/>
              <w:left w:val="single" w:sz="8" w:space="0" w:color="000000"/>
              <w:bottom w:val="single" w:sz="8" w:space="0" w:color="000000"/>
              <w:right w:val="single" w:sz="8" w:space="0" w:color="000000"/>
            </w:tcBorders>
            <w:shd w:val="clear" w:color="auto" w:fill="FABF8F"/>
            <w:tcMar>
              <w:top w:w="0" w:type="dxa"/>
              <w:left w:w="108" w:type="dxa"/>
              <w:bottom w:w="0" w:type="dxa"/>
              <w:right w:w="108" w:type="dxa"/>
            </w:tcMar>
            <w:hideMark/>
          </w:tcPr>
          <w:p w:rsidR="008E481D" w:rsidRPr="0044029B" w:rsidRDefault="008E481D" w:rsidP="00D669B5">
            <w:pPr>
              <w:pStyle w:val="Lijstalinea"/>
              <w:ind w:left="0"/>
              <w:rPr>
                <w:color w:val="000000"/>
                <w:sz w:val="22"/>
                <w:szCs w:val="22"/>
                <w:lang w:eastAsia="en-US"/>
              </w:rPr>
            </w:pPr>
            <w:r w:rsidRPr="0044029B">
              <w:rPr>
                <w:color w:val="000000"/>
                <w:sz w:val="22"/>
                <w:szCs w:val="22"/>
                <w:lang w:eastAsia="en-US"/>
              </w:rPr>
              <w:t xml:space="preserve">Totaal </w:t>
            </w:r>
            <w:proofErr w:type="spellStart"/>
            <w:r w:rsidRPr="0044029B">
              <w:rPr>
                <w:color w:val="000000"/>
                <w:sz w:val="22"/>
                <w:szCs w:val="22"/>
                <w:lang w:eastAsia="en-US"/>
              </w:rPr>
              <w:t>wgl</w:t>
            </w:r>
            <w:proofErr w:type="spellEnd"/>
            <w:r w:rsidRPr="0044029B">
              <w:rPr>
                <w:color w:val="000000"/>
                <w:sz w:val="22"/>
                <w:szCs w:val="22"/>
                <w:lang w:eastAsia="en-US"/>
              </w:rPr>
              <w:t xml:space="preserve">. in Limburgplan - </w:t>
            </w:r>
            <w:r w:rsidRPr="0044029B">
              <w:rPr>
                <w:bCs/>
                <w:color w:val="000000"/>
                <w:sz w:val="22"/>
                <w:szCs w:val="22"/>
                <w:lang w:eastAsia="en-US"/>
              </w:rPr>
              <w:t>waarborg</w:t>
            </w:r>
          </w:p>
        </w:tc>
        <w:tc>
          <w:tcPr>
            <w:tcW w:w="2837" w:type="dxa"/>
            <w:gridSpan w:val="2"/>
            <w:tcBorders>
              <w:top w:val="nil"/>
              <w:left w:val="nil"/>
              <w:bottom w:val="single" w:sz="8" w:space="0" w:color="000000"/>
              <w:right w:val="single" w:sz="8" w:space="0" w:color="000000"/>
            </w:tcBorders>
            <w:shd w:val="clear" w:color="auto" w:fill="FABF8F"/>
            <w:tcMar>
              <w:top w:w="0" w:type="dxa"/>
              <w:left w:w="108" w:type="dxa"/>
              <w:bottom w:w="0" w:type="dxa"/>
              <w:right w:w="108" w:type="dxa"/>
            </w:tcMar>
          </w:tcPr>
          <w:p w:rsidR="008E481D" w:rsidRPr="0044029B" w:rsidRDefault="008E481D" w:rsidP="00D669B5">
            <w:pPr>
              <w:pStyle w:val="Lijstalinea"/>
              <w:ind w:left="0"/>
              <w:rPr>
                <w:color w:val="000000"/>
                <w:sz w:val="22"/>
                <w:szCs w:val="22"/>
                <w:lang w:eastAsia="en-US"/>
              </w:rPr>
            </w:pPr>
          </w:p>
        </w:tc>
        <w:tc>
          <w:tcPr>
            <w:tcW w:w="2979" w:type="dxa"/>
            <w:gridSpan w:val="2"/>
            <w:tcBorders>
              <w:top w:val="nil"/>
              <w:left w:val="nil"/>
              <w:bottom w:val="single" w:sz="8" w:space="0" w:color="000000"/>
              <w:right w:val="single" w:sz="8" w:space="0" w:color="000000"/>
            </w:tcBorders>
            <w:shd w:val="clear" w:color="auto" w:fill="FABF8F"/>
            <w:tcMar>
              <w:top w:w="0" w:type="dxa"/>
              <w:left w:w="108" w:type="dxa"/>
              <w:bottom w:w="0" w:type="dxa"/>
              <w:right w:w="108" w:type="dxa"/>
            </w:tcMar>
          </w:tcPr>
          <w:p w:rsidR="008E481D" w:rsidRPr="0044029B" w:rsidRDefault="008E481D" w:rsidP="00D669B5">
            <w:pPr>
              <w:pStyle w:val="Lijstalinea"/>
              <w:ind w:left="0"/>
              <w:rPr>
                <w:color w:val="000000"/>
                <w:sz w:val="22"/>
                <w:szCs w:val="22"/>
                <w:lang w:eastAsia="en-US"/>
              </w:rPr>
            </w:pPr>
          </w:p>
        </w:tc>
      </w:tr>
      <w:tr w:rsidR="008E481D" w:rsidRPr="0044029B" w:rsidTr="00D669B5">
        <w:tc>
          <w:tcPr>
            <w:tcW w:w="30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481D" w:rsidRPr="0044029B" w:rsidRDefault="008E481D" w:rsidP="00D669B5">
            <w:pPr>
              <w:pStyle w:val="Lijstalinea"/>
              <w:ind w:left="0"/>
              <w:rPr>
                <w:color w:val="000000"/>
                <w:sz w:val="22"/>
                <w:szCs w:val="22"/>
                <w:lang w:eastAsia="en-US"/>
              </w:rPr>
            </w:pP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E481D" w:rsidRPr="0044029B" w:rsidRDefault="008E481D" w:rsidP="00D669B5">
            <w:pPr>
              <w:pStyle w:val="Lijstalinea"/>
              <w:ind w:left="0"/>
              <w:jc w:val="center"/>
              <w:rPr>
                <w:color w:val="000000"/>
                <w:sz w:val="22"/>
                <w:szCs w:val="22"/>
                <w:lang w:eastAsia="en-US"/>
              </w:rPr>
            </w:pPr>
            <w:r w:rsidRPr="0044029B">
              <w:rPr>
                <w:color w:val="000000"/>
                <w:sz w:val="22"/>
                <w:szCs w:val="22"/>
                <w:lang w:eastAsia="en-US"/>
              </w:rPr>
              <w:t>nieuw</w:t>
            </w:r>
          </w:p>
        </w:tc>
        <w:tc>
          <w:tcPr>
            <w:tcW w:w="1419" w:type="dxa"/>
            <w:tcBorders>
              <w:top w:val="nil"/>
              <w:left w:val="nil"/>
              <w:bottom w:val="single" w:sz="8" w:space="0" w:color="000000"/>
              <w:right w:val="single" w:sz="8" w:space="0" w:color="000000"/>
            </w:tcBorders>
            <w:tcMar>
              <w:top w:w="0" w:type="dxa"/>
              <w:left w:w="108" w:type="dxa"/>
              <w:bottom w:w="0" w:type="dxa"/>
              <w:right w:w="108" w:type="dxa"/>
            </w:tcMar>
            <w:hideMark/>
          </w:tcPr>
          <w:p w:rsidR="008E481D" w:rsidRPr="0044029B" w:rsidRDefault="008E481D" w:rsidP="00D669B5">
            <w:pPr>
              <w:pStyle w:val="Lijstalinea"/>
              <w:ind w:left="0"/>
              <w:jc w:val="center"/>
              <w:rPr>
                <w:color w:val="000000"/>
                <w:sz w:val="22"/>
                <w:szCs w:val="22"/>
                <w:lang w:eastAsia="en-US"/>
              </w:rPr>
            </w:pPr>
            <w:r w:rsidRPr="0044029B">
              <w:rPr>
                <w:color w:val="000000"/>
                <w:sz w:val="22"/>
                <w:szCs w:val="22"/>
                <w:lang w:eastAsia="en-US"/>
              </w:rPr>
              <w:t>Vervanging</w:t>
            </w:r>
          </w:p>
        </w:tc>
        <w:tc>
          <w:tcPr>
            <w:tcW w:w="2979" w:type="dxa"/>
            <w:gridSpan w:val="2"/>
            <w:tcBorders>
              <w:top w:val="nil"/>
              <w:left w:val="nil"/>
              <w:bottom w:val="single" w:sz="8" w:space="0" w:color="000000"/>
              <w:right w:val="single" w:sz="8" w:space="0" w:color="000000"/>
            </w:tcBorders>
            <w:tcMar>
              <w:top w:w="0" w:type="dxa"/>
              <w:left w:w="108" w:type="dxa"/>
              <w:bottom w:w="0" w:type="dxa"/>
              <w:right w:w="108" w:type="dxa"/>
            </w:tcMar>
          </w:tcPr>
          <w:p w:rsidR="008E481D" w:rsidRPr="0044029B" w:rsidRDefault="008E481D" w:rsidP="00D669B5">
            <w:pPr>
              <w:pStyle w:val="Lijstalinea"/>
              <w:ind w:left="0"/>
              <w:rPr>
                <w:color w:val="000000"/>
                <w:sz w:val="22"/>
                <w:szCs w:val="22"/>
                <w:lang w:eastAsia="en-US"/>
              </w:rPr>
            </w:pPr>
          </w:p>
        </w:tc>
      </w:tr>
      <w:tr w:rsidR="008E481D" w:rsidRPr="0044029B" w:rsidTr="00D669B5">
        <w:tc>
          <w:tcPr>
            <w:tcW w:w="30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481D" w:rsidRPr="0044029B" w:rsidRDefault="008E481D" w:rsidP="00D669B5">
            <w:pPr>
              <w:pStyle w:val="Lijstalinea"/>
              <w:ind w:left="0"/>
              <w:jc w:val="center"/>
              <w:rPr>
                <w:bCs/>
                <w:color w:val="000000"/>
                <w:sz w:val="22"/>
                <w:szCs w:val="22"/>
                <w:lang w:eastAsia="en-US"/>
              </w:rPr>
            </w:pPr>
            <w:r w:rsidRPr="0044029B">
              <w:rPr>
                <w:bCs/>
                <w:color w:val="000000"/>
                <w:sz w:val="22"/>
                <w:szCs w:val="22"/>
                <w:lang w:eastAsia="en-US"/>
              </w:rPr>
              <w:t>213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E481D" w:rsidRPr="0044029B" w:rsidRDefault="008E481D" w:rsidP="00D669B5">
            <w:pPr>
              <w:pStyle w:val="Lijstalinea"/>
              <w:ind w:left="0"/>
              <w:jc w:val="center"/>
              <w:rPr>
                <w:bCs/>
                <w:color w:val="000000"/>
                <w:sz w:val="22"/>
                <w:szCs w:val="22"/>
                <w:lang w:eastAsia="en-US"/>
              </w:rPr>
            </w:pPr>
            <w:r w:rsidRPr="0044029B">
              <w:rPr>
                <w:bCs/>
                <w:color w:val="000000"/>
                <w:sz w:val="22"/>
                <w:szCs w:val="22"/>
                <w:lang w:eastAsia="en-US"/>
              </w:rPr>
              <w:t>182</w:t>
            </w:r>
          </w:p>
        </w:tc>
        <w:tc>
          <w:tcPr>
            <w:tcW w:w="1419" w:type="dxa"/>
            <w:tcBorders>
              <w:top w:val="nil"/>
              <w:left w:val="nil"/>
              <w:bottom w:val="single" w:sz="8" w:space="0" w:color="000000"/>
              <w:right w:val="single" w:sz="8" w:space="0" w:color="000000"/>
            </w:tcBorders>
            <w:tcMar>
              <w:top w:w="0" w:type="dxa"/>
              <w:left w:w="108" w:type="dxa"/>
              <w:bottom w:w="0" w:type="dxa"/>
              <w:right w:w="108" w:type="dxa"/>
            </w:tcMar>
            <w:hideMark/>
          </w:tcPr>
          <w:p w:rsidR="008E481D" w:rsidRPr="0044029B" w:rsidRDefault="008E481D" w:rsidP="00D669B5">
            <w:pPr>
              <w:pStyle w:val="Lijstalinea"/>
              <w:ind w:left="0"/>
              <w:jc w:val="center"/>
              <w:rPr>
                <w:bCs/>
                <w:color w:val="000000"/>
                <w:sz w:val="22"/>
                <w:szCs w:val="22"/>
                <w:lang w:eastAsia="en-US"/>
              </w:rPr>
            </w:pPr>
            <w:r w:rsidRPr="0044029B">
              <w:rPr>
                <w:bCs/>
                <w:color w:val="000000"/>
                <w:sz w:val="22"/>
                <w:szCs w:val="22"/>
                <w:lang w:eastAsia="en-US"/>
              </w:rPr>
              <w:t>31</w:t>
            </w:r>
          </w:p>
        </w:tc>
        <w:tc>
          <w:tcPr>
            <w:tcW w:w="2979" w:type="dxa"/>
            <w:gridSpan w:val="2"/>
            <w:tcBorders>
              <w:top w:val="nil"/>
              <w:left w:val="nil"/>
              <w:bottom w:val="single" w:sz="8" w:space="0" w:color="000000"/>
              <w:right w:val="single" w:sz="8" w:space="0" w:color="000000"/>
            </w:tcBorders>
            <w:tcMar>
              <w:top w:w="0" w:type="dxa"/>
              <w:left w:w="108" w:type="dxa"/>
              <w:bottom w:w="0" w:type="dxa"/>
              <w:right w:w="108" w:type="dxa"/>
            </w:tcMar>
          </w:tcPr>
          <w:p w:rsidR="008E481D" w:rsidRPr="0044029B" w:rsidRDefault="008E481D" w:rsidP="00D669B5">
            <w:pPr>
              <w:pStyle w:val="Lijstalinea"/>
              <w:ind w:left="0"/>
              <w:rPr>
                <w:bCs/>
                <w:color w:val="000000"/>
                <w:sz w:val="22"/>
                <w:szCs w:val="22"/>
                <w:lang w:eastAsia="en-US"/>
              </w:rPr>
            </w:pPr>
          </w:p>
        </w:tc>
      </w:tr>
      <w:tr w:rsidR="008E481D" w:rsidRPr="0044029B" w:rsidTr="00D669B5">
        <w:tc>
          <w:tcPr>
            <w:tcW w:w="3076" w:type="dxa"/>
            <w:tcBorders>
              <w:top w:val="nil"/>
              <w:left w:val="single" w:sz="8" w:space="0" w:color="000000"/>
              <w:bottom w:val="single" w:sz="8" w:space="0" w:color="000000"/>
              <w:right w:val="single" w:sz="8" w:space="0" w:color="000000"/>
            </w:tcBorders>
            <w:shd w:val="clear" w:color="auto" w:fill="FABF8F"/>
            <w:tcMar>
              <w:top w:w="0" w:type="dxa"/>
              <w:left w:w="108" w:type="dxa"/>
              <w:bottom w:w="0" w:type="dxa"/>
              <w:right w:w="108" w:type="dxa"/>
            </w:tcMar>
            <w:hideMark/>
          </w:tcPr>
          <w:p w:rsidR="008E481D" w:rsidRPr="0044029B" w:rsidRDefault="008E481D" w:rsidP="00D669B5">
            <w:pPr>
              <w:pStyle w:val="Lijstalinea"/>
              <w:ind w:left="0"/>
              <w:rPr>
                <w:bCs/>
                <w:color w:val="000000"/>
                <w:sz w:val="22"/>
                <w:szCs w:val="22"/>
                <w:lang w:eastAsia="en-US"/>
              </w:rPr>
            </w:pPr>
            <w:r w:rsidRPr="0044029B">
              <w:rPr>
                <w:bCs/>
                <w:color w:val="000000"/>
                <w:sz w:val="22"/>
                <w:szCs w:val="22"/>
                <w:lang w:eastAsia="en-US"/>
              </w:rPr>
              <w:t xml:space="preserve">Algemeen totaal nieuwe </w:t>
            </w:r>
            <w:proofErr w:type="spellStart"/>
            <w:r w:rsidRPr="0044029B">
              <w:rPr>
                <w:bCs/>
                <w:color w:val="000000"/>
                <w:sz w:val="22"/>
                <w:szCs w:val="22"/>
                <w:lang w:eastAsia="en-US"/>
              </w:rPr>
              <w:t>wgl</w:t>
            </w:r>
            <w:proofErr w:type="spellEnd"/>
            <w:r w:rsidRPr="0044029B">
              <w:rPr>
                <w:bCs/>
                <w:color w:val="000000"/>
                <w:sz w:val="22"/>
                <w:szCs w:val="22"/>
                <w:lang w:eastAsia="en-US"/>
              </w:rPr>
              <w:t>.</w:t>
            </w:r>
          </w:p>
        </w:tc>
        <w:tc>
          <w:tcPr>
            <w:tcW w:w="2837" w:type="dxa"/>
            <w:gridSpan w:val="2"/>
            <w:tcBorders>
              <w:top w:val="nil"/>
              <w:left w:val="nil"/>
              <w:bottom w:val="single" w:sz="8" w:space="0" w:color="000000"/>
              <w:right w:val="single" w:sz="8" w:space="0" w:color="000000"/>
            </w:tcBorders>
            <w:shd w:val="clear" w:color="auto" w:fill="FABF8F"/>
            <w:tcMar>
              <w:top w:w="0" w:type="dxa"/>
              <w:left w:w="108" w:type="dxa"/>
              <w:bottom w:w="0" w:type="dxa"/>
              <w:right w:w="108" w:type="dxa"/>
            </w:tcMar>
          </w:tcPr>
          <w:p w:rsidR="008E481D" w:rsidRPr="0044029B" w:rsidRDefault="008E481D" w:rsidP="00D669B5">
            <w:pPr>
              <w:pStyle w:val="Lijstalinea"/>
              <w:ind w:left="0"/>
              <w:rPr>
                <w:color w:val="000000"/>
                <w:sz w:val="22"/>
                <w:szCs w:val="22"/>
                <w:lang w:eastAsia="en-US"/>
              </w:rPr>
            </w:pPr>
          </w:p>
        </w:tc>
        <w:tc>
          <w:tcPr>
            <w:tcW w:w="2979" w:type="dxa"/>
            <w:gridSpan w:val="2"/>
            <w:tcBorders>
              <w:top w:val="nil"/>
              <w:left w:val="nil"/>
              <w:bottom w:val="single" w:sz="8" w:space="0" w:color="000000"/>
              <w:right w:val="single" w:sz="8" w:space="0" w:color="000000"/>
            </w:tcBorders>
            <w:shd w:val="clear" w:color="auto" w:fill="FABF8F"/>
            <w:tcMar>
              <w:top w:w="0" w:type="dxa"/>
              <w:left w:w="108" w:type="dxa"/>
              <w:bottom w:w="0" w:type="dxa"/>
              <w:right w:w="108" w:type="dxa"/>
            </w:tcMar>
          </w:tcPr>
          <w:p w:rsidR="008E481D" w:rsidRPr="0044029B" w:rsidRDefault="008E481D" w:rsidP="00D669B5">
            <w:pPr>
              <w:pStyle w:val="Lijstalinea"/>
              <w:ind w:left="0"/>
              <w:rPr>
                <w:color w:val="000000"/>
                <w:sz w:val="22"/>
                <w:szCs w:val="22"/>
                <w:lang w:eastAsia="en-US"/>
              </w:rPr>
            </w:pPr>
          </w:p>
        </w:tc>
      </w:tr>
      <w:tr w:rsidR="008E481D" w:rsidRPr="0044029B" w:rsidTr="00D669B5">
        <w:tc>
          <w:tcPr>
            <w:tcW w:w="3076" w:type="dxa"/>
            <w:tcBorders>
              <w:top w:val="nil"/>
              <w:left w:val="single" w:sz="8" w:space="0" w:color="000000"/>
              <w:bottom w:val="single" w:sz="8" w:space="0" w:color="000000"/>
              <w:right w:val="single" w:sz="8" w:space="0" w:color="000000"/>
            </w:tcBorders>
            <w:shd w:val="clear" w:color="auto" w:fill="FABF8F"/>
            <w:tcMar>
              <w:top w:w="0" w:type="dxa"/>
              <w:left w:w="108" w:type="dxa"/>
              <w:bottom w:w="0" w:type="dxa"/>
              <w:right w:w="108" w:type="dxa"/>
            </w:tcMar>
            <w:hideMark/>
          </w:tcPr>
          <w:p w:rsidR="008E481D" w:rsidRPr="0044029B" w:rsidRDefault="008E481D" w:rsidP="00D669B5">
            <w:pPr>
              <w:pStyle w:val="Lijstalinea"/>
              <w:ind w:left="0"/>
              <w:jc w:val="center"/>
              <w:rPr>
                <w:bCs/>
                <w:color w:val="000000"/>
                <w:sz w:val="22"/>
                <w:szCs w:val="22"/>
                <w:lang w:eastAsia="en-US"/>
              </w:rPr>
            </w:pPr>
            <w:r w:rsidRPr="0044029B">
              <w:rPr>
                <w:bCs/>
                <w:color w:val="000000"/>
                <w:sz w:val="22"/>
                <w:szCs w:val="22"/>
                <w:lang w:eastAsia="en-US"/>
              </w:rPr>
              <w:t>2.167</w:t>
            </w:r>
          </w:p>
        </w:tc>
        <w:tc>
          <w:tcPr>
            <w:tcW w:w="1418" w:type="dxa"/>
            <w:tcBorders>
              <w:top w:val="nil"/>
              <w:left w:val="nil"/>
              <w:bottom w:val="single" w:sz="8" w:space="0" w:color="000000"/>
              <w:right w:val="single" w:sz="8" w:space="0" w:color="000000"/>
            </w:tcBorders>
            <w:shd w:val="clear" w:color="auto" w:fill="FABF8F"/>
            <w:tcMar>
              <w:top w:w="0" w:type="dxa"/>
              <w:left w:w="108" w:type="dxa"/>
              <w:bottom w:w="0" w:type="dxa"/>
              <w:right w:w="108" w:type="dxa"/>
            </w:tcMar>
            <w:hideMark/>
          </w:tcPr>
          <w:p w:rsidR="008E481D" w:rsidRPr="0044029B" w:rsidRDefault="008E481D" w:rsidP="00D669B5">
            <w:pPr>
              <w:pStyle w:val="Lijstalinea"/>
              <w:ind w:left="0"/>
              <w:jc w:val="center"/>
              <w:rPr>
                <w:bCs/>
                <w:color w:val="000000"/>
                <w:sz w:val="22"/>
                <w:szCs w:val="22"/>
                <w:lang w:eastAsia="en-US"/>
              </w:rPr>
            </w:pPr>
            <w:r w:rsidRPr="0044029B">
              <w:rPr>
                <w:bCs/>
                <w:color w:val="000000"/>
                <w:sz w:val="22"/>
                <w:szCs w:val="22"/>
                <w:lang w:eastAsia="en-US"/>
              </w:rPr>
              <w:t>1.999</w:t>
            </w:r>
          </w:p>
        </w:tc>
        <w:tc>
          <w:tcPr>
            <w:tcW w:w="1419" w:type="dxa"/>
            <w:tcBorders>
              <w:top w:val="nil"/>
              <w:left w:val="nil"/>
              <w:bottom w:val="single" w:sz="8" w:space="0" w:color="000000"/>
              <w:right w:val="single" w:sz="8" w:space="0" w:color="000000"/>
            </w:tcBorders>
            <w:shd w:val="clear" w:color="auto" w:fill="FABF8F"/>
            <w:tcMar>
              <w:top w:w="0" w:type="dxa"/>
              <w:left w:w="108" w:type="dxa"/>
              <w:bottom w:w="0" w:type="dxa"/>
              <w:right w:w="108" w:type="dxa"/>
            </w:tcMar>
          </w:tcPr>
          <w:p w:rsidR="008E481D" w:rsidRPr="0044029B" w:rsidRDefault="008E481D" w:rsidP="00D669B5">
            <w:pPr>
              <w:pStyle w:val="Lijstalinea"/>
              <w:ind w:left="0"/>
              <w:rPr>
                <w:bCs/>
                <w:color w:val="000000"/>
                <w:sz w:val="22"/>
                <w:szCs w:val="22"/>
                <w:lang w:eastAsia="en-US"/>
              </w:rPr>
            </w:pPr>
          </w:p>
        </w:tc>
        <w:tc>
          <w:tcPr>
            <w:tcW w:w="1418" w:type="dxa"/>
            <w:tcBorders>
              <w:top w:val="nil"/>
              <w:left w:val="nil"/>
              <w:bottom w:val="single" w:sz="8" w:space="0" w:color="000000"/>
              <w:right w:val="single" w:sz="8" w:space="0" w:color="000000"/>
            </w:tcBorders>
            <w:shd w:val="clear" w:color="auto" w:fill="FABF8F"/>
            <w:tcMar>
              <w:top w:w="0" w:type="dxa"/>
              <w:left w:w="108" w:type="dxa"/>
              <w:bottom w:w="0" w:type="dxa"/>
              <w:right w:w="108" w:type="dxa"/>
            </w:tcMar>
            <w:hideMark/>
          </w:tcPr>
          <w:p w:rsidR="008E481D" w:rsidRPr="0044029B" w:rsidRDefault="008E481D" w:rsidP="00D669B5">
            <w:pPr>
              <w:pStyle w:val="Lijstalinea"/>
              <w:ind w:left="0"/>
              <w:jc w:val="center"/>
              <w:rPr>
                <w:bCs/>
                <w:color w:val="000000"/>
                <w:sz w:val="22"/>
                <w:szCs w:val="22"/>
                <w:lang w:eastAsia="en-US"/>
              </w:rPr>
            </w:pPr>
            <w:r w:rsidRPr="0044029B">
              <w:rPr>
                <w:bCs/>
                <w:color w:val="000000"/>
                <w:sz w:val="22"/>
                <w:szCs w:val="22"/>
                <w:lang w:eastAsia="en-US"/>
              </w:rPr>
              <w:t>168</w:t>
            </w:r>
          </w:p>
        </w:tc>
        <w:tc>
          <w:tcPr>
            <w:tcW w:w="1561" w:type="dxa"/>
            <w:tcBorders>
              <w:top w:val="nil"/>
              <w:left w:val="nil"/>
              <w:bottom w:val="single" w:sz="8" w:space="0" w:color="000000"/>
              <w:right w:val="single" w:sz="8" w:space="0" w:color="000000"/>
            </w:tcBorders>
            <w:shd w:val="clear" w:color="auto" w:fill="FABF8F"/>
            <w:tcMar>
              <w:top w:w="0" w:type="dxa"/>
              <w:left w:w="108" w:type="dxa"/>
              <w:bottom w:w="0" w:type="dxa"/>
              <w:right w:w="108" w:type="dxa"/>
            </w:tcMar>
          </w:tcPr>
          <w:p w:rsidR="008E481D" w:rsidRPr="0044029B" w:rsidRDefault="008E481D" w:rsidP="00D669B5">
            <w:pPr>
              <w:pStyle w:val="Lijstalinea"/>
              <w:ind w:left="0"/>
              <w:rPr>
                <w:bCs/>
                <w:color w:val="000000"/>
                <w:sz w:val="22"/>
                <w:szCs w:val="22"/>
                <w:lang w:eastAsia="en-US"/>
              </w:rPr>
            </w:pPr>
          </w:p>
        </w:tc>
      </w:tr>
    </w:tbl>
    <w:p w:rsidR="008E481D" w:rsidRDefault="008E481D" w:rsidP="008E481D">
      <w:pPr>
        <w:rPr>
          <w:rFonts w:ascii="Calibri" w:hAnsi="Calibri" w:cs="Calibri"/>
          <w:szCs w:val="22"/>
        </w:rPr>
      </w:pPr>
    </w:p>
    <w:p w:rsidR="008E481D" w:rsidRPr="0044029B" w:rsidRDefault="008E481D" w:rsidP="008E481D">
      <w:pPr>
        <w:ind w:left="426"/>
        <w:jc w:val="both"/>
        <w:rPr>
          <w:szCs w:val="22"/>
        </w:rPr>
      </w:pPr>
      <w:r w:rsidRPr="0044029B">
        <w:rPr>
          <w:szCs w:val="22"/>
        </w:rPr>
        <w:t>Van deze 2.167 bijkomende woongelegenheden waren er op 1 april 2014 in totaal reeds 814 woongelegenheden effectief gerealiseerd en in gebruik genomen (747 woongelegenheden in woonzorgcentra en 67 woongelegenheden in centra voor kortverblijf). Voor het overgrote deel van deze bijkomende woongelegenheden werd ondertussen reeds een erkenning verleend. Gelet op de recente ingebruikname is voor een klein deel ervan de erkenning ervan momenteel nog in onderzoek.</w:t>
      </w:r>
    </w:p>
    <w:p w:rsidR="008E481D" w:rsidRPr="0044029B" w:rsidRDefault="008E481D" w:rsidP="008E481D">
      <w:pPr>
        <w:ind w:left="426"/>
        <w:jc w:val="both"/>
        <w:rPr>
          <w:szCs w:val="22"/>
        </w:rPr>
      </w:pPr>
      <w:r w:rsidRPr="0044029B">
        <w:rPr>
          <w:szCs w:val="22"/>
        </w:rPr>
        <w:t xml:space="preserve">Een aantal andere projecten naderen ondertussen ook hun voltooiing en zullen in de loop van dit jaar en volgende jaren in gebruik kunnen genomen worden. </w:t>
      </w:r>
    </w:p>
    <w:p w:rsidR="008E481D" w:rsidRPr="00477C60" w:rsidRDefault="008E481D" w:rsidP="008E481D">
      <w:pPr>
        <w:ind w:left="426"/>
        <w:jc w:val="both"/>
        <w:rPr>
          <w:szCs w:val="22"/>
        </w:rPr>
      </w:pPr>
    </w:p>
    <w:p w:rsidR="008E481D" w:rsidRPr="0044029B" w:rsidRDefault="008E481D" w:rsidP="008E481D">
      <w:pPr>
        <w:ind w:left="426"/>
        <w:jc w:val="both"/>
        <w:rPr>
          <w:color w:val="000000"/>
          <w:szCs w:val="22"/>
        </w:rPr>
      </w:pPr>
      <w:r w:rsidRPr="0044029B">
        <w:rPr>
          <w:color w:val="000000"/>
          <w:szCs w:val="22"/>
        </w:rPr>
        <w:t>In totaal zijn er dus 1.353 bijkomende woongelegenheden die nog met VIPA-subsidies of –waarborg kunnen gerealiseerd worden (1.252 woongelegenheden in woonzorgcentra en 101 woongelegenheden in centra voor kortverblijf). Voor een aantal projecten werd er ondertussen een principieel akkoord verleend en zijn de werken momenteel al dan niet bezig zijn. Voor een aantal projecten moet het principieel akkoord echter nog verleend worden of moet er zelfs nog een technisch-financieel-plan en een aanvraag principieel akkoord ingestuurd worden.</w:t>
      </w:r>
    </w:p>
    <w:p w:rsidR="008E481D" w:rsidRPr="0044029B" w:rsidRDefault="008E481D" w:rsidP="008E481D">
      <w:pPr>
        <w:ind w:left="426"/>
        <w:jc w:val="both"/>
        <w:rPr>
          <w:color w:val="000000"/>
          <w:szCs w:val="22"/>
        </w:rPr>
      </w:pPr>
    </w:p>
    <w:p w:rsidR="008E481D" w:rsidRPr="0044029B" w:rsidRDefault="008E481D" w:rsidP="008E481D">
      <w:pPr>
        <w:ind w:left="426"/>
        <w:jc w:val="both"/>
        <w:rPr>
          <w:color w:val="000000"/>
          <w:szCs w:val="22"/>
        </w:rPr>
      </w:pPr>
      <w:r w:rsidRPr="0044029B">
        <w:rPr>
          <w:color w:val="000000"/>
          <w:szCs w:val="22"/>
        </w:rPr>
        <w:t>In het kader van het Limburgplan kunnen van deze laatste projecten nog maximaal 1.086 woongelegenheden in aanmerking genomen worden bij de bepaling van het beoogde aantal van 1.900 bijkomende woongelegenheden.</w:t>
      </w:r>
    </w:p>
    <w:p w:rsidR="008E481D" w:rsidRPr="0044029B" w:rsidRDefault="008E481D" w:rsidP="008E481D">
      <w:pPr>
        <w:ind w:left="426"/>
        <w:jc w:val="both"/>
        <w:rPr>
          <w:color w:val="000000"/>
          <w:szCs w:val="22"/>
        </w:rPr>
      </w:pPr>
    </w:p>
    <w:p w:rsidR="008E481D" w:rsidRPr="0044029B" w:rsidRDefault="008E481D" w:rsidP="008E481D">
      <w:pPr>
        <w:ind w:left="426"/>
        <w:jc w:val="both"/>
        <w:rPr>
          <w:color w:val="000000"/>
          <w:szCs w:val="22"/>
        </w:rPr>
      </w:pPr>
      <w:r w:rsidRPr="0044029B">
        <w:rPr>
          <w:color w:val="000000"/>
          <w:szCs w:val="22"/>
        </w:rPr>
        <w:t>Als bijlage vind u een lijst van de betrokken initiatiefnemers.</w:t>
      </w:r>
    </w:p>
    <w:p w:rsidR="008E481D" w:rsidRPr="0044029B" w:rsidRDefault="008E481D" w:rsidP="008E481D">
      <w:pPr>
        <w:pStyle w:val="Plattetekstinspringen"/>
        <w:spacing w:after="0"/>
        <w:ind w:left="426"/>
        <w:jc w:val="both"/>
        <w:rPr>
          <w:sz w:val="22"/>
          <w:szCs w:val="22"/>
        </w:rPr>
      </w:pPr>
    </w:p>
    <w:p w:rsidR="008E481D" w:rsidRPr="0044029B" w:rsidRDefault="008E481D" w:rsidP="008E481D">
      <w:pPr>
        <w:numPr>
          <w:ilvl w:val="1"/>
          <w:numId w:val="17"/>
        </w:numPr>
        <w:tabs>
          <w:tab w:val="clear" w:pos="1440"/>
        </w:tabs>
        <w:ind w:left="426" w:hanging="567"/>
        <w:jc w:val="both"/>
        <w:rPr>
          <w:color w:val="000000"/>
          <w:szCs w:val="22"/>
        </w:rPr>
      </w:pPr>
      <w:r w:rsidRPr="0044029B">
        <w:rPr>
          <w:color w:val="000000"/>
          <w:szCs w:val="22"/>
        </w:rPr>
        <w:t>Op 1 april 2014 waren er in de provincie Limburg 3.263 bijkomende woongelegenheden</w:t>
      </w:r>
      <w:r>
        <w:rPr>
          <w:color w:val="000000"/>
          <w:szCs w:val="22"/>
        </w:rPr>
        <w:t>,</w:t>
      </w:r>
      <w:r w:rsidRPr="0044029B">
        <w:rPr>
          <w:color w:val="000000"/>
          <w:szCs w:val="22"/>
        </w:rPr>
        <w:t xml:space="preserve"> </w:t>
      </w:r>
      <w:r>
        <w:rPr>
          <w:color w:val="000000"/>
          <w:szCs w:val="22"/>
        </w:rPr>
        <w:t>in voorafgaande vergunning,</w:t>
      </w:r>
      <w:r w:rsidRPr="0044029B">
        <w:rPr>
          <w:color w:val="000000"/>
          <w:szCs w:val="22"/>
        </w:rPr>
        <w:t xml:space="preserve"> verleend. Van dit aantal waren er 244 woongelegenheden verleend aan openbare initiatiefnemers en 3.263 woongelegenheden verleend aan private initiatiefnemers.</w:t>
      </w:r>
    </w:p>
    <w:p w:rsidR="008E481D" w:rsidRPr="0044029B" w:rsidRDefault="008E481D" w:rsidP="008E481D">
      <w:pPr>
        <w:ind w:left="426"/>
        <w:jc w:val="both"/>
        <w:rPr>
          <w:szCs w:val="22"/>
        </w:rPr>
      </w:pPr>
    </w:p>
    <w:p w:rsidR="008E481D" w:rsidRPr="0044029B" w:rsidRDefault="008E481D" w:rsidP="008E481D">
      <w:pPr>
        <w:pStyle w:val="Tekstzonderopmaak"/>
        <w:numPr>
          <w:ilvl w:val="1"/>
          <w:numId w:val="17"/>
        </w:numPr>
        <w:tabs>
          <w:tab w:val="clear" w:pos="1440"/>
        </w:tabs>
        <w:ind w:left="426" w:hanging="567"/>
        <w:jc w:val="both"/>
        <w:rPr>
          <w:rFonts w:ascii="Times New Roman" w:hAnsi="Times New Roman"/>
          <w:sz w:val="22"/>
          <w:szCs w:val="22"/>
        </w:rPr>
      </w:pPr>
      <w:r>
        <w:rPr>
          <w:rFonts w:ascii="Times New Roman" w:hAnsi="Times New Roman"/>
          <w:sz w:val="22"/>
          <w:szCs w:val="22"/>
        </w:rPr>
        <w:t>O</w:t>
      </w:r>
      <w:r w:rsidRPr="0044029B">
        <w:rPr>
          <w:rFonts w:ascii="Times New Roman" w:hAnsi="Times New Roman"/>
          <w:sz w:val="22"/>
          <w:szCs w:val="22"/>
        </w:rPr>
        <w:t xml:space="preserve">p 21 mei 2010 </w:t>
      </w:r>
      <w:r>
        <w:rPr>
          <w:rFonts w:ascii="Times New Roman" w:hAnsi="Times New Roman"/>
          <w:sz w:val="22"/>
          <w:szCs w:val="22"/>
        </w:rPr>
        <w:t xml:space="preserve">hebben we </w:t>
      </w:r>
      <w:r w:rsidRPr="0044029B">
        <w:rPr>
          <w:rFonts w:ascii="Times New Roman" w:hAnsi="Times New Roman"/>
          <w:sz w:val="22"/>
          <w:szCs w:val="22"/>
        </w:rPr>
        <w:t xml:space="preserve">een actieplan ter bevordering van werkgelegenheid in de zorgsector “Werk maken van werk in de zorgsector” voorgesteld. Dit plan bevat een aantal algemene en sectorspecifieke actiepunten gericht op de instroom, de doorstroom en de retentie van zorgpersoneel in de zorgsector. </w:t>
      </w:r>
    </w:p>
    <w:p w:rsidR="008E481D" w:rsidRPr="00F24D61" w:rsidRDefault="008E481D" w:rsidP="008E481D">
      <w:pPr>
        <w:pStyle w:val="Normaalweb"/>
        <w:ind w:left="426"/>
        <w:jc w:val="both"/>
        <w:rPr>
          <w:rStyle w:val="Zwaar"/>
          <w:rFonts w:ascii="Times New Roman" w:hAnsi="Times New Roman"/>
          <w:b w:val="0"/>
          <w:sz w:val="22"/>
          <w:szCs w:val="22"/>
        </w:rPr>
      </w:pPr>
      <w:r w:rsidRPr="00F24D61">
        <w:rPr>
          <w:rStyle w:val="Zwaar"/>
          <w:rFonts w:ascii="Times New Roman" w:hAnsi="Times New Roman"/>
          <w:b w:val="0"/>
          <w:sz w:val="22"/>
          <w:szCs w:val="22"/>
        </w:rPr>
        <w:t xml:space="preserve">Op 13 juli 2013 keurde de Vlaamse Regering de conceptnota over het geactualiseerde actieplan ‘Werk maken van werk in de zorgsector’ goed. Dit actieplan geeft een vervolg aan dit plan dat in 2010 gelanceerd werd en werkt rond drie grote pijlers: het versterken van de instroom, het huidig personeel efficiënter en effectiever inzetten en de uitbouw van een HRM-beleid in functie van werving, retentie en carrièreplanning van medewerkers. </w:t>
      </w:r>
    </w:p>
    <w:p w:rsidR="008E481D" w:rsidRPr="00F24D61" w:rsidRDefault="008E481D" w:rsidP="008E481D">
      <w:pPr>
        <w:pStyle w:val="Normaalweb"/>
        <w:ind w:left="426"/>
        <w:jc w:val="both"/>
        <w:rPr>
          <w:rFonts w:ascii="Times New Roman" w:hAnsi="Times New Roman"/>
          <w:sz w:val="22"/>
          <w:szCs w:val="22"/>
        </w:rPr>
      </w:pPr>
      <w:r w:rsidRPr="00F24D61">
        <w:rPr>
          <w:rStyle w:val="Zwaar"/>
          <w:rFonts w:ascii="Times New Roman" w:hAnsi="Times New Roman"/>
          <w:b w:val="0"/>
          <w:sz w:val="22"/>
          <w:szCs w:val="22"/>
        </w:rPr>
        <w:lastRenderedPageBreak/>
        <w:t>Uit een evaluatie van het eerste actieplan “Werk maken van werk in de zorgsector” is eind 2012 al gebleken dat</w:t>
      </w:r>
      <w:r>
        <w:rPr>
          <w:rStyle w:val="Zwaar"/>
          <w:rFonts w:ascii="Times New Roman" w:hAnsi="Times New Roman"/>
          <w:b w:val="0"/>
          <w:sz w:val="22"/>
          <w:szCs w:val="22"/>
        </w:rPr>
        <w:t xml:space="preserve"> </w:t>
      </w:r>
      <w:r w:rsidRPr="00F24D61">
        <w:rPr>
          <w:rFonts w:ascii="Times New Roman" w:hAnsi="Times New Roman"/>
          <w:sz w:val="22"/>
          <w:szCs w:val="22"/>
        </w:rPr>
        <w:t xml:space="preserve">de genomen initiatieven hun vruchten hebben afgeworpen. Zo zijn het aantal openstaande vacatures bij de VDAB in de zorgsector voor het eerst in 6 jaar (vergelijking tussen zelfde maand) licht gedaald en blijft het aantal studenten in verschillende zorgopleidingen stijgen. Het aantal openstaande vacatures bedroeg in december 2012 voor verpleegkundigen 1.370 en voor verzorgenden/zorgkundigen 494. Ook in de opleiding personenzorg is er de voorbije jaren een stijging vast te stellen, ondanks het dalend aantal jongeren. De richtingen personenzorg (binnen het vrij onderwijs), BSO en TSO samen, tellen dit schooljaar meer dan 33.500 studenten. </w:t>
      </w:r>
    </w:p>
    <w:p w:rsidR="008E481D" w:rsidRPr="00F24D61" w:rsidRDefault="008E481D" w:rsidP="008E481D">
      <w:pPr>
        <w:pStyle w:val="Normaalweb"/>
        <w:ind w:left="426"/>
        <w:jc w:val="both"/>
        <w:rPr>
          <w:rFonts w:ascii="Times New Roman" w:hAnsi="Times New Roman"/>
          <w:sz w:val="22"/>
          <w:szCs w:val="22"/>
        </w:rPr>
      </w:pPr>
      <w:r w:rsidRPr="00F24D61">
        <w:rPr>
          <w:rFonts w:ascii="Times New Roman" w:hAnsi="Times New Roman"/>
          <w:sz w:val="22"/>
          <w:szCs w:val="22"/>
        </w:rPr>
        <w:t xml:space="preserve">Ook in andere zorgopleidingen zien we eenzelfde evolutie. De opleiding ergotherapie bijvoorbeeld kent een stijging van het aantal inschrijvingen met 6,6% en is sinds dit jaar geen knelpuntberoep meer. Het eerste actieplan kan aanschouwd worden als een succes, daarom dat er een tweede, geactualiseerd plan ontwikkeld werd. </w:t>
      </w:r>
    </w:p>
    <w:p w:rsidR="008E481D" w:rsidRPr="00F24D61" w:rsidRDefault="008E481D" w:rsidP="008E481D">
      <w:pPr>
        <w:pStyle w:val="Normaalweb"/>
        <w:ind w:left="426"/>
        <w:jc w:val="both"/>
        <w:rPr>
          <w:rFonts w:ascii="Times New Roman" w:hAnsi="Times New Roman"/>
          <w:sz w:val="22"/>
          <w:szCs w:val="22"/>
        </w:rPr>
      </w:pPr>
      <w:r w:rsidRPr="00F24D61">
        <w:rPr>
          <w:rStyle w:val="Zwaar"/>
          <w:rFonts w:ascii="Times New Roman" w:hAnsi="Times New Roman"/>
          <w:b w:val="0"/>
          <w:sz w:val="22"/>
          <w:szCs w:val="22"/>
        </w:rPr>
        <w:t>Wat het versterken van de instroom betreft, werd ook in</w:t>
      </w:r>
      <w:r>
        <w:rPr>
          <w:rStyle w:val="Zwaar"/>
          <w:rFonts w:ascii="Times New Roman" w:hAnsi="Times New Roman"/>
          <w:b w:val="0"/>
          <w:sz w:val="22"/>
          <w:szCs w:val="22"/>
        </w:rPr>
        <w:t xml:space="preserve"> </w:t>
      </w:r>
      <w:r w:rsidRPr="00F24D61">
        <w:rPr>
          <w:rFonts w:ascii="Times New Roman" w:hAnsi="Times New Roman"/>
          <w:sz w:val="22"/>
          <w:szCs w:val="22"/>
        </w:rPr>
        <w:t>2013 wordt onder leiding van</w:t>
      </w:r>
      <w:r>
        <w:rPr>
          <w:rFonts w:ascii="Times New Roman" w:hAnsi="Times New Roman"/>
          <w:sz w:val="22"/>
          <w:szCs w:val="22"/>
        </w:rPr>
        <w:t xml:space="preserve"> de Vlaamse zorgambassadeur </w:t>
      </w:r>
      <w:r w:rsidRPr="00F24D61">
        <w:rPr>
          <w:rFonts w:ascii="Times New Roman" w:hAnsi="Times New Roman"/>
          <w:sz w:val="22"/>
          <w:szCs w:val="22"/>
        </w:rPr>
        <w:t xml:space="preserve">een promotiecampagne uitgewerkt om jongeren bij het bepalen van hun studiekeuze te informeren over de mogelijkheden die er zijn in de zorg- en welzijnssector. Dergelijke positieve campagnes waarbij in de eerste plaats wordt ingezet op een correcte beeldvorming, blijven broodnodig. </w:t>
      </w:r>
    </w:p>
    <w:p w:rsidR="008E481D" w:rsidRPr="00F24D61" w:rsidRDefault="008E481D" w:rsidP="008E481D">
      <w:pPr>
        <w:pStyle w:val="Normaalweb"/>
        <w:ind w:left="426"/>
        <w:jc w:val="both"/>
        <w:rPr>
          <w:rFonts w:ascii="Times New Roman" w:hAnsi="Times New Roman"/>
          <w:sz w:val="22"/>
          <w:szCs w:val="22"/>
        </w:rPr>
      </w:pPr>
      <w:r w:rsidRPr="00F24D61">
        <w:rPr>
          <w:rFonts w:ascii="Times New Roman" w:hAnsi="Times New Roman"/>
          <w:sz w:val="22"/>
          <w:szCs w:val="22"/>
        </w:rPr>
        <w:t xml:space="preserve">In het actieplan wordt ook de nodige aandacht besteed aan het creëren van voldoende stageplaatsen, evenals aan de kwaliteit van de stages en stagebegeleiding. In het actieplan worden voorstellen geformuleerd om de stage te spreiden in tijd en in plaats, zoals bijvoorbeeld stages inrichten volgens de logica van de zorgprogramma’s, het creëren van meer leerzorgcentra in diverse omgevingen, en stages maximaal spreiden over het volledige academiejaar. In functie van de kwaliteit van de stages wordt onder andere werk gemaakt van </w:t>
      </w:r>
      <w:proofErr w:type="spellStart"/>
      <w:r w:rsidRPr="00F24D61">
        <w:rPr>
          <w:rFonts w:ascii="Times New Roman" w:hAnsi="Times New Roman"/>
          <w:sz w:val="22"/>
          <w:szCs w:val="22"/>
        </w:rPr>
        <w:t>mentorenopleidingen</w:t>
      </w:r>
      <w:proofErr w:type="spellEnd"/>
      <w:r w:rsidRPr="00F24D61">
        <w:rPr>
          <w:rFonts w:ascii="Times New Roman" w:hAnsi="Times New Roman"/>
          <w:sz w:val="22"/>
          <w:szCs w:val="22"/>
        </w:rPr>
        <w:t xml:space="preserve"> en de implementatie van het charter ‘Inspirerend en enthousiasmerend klinische onderwijs en praktijkervaring in de ouderenzorg en de geestelijke gezondheidszorg’. </w:t>
      </w:r>
    </w:p>
    <w:p w:rsidR="008E481D" w:rsidRPr="00F24D61" w:rsidRDefault="008E481D" w:rsidP="008E481D">
      <w:pPr>
        <w:pStyle w:val="Tekstzonderopmaak"/>
        <w:tabs>
          <w:tab w:val="left" w:pos="540"/>
        </w:tabs>
        <w:ind w:left="426"/>
        <w:jc w:val="both"/>
        <w:rPr>
          <w:rFonts w:ascii="Times New Roman" w:hAnsi="Times New Roman"/>
          <w:sz w:val="22"/>
          <w:szCs w:val="22"/>
        </w:rPr>
      </w:pPr>
      <w:r w:rsidRPr="00F24D61">
        <w:rPr>
          <w:rFonts w:ascii="Times New Roman" w:hAnsi="Times New Roman"/>
          <w:sz w:val="22"/>
          <w:szCs w:val="22"/>
        </w:rPr>
        <w:t>Verder worden de Servicepunten Zorg verder opgestart. Eind 2011 werden de eerste vier Servicepunten Zorg gestart in de VDAB-werkwinkels van Heusden-Zolder, Hasselt, Genk en Tongeren. Uitgangspunt van dit proefproject was op een laagdrempelige manier bepaalde doelgroepen (laaggeschoolden, etnisch-culturele minderheden…) beter toe te leiden naar de zorgsector.</w:t>
      </w:r>
      <w:r>
        <w:rPr>
          <w:rFonts w:ascii="Times New Roman" w:hAnsi="Times New Roman"/>
          <w:sz w:val="22"/>
          <w:szCs w:val="22"/>
        </w:rPr>
        <w:t xml:space="preserve"> </w:t>
      </w:r>
      <w:r w:rsidRPr="00F24D61">
        <w:rPr>
          <w:rFonts w:ascii="Times New Roman" w:hAnsi="Times New Roman"/>
          <w:sz w:val="22"/>
          <w:szCs w:val="22"/>
        </w:rPr>
        <w:t>De eerste resultaten van de Servicepunten Zorg zijn succesvol. Op tien maanden tijd hadden de vier Servicepunten Zorg samen 1.677 personen (waarvan er 905 behoorden tot de kansengroepen) specifiek gescreend naar een zorgopleiding toe. 315 personen begonnen na het gesprek aan een opleiding.</w:t>
      </w:r>
    </w:p>
    <w:p w:rsidR="008E481D" w:rsidRPr="00F24D61" w:rsidRDefault="008E481D" w:rsidP="008E481D">
      <w:pPr>
        <w:pStyle w:val="Tekstzonderopmaak"/>
        <w:tabs>
          <w:tab w:val="left" w:pos="540"/>
        </w:tabs>
        <w:ind w:left="426"/>
        <w:jc w:val="both"/>
        <w:rPr>
          <w:rFonts w:ascii="Times New Roman" w:hAnsi="Times New Roman"/>
          <w:sz w:val="22"/>
          <w:szCs w:val="22"/>
        </w:rPr>
      </w:pPr>
    </w:p>
    <w:p w:rsidR="008E481D" w:rsidRPr="00F24D61" w:rsidRDefault="008E481D" w:rsidP="008E481D">
      <w:pPr>
        <w:pStyle w:val="Tekstzonderopmaak"/>
        <w:tabs>
          <w:tab w:val="left" w:pos="540"/>
        </w:tabs>
        <w:ind w:left="426"/>
        <w:jc w:val="both"/>
        <w:rPr>
          <w:rFonts w:ascii="Times New Roman" w:hAnsi="Times New Roman"/>
          <w:sz w:val="22"/>
          <w:szCs w:val="22"/>
        </w:rPr>
      </w:pPr>
      <w:r w:rsidRPr="00F24D61">
        <w:rPr>
          <w:rStyle w:val="Zwaar"/>
          <w:rFonts w:ascii="Times New Roman" w:hAnsi="Times New Roman"/>
          <w:b w:val="0"/>
          <w:sz w:val="22"/>
          <w:szCs w:val="22"/>
        </w:rPr>
        <w:t xml:space="preserve">Wat het efficiënter en effectiever inzetten van het huidige personeel betreft, stelt </w:t>
      </w:r>
      <w:r w:rsidRPr="00F24D61">
        <w:rPr>
          <w:rFonts w:ascii="Times New Roman" w:hAnsi="Times New Roman"/>
          <w:sz w:val="22"/>
          <w:szCs w:val="22"/>
        </w:rPr>
        <w:t>het actieplan  ook voorop om na te gaan hoe het huidig zorgpersoneel ‘slimmer’ ingezet kan worden. Hoe kan er met een andere organisatie van de zorg meer gedaan worden met de beschikbare medewerkers, met behoud van kwaliteit van zorg? Hiervoor werd de projectgroep Z3 (Zorgvrager – Zorggever – Zorgcultuur) opgericht, die efficiënt zorgverleners en personeel in de zorg inzetten.</w:t>
      </w:r>
    </w:p>
    <w:p w:rsidR="008E481D" w:rsidRDefault="008E481D" w:rsidP="008E481D">
      <w:pPr>
        <w:pStyle w:val="Tekstzonderopmaak"/>
        <w:ind w:left="426"/>
        <w:jc w:val="both"/>
        <w:rPr>
          <w:rFonts w:ascii="Times New Roman" w:hAnsi="Times New Roman"/>
          <w:sz w:val="22"/>
          <w:szCs w:val="22"/>
        </w:rPr>
      </w:pPr>
      <w:r w:rsidRPr="00A17429">
        <w:rPr>
          <w:rFonts w:ascii="Times New Roman" w:hAnsi="Times New Roman"/>
          <w:sz w:val="22"/>
          <w:szCs w:val="22"/>
        </w:rPr>
        <w:br/>
        <w:t xml:space="preserve">Om slimmer om te gaan met het personeel is ervaringsuitwisseling en kennisdeling noodzakelijk. Om dit mogelijk te maken zal men via de website van </w:t>
      </w:r>
      <w:proofErr w:type="spellStart"/>
      <w:r w:rsidRPr="00A17429">
        <w:rPr>
          <w:rFonts w:ascii="Times New Roman" w:hAnsi="Times New Roman"/>
          <w:sz w:val="22"/>
          <w:szCs w:val="22"/>
        </w:rPr>
        <w:t>Flanders</w:t>
      </w:r>
      <w:proofErr w:type="spellEnd"/>
      <w:r w:rsidRPr="00A17429">
        <w:rPr>
          <w:rFonts w:ascii="Times New Roman" w:hAnsi="Times New Roman"/>
          <w:sz w:val="22"/>
          <w:szCs w:val="22"/>
        </w:rPr>
        <w:t xml:space="preserve">’ Care projecten of andere initiatieven kenbaar kunnen maken die bijdragen aan een slimmere organisatie van de zorg. Dat kan via het </w:t>
      </w:r>
      <w:proofErr w:type="spellStart"/>
      <w:r w:rsidRPr="00A17429">
        <w:rPr>
          <w:rFonts w:ascii="Times New Roman" w:hAnsi="Times New Roman"/>
          <w:sz w:val="22"/>
          <w:szCs w:val="22"/>
        </w:rPr>
        <w:t>Flanders</w:t>
      </w:r>
      <w:proofErr w:type="spellEnd"/>
      <w:r w:rsidRPr="00A17429">
        <w:rPr>
          <w:rFonts w:ascii="Times New Roman" w:hAnsi="Times New Roman"/>
          <w:sz w:val="22"/>
          <w:szCs w:val="22"/>
        </w:rPr>
        <w:t xml:space="preserve">’ Care Label. </w:t>
      </w:r>
    </w:p>
    <w:p w:rsidR="008E481D" w:rsidRPr="00A17429" w:rsidRDefault="008E481D" w:rsidP="008E481D">
      <w:pPr>
        <w:pStyle w:val="Tekstzonderopmaak"/>
        <w:ind w:left="426"/>
        <w:jc w:val="both"/>
        <w:rPr>
          <w:rStyle w:val="Zwaar"/>
          <w:rFonts w:ascii="Times New Roman" w:hAnsi="Times New Roman"/>
          <w:b w:val="0"/>
          <w:sz w:val="22"/>
          <w:szCs w:val="22"/>
        </w:rPr>
      </w:pPr>
      <w:r w:rsidRPr="00A17429">
        <w:rPr>
          <w:rStyle w:val="Zwaar"/>
          <w:rFonts w:ascii="Times New Roman" w:hAnsi="Times New Roman"/>
          <w:b w:val="0"/>
          <w:sz w:val="22"/>
          <w:szCs w:val="22"/>
        </w:rPr>
        <w:t xml:space="preserve">Ook rond de uitbouw van een HRM-beleid in functie van werving, retentie en carrièreplanning van medewerkers werd er verder gewerkt. </w:t>
      </w:r>
    </w:p>
    <w:p w:rsidR="008E481D" w:rsidRDefault="008E481D" w:rsidP="008E481D">
      <w:pPr>
        <w:pStyle w:val="Tekstzonderopmaak"/>
        <w:ind w:left="426"/>
        <w:jc w:val="both"/>
        <w:rPr>
          <w:rFonts w:ascii="Times New Roman" w:hAnsi="Times New Roman"/>
          <w:sz w:val="22"/>
          <w:szCs w:val="22"/>
        </w:rPr>
      </w:pPr>
    </w:p>
    <w:p w:rsidR="008E481D" w:rsidRDefault="008E481D" w:rsidP="008E481D">
      <w:pPr>
        <w:pStyle w:val="Tekstzonderopmaak"/>
        <w:ind w:left="426"/>
        <w:jc w:val="both"/>
        <w:rPr>
          <w:rFonts w:ascii="Times New Roman" w:hAnsi="Times New Roman"/>
          <w:sz w:val="22"/>
          <w:szCs w:val="22"/>
        </w:rPr>
      </w:pPr>
      <w:r>
        <w:rPr>
          <w:rFonts w:ascii="Times New Roman" w:hAnsi="Times New Roman"/>
          <w:sz w:val="22"/>
          <w:szCs w:val="22"/>
        </w:rPr>
        <w:t>V</w:t>
      </w:r>
      <w:r w:rsidRPr="00A17429">
        <w:rPr>
          <w:rFonts w:ascii="Times New Roman" w:hAnsi="Times New Roman"/>
          <w:sz w:val="22"/>
          <w:szCs w:val="22"/>
        </w:rPr>
        <w:t xml:space="preserve">erschillende studies (Bing in opdracht van </w:t>
      </w:r>
      <w:proofErr w:type="spellStart"/>
      <w:r w:rsidRPr="00A17429">
        <w:rPr>
          <w:rFonts w:ascii="Times New Roman" w:hAnsi="Times New Roman"/>
          <w:sz w:val="22"/>
          <w:szCs w:val="22"/>
        </w:rPr>
        <w:t>Zorgnet</w:t>
      </w:r>
      <w:proofErr w:type="spellEnd"/>
      <w:r>
        <w:rPr>
          <w:rFonts w:ascii="Times New Roman" w:hAnsi="Times New Roman"/>
          <w:sz w:val="22"/>
          <w:szCs w:val="22"/>
        </w:rPr>
        <w:t xml:space="preserve"> Vlaanderen, SD </w:t>
      </w:r>
      <w:proofErr w:type="spellStart"/>
      <w:r>
        <w:rPr>
          <w:rFonts w:ascii="Times New Roman" w:hAnsi="Times New Roman"/>
          <w:sz w:val="22"/>
          <w:szCs w:val="22"/>
        </w:rPr>
        <w:t>W</w:t>
      </w:r>
      <w:r w:rsidRPr="00A17429">
        <w:rPr>
          <w:rFonts w:ascii="Times New Roman" w:hAnsi="Times New Roman"/>
          <w:sz w:val="22"/>
          <w:szCs w:val="22"/>
        </w:rPr>
        <w:t>orx</w:t>
      </w:r>
      <w:proofErr w:type="spellEnd"/>
      <w:r w:rsidRPr="00A17429">
        <w:rPr>
          <w:rFonts w:ascii="Times New Roman" w:hAnsi="Times New Roman"/>
          <w:sz w:val="22"/>
          <w:szCs w:val="22"/>
        </w:rPr>
        <w:t xml:space="preserve"> in samenwerking met de Zorgambassadeur en de SERV met de werkbaarheidsmonitor), tonen onafhankelijk van elkaar aan dat het personeel in de zorg en/of welzijn zeer trouw is aan de sector en zijn werk zeer graag </w:t>
      </w:r>
      <w:r w:rsidRPr="00A17429">
        <w:rPr>
          <w:rFonts w:ascii="Times New Roman" w:hAnsi="Times New Roman"/>
          <w:sz w:val="22"/>
          <w:szCs w:val="22"/>
        </w:rPr>
        <w:lastRenderedPageBreak/>
        <w:t>doet. Ook de werkbaarheid van de job wordt door de werkbaarheidsmonitor aangetoond. Maar dit neemt niet weg dat een blijvende aandacht voor een goed uitgebouwd HRM-beleid cruciaal is, daarom moeten welzijns- en zorginstellingen hier meer op inzetten.</w:t>
      </w:r>
    </w:p>
    <w:p w:rsidR="008E481D" w:rsidRDefault="008E481D" w:rsidP="008E481D">
      <w:pPr>
        <w:pStyle w:val="Tekstzonderopmaak"/>
        <w:ind w:left="426"/>
        <w:jc w:val="both"/>
        <w:rPr>
          <w:rFonts w:ascii="Times New Roman" w:hAnsi="Times New Roman"/>
          <w:sz w:val="22"/>
          <w:szCs w:val="22"/>
        </w:rPr>
      </w:pPr>
      <w:r w:rsidRPr="00A17429">
        <w:rPr>
          <w:rFonts w:ascii="Times New Roman" w:hAnsi="Times New Roman"/>
          <w:sz w:val="22"/>
          <w:szCs w:val="22"/>
        </w:rPr>
        <w:br/>
      </w:r>
      <w:r>
        <w:rPr>
          <w:rFonts w:ascii="Times New Roman" w:hAnsi="Times New Roman"/>
          <w:sz w:val="22"/>
          <w:szCs w:val="22"/>
        </w:rPr>
        <w:t>Ook in de</w:t>
      </w:r>
      <w:r w:rsidRPr="00A17429">
        <w:rPr>
          <w:rFonts w:ascii="Times New Roman" w:hAnsi="Times New Roman"/>
          <w:sz w:val="22"/>
          <w:szCs w:val="22"/>
        </w:rPr>
        <w:t xml:space="preserve"> sectorconvenant </w:t>
      </w:r>
      <w:proofErr w:type="spellStart"/>
      <w:r w:rsidRPr="00A17429">
        <w:rPr>
          <w:rFonts w:ascii="Times New Roman" w:hAnsi="Times New Roman"/>
          <w:sz w:val="22"/>
          <w:szCs w:val="22"/>
        </w:rPr>
        <w:t>Social</w:t>
      </w:r>
      <w:proofErr w:type="spellEnd"/>
      <w:r w:rsidRPr="00A17429">
        <w:rPr>
          <w:rFonts w:ascii="Times New Roman" w:hAnsi="Times New Roman"/>
          <w:sz w:val="22"/>
          <w:szCs w:val="22"/>
        </w:rPr>
        <w:t xml:space="preserve"> Profit 2013 – 2014 tussen de sociale partners en de Vlaamse Regering werden specifieke maatregelen opgenomen rond HRM en </w:t>
      </w:r>
      <w:proofErr w:type="spellStart"/>
      <w:r w:rsidRPr="00A17429">
        <w:rPr>
          <w:rFonts w:ascii="Times New Roman" w:hAnsi="Times New Roman"/>
          <w:sz w:val="22"/>
          <w:szCs w:val="22"/>
        </w:rPr>
        <w:t>meerbepaald</w:t>
      </w:r>
      <w:proofErr w:type="spellEnd"/>
      <w:r w:rsidRPr="00A17429">
        <w:rPr>
          <w:rFonts w:ascii="Times New Roman" w:hAnsi="Times New Roman"/>
          <w:sz w:val="22"/>
          <w:szCs w:val="22"/>
        </w:rPr>
        <w:t xml:space="preserve"> inzake retentie en competentieversterking.</w:t>
      </w:r>
    </w:p>
    <w:p w:rsidR="008E481D" w:rsidRPr="00477C60" w:rsidRDefault="008E481D" w:rsidP="008E481D">
      <w:pPr>
        <w:pStyle w:val="Tekstzonderopmaak"/>
        <w:ind w:left="426"/>
        <w:jc w:val="both"/>
        <w:rPr>
          <w:rFonts w:ascii="Times New Roman" w:hAnsi="Times New Roman"/>
          <w:sz w:val="22"/>
          <w:szCs w:val="22"/>
        </w:rPr>
      </w:pPr>
      <w:r w:rsidRPr="00A17429">
        <w:rPr>
          <w:rFonts w:ascii="Times New Roman" w:hAnsi="Times New Roman"/>
          <w:sz w:val="22"/>
          <w:szCs w:val="22"/>
        </w:rPr>
        <w:br/>
        <w:t xml:space="preserve">Voor een overzicht van de verschillende acties die opgenomen zijn in de sectorconvenant zie </w:t>
      </w:r>
      <w:hyperlink r:id="rId8" w:tgtFrame="_blank" w:history="1">
        <w:r w:rsidRPr="00A17429">
          <w:rPr>
            <w:rStyle w:val="Hyperlink"/>
            <w:rFonts w:ascii="Times New Roman" w:hAnsi="Times New Roman"/>
            <w:sz w:val="22"/>
            <w:szCs w:val="22"/>
          </w:rPr>
          <w:t>www.vivosocialprofit.org</w:t>
        </w:r>
      </w:hyperlink>
      <w:r w:rsidRPr="00A17429">
        <w:rPr>
          <w:rFonts w:ascii="Times New Roman" w:hAnsi="Times New Roman"/>
          <w:sz w:val="22"/>
          <w:szCs w:val="22"/>
        </w:rPr>
        <w:t>.</w:t>
      </w:r>
      <w:r w:rsidRPr="00A17429">
        <w:rPr>
          <w:rFonts w:ascii="Times New Roman" w:hAnsi="Times New Roman"/>
          <w:sz w:val="22"/>
          <w:szCs w:val="22"/>
        </w:rPr>
        <w:br/>
      </w:r>
      <w:r w:rsidRPr="00A17429">
        <w:rPr>
          <w:rFonts w:ascii="Times New Roman" w:hAnsi="Times New Roman"/>
          <w:sz w:val="22"/>
          <w:szCs w:val="22"/>
        </w:rPr>
        <w:br/>
        <w:t>Ook binnen het VIA4-akkoord werden e</w:t>
      </w:r>
      <w:r>
        <w:rPr>
          <w:rFonts w:ascii="Times New Roman" w:hAnsi="Times New Roman"/>
          <w:sz w:val="22"/>
          <w:szCs w:val="22"/>
        </w:rPr>
        <w:t xml:space="preserve">r inspanningen geleverd ter </w:t>
      </w:r>
      <w:r w:rsidRPr="00A17429">
        <w:rPr>
          <w:rFonts w:ascii="Times New Roman" w:hAnsi="Times New Roman"/>
          <w:sz w:val="22"/>
          <w:szCs w:val="22"/>
        </w:rPr>
        <w:t>versterk</w:t>
      </w:r>
      <w:r>
        <w:rPr>
          <w:rFonts w:ascii="Times New Roman" w:hAnsi="Times New Roman"/>
          <w:sz w:val="22"/>
          <w:szCs w:val="22"/>
        </w:rPr>
        <w:t>ing</w:t>
      </w:r>
      <w:r w:rsidRPr="00A17429">
        <w:rPr>
          <w:rFonts w:ascii="Times New Roman" w:hAnsi="Times New Roman"/>
          <w:sz w:val="22"/>
          <w:szCs w:val="22"/>
        </w:rPr>
        <w:t xml:space="preserve"> van het HR-beleid. In dat kader heeft de Vlaamse Regering 8,7 miljoen euro uitgetrokken voor managementondersteuning.</w:t>
      </w:r>
    </w:p>
    <w:p w:rsidR="008E481D" w:rsidRPr="00477C60" w:rsidRDefault="008E481D" w:rsidP="008E481D">
      <w:pPr>
        <w:pStyle w:val="Tekstzonderopmaak"/>
        <w:ind w:left="567"/>
        <w:jc w:val="both"/>
        <w:rPr>
          <w:rFonts w:ascii="Times New Roman" w:hAnsi="Times New Roman"/>
          <w:sz w:val="22"/>
          <w:szCs w:val="22"/>
        </w:rPr>
      </w:pPr>
    </w:p>
    <w:p w:rsidR="008E481D" w:rsidRPr="00477C60" w:rsidRDefault="008E481D" w:rsidP="008E481D">
      <w:pPr>
        <w:pStyle w:val="Tekstzonderopmaak"/>
        <w:ind w:left="567"/>
        <w:jc w:val="both"/>
        <w:rPr>
          <w:rFonts w:ascii="Times New Roman" w:hAnsi="Times New Roman"/>
          <w:sz w:val="22"/>
          <w:szCs w:val="22"/>
        </w:rPr>
      </w:pPr>
    </w:p>
    <w:p w:rsidR="008E481D" w:rsidRPr="00477C60" w:rsidRDefault="00477C60" w:rsidP="008E481D">
      <w:pPr>
        <w:rPr>
          <w:b/>
          <w:smallCaps/>
          <w:color w:val="FF0000"/>
          <w:szCs w:val="22"/>
          <w:u w:val="single"/>
        </w:rPr>
      </w:pPr>
      <w:r>
        <w:rPr>
          <w:b/>
          <w:smallCaps/>
          <w:color w:val="FF0000"/>
          <w:szCs w:val="22"/>
          <w:u w:val="single"/>
        </w:rPr>
        <w:t>bijlage</w:t>
      </w:r>
    </w:p>
    <w:p w:rsidR="00477C60" w:rsidRDefault="00477C60" w:rsidP="00477C60">
      <w:pPr>
        <w:tabs>
          <w:tab w:val="left" w:pos="993"/>
        </w:tabs>
        <w:rPr>
          <w:szCs w:val="22"/>
        </w:rPr>
      </w:pPr>
    </w:p>
    <w:p w:rsidR="008E481D" w:rsidRPr="00477C60" w:rsidRDefault="00477C60" w:rsidP="00477C60">
      <w:pPr>
        <w:tabs>
          <w:tab w:val="left" w:pos="993"/>
        </w:tabs>
        <w:rPr>
          <w:szCs w:val="22"/>
        </w:rPr>
      </w:pPr>
      <w:r>
        <w:rPr>
          <w:szCs w:val="22"/>
        </w:rPr>
        <w:t>O</w:t>
      </w:r>
      <w:r w:rsidR="008E481D" w:rsidRPr="00477C60">
        <w:rPr>
          <w:szCs w:val="22"/>
        </w:rPr>
        <w:t>verzichtslijst van de initiatiefnemers in het kader van het Limburgplan – luik 1.900 bijkomende woongelegenheden</w:t>
      </w:r>
      <w:bookmarkStart w:id="6" w:name="_GoBack"/>
      <w:bookmarkEnd w:id="6"/>
    </w:p>
    <w:sectPr w:rsidR="008E481D" w:rsidRPr="00477C60"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2C" w:rsidRDefault="00ED002C">
      <w:r>
        <w:separator/>
      </w:r>
    </w:p>
  </w:endnote>
  <w:endnote w:type="continuationSeparator" w:id="0">
    <w:p w:rsidR="00ED002C" w:rsidRDefault="00ED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2C" w:rsidRDefault="00ED002C">
      <w:r>
        <w:separator/>
      </w:r>
    </w:p>
  </w:footnote>
  <w:footnote w:type="continuationSeparator" w:id="0">
    <w:p w:rsidR="00ED002C" w:rsidRDefault="00ED0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F1B3507"/>
    <w:multiLevelType w:val="hybridMultilevel"/>
    <w:tmpl w:val="D8FE2F42"/>
    <w:lvl w:ilvl="0" w:tplc="70A2796E">
      <w:start w:val="4"/>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1492B35"/>
    <w:multiLevelType w:val="hybridMultilevel"/>
    <w:tmpl w:val="119CF624"/>
    <w:lvl w:ilvl="0" w:tplc="B7887DB4">
      <w:start w:val="1"/>
      <w:numFmt w:val="decimal"/>
      <w:lvlText w:val="%1."/>
      <w:lvlJc w:val="left"/>
      <w:pPr>
        <w:tabs>
          <w:tab w:val="num" w:pos="360"/>
        </w:tabs>
        <w:ind w:left="360" w:hanging="360"/>
      </w:pPr>
      <w:rPr>
        <w:rFonts w:hint="default"/>
      </w:rPr>
    </w:lvl>
    <w:lvl w:ilvl="1" w:tplc="B44C711A">
      <w:start w:val="1"/>
      <w:numFmt w:val="decimal"/>
      <w:lvlText w:val="%2."/>
      <w:lvlJc w:val="left"/>
      <w:pPr>
        <w:tabs>
          <w:tab w:val="num" w:pos="1440"/>
        </w:tabs>
        <w:ind w:left="1440" w:hanging="360"/>
      </w:pPr>
      <w:rPr>
        <w:rFonts w:hint="default"/>
      </w:rPr>
    </w:lvl>
    <w:lvl w:ilvl="2" w:tplc="45FC2C44">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6C62AF6"/>
    <w:multiLevelType w:val="hybridMultilevel"/>
    <w:tmpl w:val="D67020F2"/>
    <w:lvl w:ilvl="0" w:tplc="1FE2A984">
      <w:numFmt w:val="bullet"/>
      <w:lvlText w:val="-"/>
      <w:lvlJc w:val="left"/>
      <w:pPr>
        <w:ind w:left="420" w:hanging="360"/>
      </w:pPr>
      <w:rPr>
        <w:rFonts w:ascii="Times New Roman" w:eastAsia="Times New Roman" w:hAnsi="Times New Roman" w:cs="Times New Roman"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2">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4">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759B1D96"/>
    <w:multiLevelType w:val="hybridMultilevel"/>
    <w:tmpl w:val="B9E2A406"/>
    <w:lvl w:ilvl="0" w:tplc="2B12BF9C">
      <w:start w:val="1"/>
      <w:numFmt w:val="decimal"/>
      <w:pStyle w:val="Punctuee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0"/>
  </w:num>
  <w:num w:numId="4">
    <w:abstractNumId w:val="3"/>
  </w:num>
  <w:num w:numId="5">
    <w:abstractNumId w:val="17"/>
  </w:num>
  <w:num w:numId="6">
    <w:abstractNumId w:val="15"/>
  </w:num>
  <w:num w:numId="7">
    <w:abstractNumId w:val="0"/>
  </w:num>
  <w:num w:numId="8">
    <w:abstractNumId w:val="1"/>
  </w:num>
  <w:num w:numId="9">
    <w:abstractNumId w:val="14"/>
  </w:num>
  <w:num w:numId="10">
    <w:abstractNumId w:val="8"/>
  </w:num>
  <w:num w:numId="11">
    <w:abstractNumId w:val="12"/>
  </w:num>
  <w:num w:numId="12">
    <w:abstractNumId w:val="7"/>
  </w:num>
  <w:num w:numId="13">
    <w:abstractNumId w:val="5"/>
  </w:num>
  <w:num w:numId="14">
    <w:abstractNumId w:val="9"/>
  </w:num>
  <w:num w:numId="15">
    <w:abstractNumId w:val="6"/>
  </w:num>
  <w:num w:numId="16">
    <w:abstractNumId w:val="16"/>
  </w:num>
  <w:num w:numId="17">
    <w:abstractNumId w:val="4"/>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7A38"/>
    <w:rsid w:val="0002649B"/>
    <w:rsid w:val="00030E3C"/>
    <w:rsid w:val="000402DE"/>
    <w:rsid w:val="00090290"/>
    <w:rsid w:val="0009102B"/>
    <w:rsid w:val="000976E9"/>
    <w:rsid w:val="000B43B3"/>
    <w:rsid w:val="000B6649"/>
    <w:rsid w:val="000C4E8C"/>
    <w:rsid w:val="000C7C6C"/>
    <w:rsid w:val="000D45C1"/>
    <w:rsid w:val="000F3532"/>
    <w:rsid w:val="000F5552"/>
    <w:rsid w:val="00102B84"/>
    <w:rsid w:val="00126CC3"/>
    <w:rsid w:val="001300FC"/>
    <w:rsid w:val="0013792D"/>
    <w:rsid w:val="001503AF"/>
    <w:rsid w:val="0015699E"/>
    <w:rsid w:val="00163472"/>
    <w:rsid w:val="00174411"/>
    <w:rsid w:val="001A654E"/>
    <w:rsid w:val="001B06DF"/>
    <w:rsid w:val="001C211C"/>
    <w:rsid w:val="001D345D"/>
    <w:rsid w:val="00202D3B"/>
    <w:rsid w:val="00210C07"/>
    <w:rsid w:val="00250C88"/>
    <w:rsid w:val="0025145A"/>
    <w:rsid w:val="00263A8F"/>
    <w:rsid w:val="0027303B"/>
    <w:rsid w:val="002812CD"/>
    <w:rsid w:val="002873D3"/>
    <w:rsid w:val="00291F05"/>
    <w:rsid w:val="002958C6"/>
    <w:rsid w:val="002A27A5"/>
    <w:rsid w:val="002A2B30"/>
    <w:rsid w:val="002B3C95"/>
    <w:rsid w:val="002C58D8"/>
    <w:rsid w:val="002C59AB"/>
    <w:rsid w:val="002F1C74"/>
    <w:rsid w:val="002F38C9"/>
    <w:rsid w:val="00316596"/>
    <w:rsid w:val="00326A58"/>
    <w:rsid w:val="00340BDC"/>
    <w:rsid w:val="00355B81"/>
    <w:rsid w:val="00386FFE"/>
    <w:rsid w:val="003B45FE"/>
    <w:rsid w:val="003D7955"/>
    <w:rsid w:val="003D7B9E"/>
    <w:rsid w:val="003F5ED2"/>
    <w:rsid w:val="0040034E"/>
    <w:rsid w:val="004037CA"/>
    <w:rsid w:val="00421318"/>
    <w:rsid w:val="00422BB7"/>
    <w:rsid w:val="004337D3"/>
    <w:rsid w:val="00451B61"/>
    <w:rsid w:val="004545D6"/>
    <w:rsid w:val="00461B8D"/>
    <w:rsid w:val="00477C60"/>
    <w:rsid w:val="004A04AE"/>
    <w:rsid w:val="004A472B"/>
    <w:rsid w:val="004C554A"/>
    <w:rsid w:val="004D00C7"/>
    <w:rsid w:val="004E57FB"/>
    <w:rsid w:val="004E6F83"/>
    <w:rsid w:val="0050103D"/>
    <w:rsid w:val="00526536"/>
    <w:rsid w:val="005412AC"/>
    <w:rsid w:val="00572762"/>
    <w:rsid w:val="005A0A98"/>
    <w:rsid w:val="005A5E23"/>
    <w:rsid w:val="005C3D68"/>
    <w:rsid w:val="005C4E46"/>
    <w:rsid w:val="005E38CA"/>
    <w:rsid w:val="005F09EF"/>
    <w:rsid w:val="005F6C02"/>
    <w:rsid w:val="00635B40"/>
    <w:rsid w:val="006454B2"/>
    <w:rsid w:val="006563FB"/>
    <w:rsid w:val="006640D2"/>
    <w:rsid w:val="00666387"/>
    <w:rsid w:val="006715CC"/>
    <w:rsid w:val="0067306B"/>
    <w:rsid w:val="00695E76"/>
    <w:rsid w:val="006A792C"/>
    <w:rsid w:val="006B3EE5"/>
    <w:rsid w:val="006B7A39"/>
    <w:rsid w:val="00703E55"/>
    <w:rsid w:val="0071248C"/>
    <w:rsid w:val="00715E0D"/>
    <w:rsid w:val="007252C7"/>
    <w:rsid w:val="00733EA7"/>
    <w:rsid w:val="00734A4C"/>
    <w:rsid w:val="00766407"/>
    <w:rsid w:val="00783AFE"/>
    <w:rsid w:val="007902C7"/>
    <w:rsid w:val="00796356"/>
    <w:rsid w:val="007A07CF"/>
    <w:rsid w:val="007C007C"/>
    <w:rsid w:val="007D7AC5"/>
    <w:rsid w:val="007F0C63"/>
    <w:rsid w:val="007F6352"/>
    <w:rsid w:val="00800EE1"/>
    <w:rsid w:val="00822F1B"/>
    <w:rsid w:val="008356C7"/>
    <w:rsid w:val="00837915"/>
    <w:rsid w:val="008538D6"/>
    <w:rsid w:val="00864305"/>
    <w:rsid w:val="00884FA1"/>
    <w:rsid w:val="00886073"/>
    <w:rsid w:val="008860F8"/>
    <w:rsid w:val="00887F9E"/>
    <w:rsid w:val="008C2F0C"/>
    <w:rsid w:val="008D5DB4"/>
    <w:rsid w:val="008E481D"/>
    <w:rsid w:val="0090167F"/>
    <w:rsid w:val="0090401E"/>
    <w:rsid w:val="00905982"/>
    <w:rsid w:val="00921BFC"/>
    <w:rsid w:val="009347E0"/>
    <w:rsid w:val="009455AD"/>
    <w:rsid w:val="00952C2D"/>
    <w:rsid w:val="00964B80"/>
    <w:rsid w:val="00970734"/>
    <w:rsid w:val="00987BBD"/>
    <w:rsid w:val="009D7043"/>
    <w:rsid w:val="009F0511"/>
    <w:rsid w:val="00A04E1C"/>
    <w:rsid w:val="00A176DD"/>
    <w:rsid w:val="00A22807"/>
    <w:rsid w:val="00A2736D"/>
    <w:rsid w:val="00A64440"/>
    <w:rsid w:val="00A6449D"/>
    <w:rsid w:val="00A64695"/>
    <w:rsid w:val="00A86C48"/>
    <w:rsid w:val="00AA1C7B"/>
    <w:rsid w:val="00AC19C1"/>
    <w:rsid w:val="00AC4E76"/>
    <w:rsid w:val="00AE5BE5"/>
    <w:rsid w:val="00AE721D"/>
    <w:rsid w:val="00AF6BEF"/>
    <w:rsid w:val="00B14702"/>
    <w:rsid w:val="00B246FE"/>
    <w:rsid w:val="00B4044B"/>
    <w:rsid w:val="00B4156E"/>
    <w:rsid w:val="00B45EB2"/>
    <w:rsid w:val="00B5296E"/>
    <w:rsid w:val="00B55E0E"/>
    <w:rsid w:val="00B915D2"/>
    <w:rsid w:val="00B9672E"/>
    <w:rsid w:val="00BD3BBF"/>
    <w:rsid w:val="00BE425A"/>
    <w:rsid w:val="00BF330F"/>
    <w:rsid w:val="00C00755"/>
    <w:rsid w:val="00C15444"/>
    <w:rsid w:val="00C17BAF"/>
    <w:rsid w:val="00C26239"/>
    <w:rsid w:val="00C57362"/>
    <w:rsid w:val="00C6692E"/>
    <w:rsid w:val="00C70531"/>
    <w:rsid w:val="00C7570D"/>
    <w:rsid w:val="00C77630"/>
    <w:rsid w:val="00C86786"/>
    <w:rsid w:val="00C91441"/>
    <w:rsid w:val="00C92969"/>
    <w:rsid w:val="00C95EE0"/>
    <w:rsid w:val="00CA4677"/>
    <w:rsid w:val="00CA50F3"/>
    <w:rsid w:val="00CA6539"/>
    <w:rsid w:val="00CC532C"/>
    <w:rsid w:val="00CE4D99"/>
    <w:rsid w:val="00D04FBF"/>
    <w:rsid w:val="00D10499"/>
    <w:rsid w:val="00D10572"/>
    <w:rsid w:val="00D549F3"/>
    <w:rsid w:val="00D6012B"/>
    <w:rsid w:val="00D65CEC"/>
    <w:rsid w:val="00D71D99"/>
    <w:rsid w:val="00D754F2"/>
    <w:rsid w:val="00D86F22"/>
    <w:rsid w:val="00DA0CE6"/>
    <w:rsid w:val="00DB24B0"/>
    <w:rsid w:val="00DB41C0"/>
    <w:rsid w:val="00DC2940"/>
    <w:rsid w:val="00DC4DB6"/>
    <w:rsid w:val="00DC6A4B"/>
    <w:rsid w:val="00DD0684"/>
    <w:rsid w:val="00DE68BB"/>
    <w:rsid w:val="00DF0A0B"/>
    <w:rsid w:val="00DF23EB"/>
    <w:rsid w:val="00E15F1E"/>
    <w:rsid w:val="00E26FA5"/>
    <w:rsid w:val="00E55200"/>
    <w:rsid w:val="00E61ABE"/>
    <w:rsid w:val="00E80CC0"/>
    <w:rsid w:val="00E85C8D"/>
    <w:rsid w:val="00EA1013"/>
    <w:rsid w:val="00EA32C7"/>
    <w:rsid w:val="00EA633B"/>
    <w:rsid w:val="00EB4635"/>
    <w:rsid w:val="00EC59DD"/>
    <w:rsid w:val="00ED002C"/>
    <w:rsid w:val="00ED1954"/>
    <w:rsid w:val="00ED4D74"/>
    <w:rsid w:val="00ED6A95"/>
    <w:rsid w:val="00F164CE"/>
    <w:rsid w:val="00F24D61"/>
    <w:rsid w:val="00F262A3"/>
    <w:rsid w:val="00F55D5E"/>
    <w:rsid w:val="00F608EE"/>
    <w:rsid w:val="00F61D83"/>
    <w:rsid w:val="00F67B52"/>
    <w:rsid w:val="00F826BA"/>
    <w:rsid w:val="00F85CC6"/>
    <w:rsid w:val="00FA29D6"/>
    <w:rsid w:val="00FC24BE"/>
    <w:rsid w:val="00FD5BF4"/>
    <w:rsid w:val="00FE5406"/>
    <w:rsid w:val="00FF11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0F5552"/>
    <w:rPr>
      <w:vertAlign w:val="superscript"/>
    </w:rPr>
  </w:style>
  <w:style w:type="character" w:styleId="Hyperlink">
    <w:name w:val="Hyperlink"/>
    <w:basedOn w:val="Standaardalinea-lettertype"/>
    <w:rsid w:val="000F5552"/>
    <w:rPr>
      <w:color w:val="0000FF"/>
      <w:u w:val="single"/>
    </w:rPr>
  </w:style>
  <w:style w:type="paragraph" w:styleId="Normaalweb">
    <w:name w:val="Normal (Web)"/>
    <w:basedOn w:val="Standaard"/>
    <w:uiPriority w:val="99"/>
    <w:rsid w:val="00D04FBF"/>
    <w:pPr>
      <w:spacing w:before="100" w:beforeAutospacing="1" w:after="100" w:afterAutospacing="1"/>
    </w:pPr>
    <w:rPr>
      <w:rFonts w:ascii="Verdana" w:hAnsi="Verdana"/>
      <w:color w:val="000000"/>
      <w:sz w:val="20"/>
      <w:szCs w:val="20"/>
    </w:rPr>
  </w:style>
  <w:style w:type="paragraph" w:customStyle="1" w:styleId="Punctueel">
    <w:name w:val="Punctueel"/>
    <w:basedOn w:val="Koptekst"/>
    <w:rsid w:val="002873D3"/>
    <w:pPr>
      <w:numPr>
        <w:numId w:val="16"/>
      </w:numPr>
      <w:tabs>
        <w:tab w:val="clear" w:pos="4536"/>
        <w:tab w:val="clear" w:pos="9072"/>
      </w:tabs>
      <w:spacing w:after="240"/>
      <w:jc w:val="both"/>
    </w:pPr>
    <w:rPr>
      <w:szCs w:val="20"/>
      <w:lang w:val="nl-BE"/>
    </w:rPr>
  </w:style>
  <w:style w:type="paragraph" w:styleId="Koptekst">
    <w:name w:val="header"/>
    <w:basedOn w:val="Standaard"/>
    <w:rsid w:val="002873D3"/>
    <w:pPr>
      <w:tabs>
        <w:tab w:val="center" w:pos="4536"/>
        <w:tab w:val="right" w:pos="9072"/>
      </w:tabs>
    </w:pPr>
  </w:style>
  <w:style w:type="character" w:customStyle="1" w:styleId="current">
    <w:name w:val="current"/>
    <w:basedOn w:val="Standaardalinea-lettertype"/>
    <w:rsid w:val="00F164CE"/>
  </w:style>
  <w:style w:type="paragraph" w:styleId="Plattetekstinspringen">
    <w:name w:val="Body Text Indent"/>
    <w:basedOn w:val="Standaard"/>
    <w:link w:val="PlattetekstinspringenChar"/>
    <w:rsid w:val="00F24D61"/>
    <w:pPr>
      <w:spacing w:after="120"/>
      <w:ind w:left="283"/>
    </w:pPr>
    <w:rPr>
      <w:sz w:val="24"/>
    </w:rPr>
  </w:style>
  <w:style w:type="character" w:customStyle="1" w:styleId="PlattetekstinspringenChar">
    <w:name w:val="Platte tekst inspringen Char"/>
    <w:basedOn w:val="Standaardalinea-lettertype"/>
    <w:link w:val="Plattetekstinspringen"/>
    <w:rsid w:val="00F24D61"/>
    <w:rPr>
      <w:sz w:val="24"/>
      <w:szCs w:val="24"/>
      <w:lang w:val="nl-NL" w:eastAsia="nl-NL"/>
    </w:rPr>
  </w:style>
  <w:style w:type="character" w:styleId="Zwaar">
    <w:name w:val="Strong"/>
    <w:uiPriority w:val="22"/>
    <w:qFormat/>
    <w:rsid w:val="00F24D61"/>
    <w:rPr>
      <w:b/>
      <w:bCs/>
    </w:rPr>
  </w:style>
  <w:style w:type="paragraph" w:styleId="Tekstzonderopmaak">
    <w:name w:val="Plain Text"/>
    <w:basedOn w:val="Standaard"/>
    <w:link w:val="TekstzonderopmaakChar"/>
    <w:rsid w:val="00F24D61"/>
    <w:rPr>
      <w:rFonts w:ascii="Courier New" w:hAnsi="Courier New"/>
      <w:sz w:val="20"/>
    </w:rPr>
  </w:style>
  <w:style w:type="character" w:customStyle="1" w:styleId="TekstzonderopmaakChar">
    <w:name w:val="Tekst zonder opmaak Char"/>
    <w:basedOn w:val="Standaardalinea-lettertype"/>
    <w:link w:val="Tekstzonderopmaak"/>
    <w:rsid w:val="00F24D61"/>
    <w:rPr>
      <w:rFonts w:ascii="Courier New" w:hAnsi="Courier New"/>
      <w:szCs w:val="24"/>
      <w:lang w:val="nl-NL" w:eastAsia="nl-NL"/>
    </w:rPr>
  </w:style>
  <w:style w:type="paragraph" w:styleId="Lijstalinea">
    <w:name w:val="List Paragraph"/>
    <w:basedOn w:val="Standaard"/>
    <w:uiPriority w:val="34"/>
    <w:qFormat/>
    <w:rsid w:val="00F24D61"/>
    <w:pPr>
      <w:ind w:left="708"/>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0F5552"/>
    <w:rPr>
      <w:vertAlign w:val="superscript"/>
    </w:rPr>
  </w:style>
  <w:style w:type="character" w:styleId="Hyperlink">
    <w:name w:val="Hyperlink"/>
    <w:basedOn w:val="Standaardalinea-lettertype"/>
    <w:rsid w:val="000F5552"/>
    <w:rPr>
      <w:color w:val="0000FF"/>
      <w:u w:val="single"/>
    </w:rPr>
  </w:style>
  <w:style w:type="paragraph" w:styleId="Normaalweb">
    <w:name w:val="Normal (Web)"/>
    <w:basedOn w:val="Standaard"/>
    <w:uiPriority w:val="99"/>
    <w:rsid w:val="00D04FBF"/>
    <w:pPr>
      <w:spacing w:before="100" w:beforeAutospacing="1" w:after="100" w:afterAutospacing="1"/>
    </w:pPr>
    <w:rPr>
      <w:rFonts w:ascii="Verdana" w:hAnsi="Verdana"/>
      <w:color w:val="000000"/>
      <w:sz w:val="20"/>
      <w:szCs w:val="20"/>
    </w:rPr>
  </w:style>
  <w:style w:type="paragraph" w:customStyle="1" w:styleId="Punctueel">
    <w:name w:val="Punctueel"/>
    <w:basedOn w:val="Koptekst"/>
    <w:rsid w:val="002873D3"/>
    <w:pPr>
      <w:numPr>
        <w:numId w:val="16"/>
      </w:numPr>
      <w:tabs>
        <w:tab w:val="clear" w:pos="4536"/>
        <w:tab w:val="clear" w:pos="9072"/>
      </w:tabs>
      <w:spacing w:after="240"/>
      <w:jc w:val="both"/>
    </w:pPr>
    <w:rPr>
      <w:szCs w:val="20"/>
      <w:lang w:val="nl-BE"/>
    </w:rPr>
  </w:style>
  <w:style w:type="paragraph" w:styleId="Koptekst">
    <w:name w:val="header"/>
    <w:basedOn w:val="Standaard"/>
    <w:rsid w:val="002873D3"/>
    <w:pPr>
      <w:tabs>
        <w:tab w:val="center" w:pos="4536"/>
        <w:tab w:val="right" w:pos="9072"/>
      </w:tabs>
    </w:pPr>
  </w:style>
  <w:style w:type="character" w:customStyle="1" w:styleId="current">
    <w:name w:val="current"/>
    <w:basedOn w:val="Standaardalinea-lettertype"/>
    <w:rsid w:val="00F164CE"/>
  </w:style>
  <w:style w:type="paragraph" w:styleId="Plattetekstinspringen">
    <w:name w:val="Body Text Indent"/>
    <w:basedOn w:val="Standaard"/>
    <w:link w:val="PlattetekstinspringenChar"/>
    <w:rsid w:val="00F24D61"/>
    <w:pPr>
      <w:spacing w:after="120"/>
      <w:ind w:left="283"/>
    </w:pPr>
    <w:rPr>
      <w:sz w:val="24"/>
    </w:rPr>
  </w:style>
  <w:style w:type="character" w:customStyle="1" w:styleId="PlattetekstinspringenChar">
    <w:name w:val="Platte tekst inspringen Char"/>
    <w:basedOn w:val="Standaardalinea-lettertype"/>
    <w:link w:val="Plattetekstinspringen"/>
    <w:rsid w:val="00F24D61"/>
    <w:rPr>
      <w:sz w:val="24"/>
      <w:szCs w:val="24"/>
      <w:lang w:val="nl-NL" w:eastAsia="nl-NL"/>
    </w:rPr>
  </w:style>
  <w:style w:type="character" w:styleId="Zwaar">
    <w:name w:val="Strong"/>
    <w:uiPriority w:val="22"/>
    <w:qFormat/>
    <w:rsid w:val="00F24D61"/>
    <w:rPr>
      <w:b/>
      <w:bCs/>
    </w:rPr>
  </w:style>
  <w:style w:type="paragraph" w:styleId="Tekstzonderopmaak">
    <w:name w:val="Plain Text"/>
    <w:basedOn w:val="Standaard"/>
    <w:link w:val="TekstzonderopmaakChar"/>
    <w:rsid w:val="00F24D61"/>
    <w:rPr>
      <w:rFonts w:ascii="Courier New" w:hAnsi="Courier New"/>
      <w:sz w:val="20"/>
    </w:rPr>
  </w:style>
  <w:style w:type="character" w:customStyle="1" w:styleId="TekstzonderopmaakChar">
    <w:name w:val="Tekst zonder opmaak Char"/>
    <w:basedOn w:val="Standaardalinea-lettertype"/>
    <w:link w:val="Tekstzonderopmaak"/>
    <w:rsid w:val="00F24D61"/>
    <w:rPr>
      <w:rFonts w:ascii="Courier New" w:hAnsi="Courier New"/>
      <w:szCs w:val="24"/>
      <w:lang w:val="nl-NL" w:eastAsia="nl-NL"/>
    </w:rPr>
  </w:style>
  <w:style w:type="paragraph" w:styleId="Lijstalinea">
    <w:name w:val="List Paragraph"/>
    <w:basedOn w:val="Standaard"/>
    <w:uiPriority w:val="34"/>
    <w:qFormat/>
    <w:rsid w:val="00F24D61"/>
    <w:pPr>
      <w:ind w:left="708"/>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vosocialprofi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4</Pages>
  <Words>1488</Words>
  <Characters>9020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2014-04-25T14:31:00Z</cp:lastPrinted>
  <dcterms:created xsi:type="dcterms:W3CDTF">2014-04-29T07:01:00Z</dcterms:created>
  <dcterms:modified xsi:type="dcterms:W3CDTF">2014-04-29T07:02:00Z</dcterms:modified>
</cp:coreProperties>
</file>