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F93323" w:rsidRDefault="00927570">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F93323" w:rsidRDefault="00927570">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F93323" w:rsidRDefault="00F93323">
      <w:pPr>
        <w:rPr>
          <w:szCs w:val="22"/>
        </w:rPr>
      </w:pPr>
    </w:p>
    <w:p w:rsidR="00F93323" w:rsidRDefault="00F93323">
      <w:pPr>
        <w:pStyle w:val="A-Lijn"/>
      </w:pPr>
    </w:p>
    <w:p w:rsidR="00F93323" w:rsidRDefault="00F93323">
      <w:pPr>
        <w:pStyle w:val="A-Type"/>
        <w:sectPr w:rsidR="00F93323">
          <w:pgSz w:w="11906" w:h="16838"/>
          <w:pgMar w:top="1417" w:right="1417" w:bottom="1417" w:left="1417" w:header="708" w:footer="708" w:gutter="0"/>
          <w:cols w:space="708"/>
          <w:docGrid w:linePitch="360"/>
        </w:sectPr>
      </w:pPr>
    </w:p>
    <w:p w:rsidR="00F93323" w:rsidRDefault="00BF3865">
      <w:pPr>
        <w:pStyle w:val="A-Type"/>
        <w:outlineLvl w:val="0"/>
        <w:sectPr w:rsidR="00F93323">
          <w:type w:val="continuous"/>
          <w:pgSz w:w="11906" w:h="16838"/>
          <w:pgMar w:top="1417" w:right="1417" w:bottom="1417" w:left="1417" w:header="708" w:footer="708" w:gutter="0"/>
          <w:cols w:space="708"/>
          <w:formProt w:val="0"/>
          <w:docGrid w:linePitch="360"/>
        </w:sectPr>
      </w:pPr>
      <w:r>
        <w:lastRenderedPageBreak/>
        <w:t xml:space="preserve">antwoord </w:t>
      </w:r>
    </w:p>
    <w:p w:rsidR="00F93323" w:rsidRDefault="00BF3865">
      <w:pPr>
        <w:pStyle w:val="A-Type"/>
        <w:rPr>
          <w:b w:val="0"/>
        </w:rPr>
      </w:pPr>
      <w:r>
        <w:rPr>
          <w:b w:val="0"/>
          <w:smallCaps w:val="0"/>
        </w:rPr>
        <w:lastRenderedPageBreak/>
        <w:t>op vraag nr.</w:t>
      </w:r>
      <w:r>
        <w:rPr>
          <w:b w:val="0"/>
        </w:rPr>
        <w:t xml:space="preserve"> </w:t>
      </w:r>
      <w:bookmarkStart w:id="2" w:name="Text3"/>
      <w:r w:rsidR="00927570">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927570">
        <w:rPr>
          <w:b w:val="0"/>
        </w:rPr>
      </w:r>
      <w:r w:rsidR="00927570">
        <w:rPr>
          <w:b w:val="0"/>
        </w:rPr>
        <w:fldChar w:fldCharType="separate"/>
      </w:r>
      <w:r w:rsidR="0024317B">
        <w:rPr>
          <w:b w:val="0"/>
          <w:noProof/>
        </w:rPr>
        <w:t>460</w:t>
      </w:r>
      <w:r w:rsidR="00927570">
        <w:rPr>
          <w:b w:val="0"/>
        </w:rPr>
        <w:fldChar w:fldCharType="end"/>
      </w:r>
      <w:bookmarkEnd w:id="2"/>
      <w:r>
        <w:rPr>
          <w:b w:val="0"/>
        </w:rPr>
        <w:t xml:space="preserve"> </w:t>
      </w:r>
      <w:r>
        <w:rPr>
          <w:b w:val="0"/>
          <w:smallCaps w:val="0"/>
        </w:rPr>
        <w:t>van</w:t>
      </w:r>
      <w:r>
        <w:rPr>
          <w:b w:val="0"/>
        </w:rPr>
        <w:t xml:space="preserve"> </w:t>
      </w:r>
      <w:bookmarkStart w:id="3" w:name="Text5"/>
      <w:r w:rsidR="00927570">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927570">
        <w:rPr>
          <w:b w:val="0"/>
        </w:rPr>
      </w:r>
      <w:r w:rsidR="00927570">
        <w:rPr>
          <w:b w:val="0"/>
        </w:rPr>
        <w:fldChar w:fldCharType="separate"/>
      </w:r>
      <w:r w:rsidR="0024317B">
        <w:rPr>
          <w:b w:val="0"/>
          <w:noProof/>
        </w:rPr>
        <w:t>27</w:t>
      </w:r>
      <w:r w:rsidR="00927570">
        <w:rPr>
          <w:b w:val="0"/>
        </w:rPr>
        <w:fldChar w:fldCharType="end"/>
      </w:r>
      <w:bookmarkEnd w:id="3"/>
      <w:r>
        <w:rPr>
          <w:b w:val="0"/>
        </w:rPr>
        <w:t xml:space="preserve"> </w:t>
      </w:r>
      <w:bookmarkStart w:id="4" w:name="Dropdown2"/>
      <w:r w:rsidR="00927570">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5441EA">
        <w:rPr>
          <w:b w:val="0"/>
        </w:rPr>
      </w:r>
      <w:r w:rsidR="005441EA">
        <w:rPr>
          <w:b w:val="0"/>
        </w:rPr>
        <w:fldChar w:fldCharType="separate"/>
      </w:r>
      <w:r w:rsidR="00927570">
        <w:rPr>
          <w:b w:val="0"/>
        </w:rPr>
        <w:fldChar w:fldCharType="end"/>
      </w:r>
      <w:bookmarkEnd w:id="4"/>
      <w:r>
        <w:rPr>
          <w:b w:val="0"/>
        </w:rPr>
        <w:t xml:space="preserve"> </w:t>
      </w:r>
      <w:bookmarkStart w:id="5" w:name="Dropdown3"/>
      <w:r w:rsidR="00927570">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5441EA">
        <w:rPr>
          <w:b w:val="0"/>
        </w:rPr>
      </w:r>
      <w:r w:rsidR="005441EA">
        <w:rPr>
          <w:b w:val="0"/>
        </w:rPr>
        <w:fldChar w:fldCharType="separate"/>
      </w:r>
      <w:r w:rsidR="00927570">
        <w:rPr>
          <w:b w:val="0"/>
        </w:rPr>
        <w:fldChar w:fldCharType="end"/>
      </w:r>
      <w:bookmarkEnd w:id="5"/>
    </w:p>
    <w:p w:rsidR="00F93323" w:rsidRDefault="00BF3865">
      <w:pPr>
        <w:rPr>
          <w:szCs w:val="22"/>
        </w:rPr>
      </w:pPr>
      <w:r>
        <w:rPr>
          <w:szCs w:val="22"/>
        </w:rPr>
        <w:t xml:space="preserve">van </w:t>
      </w:r>
      <w:r w:rsidR="00927570">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927570">
        <w:rPr>
          <w:rStyle w:val="AntwoordNaamMinisterChar"/>
        </w:rPr>
      </w:r>
      <w:r w:rsidR="00927570">
        <w:rPr>
          <w:rStyle w:val="AntwoordNaamMinisterChar"/>
        </w:rPr>
        <w:fldChar w:fldCharType="separate"/>
      </w:r>
      <w:r w:rsidR="008432A4">
        <w:rPr>
          <w:rStyle w:val="AntwoordNaamMinisterChar"/>
        </w:rPr>
        <w:t>g</w:t>
      </w:r>
      <w:r w:rsidR="0024317B">
        <w:rPr>
          <w:rStyle w:val="AntwoordNaamMinisterChar"/>
          <w:noProof/>
        </w:rPr>
        <w:t xml:space="preserve">riet </w:t>
      </w:r>
      <w:r w:rsidR="008432A4">
        <w:rPr>
          <w:rStyle w:val="AntwoordNaamMinisterChar"/>
          <w:noProof/>
        </w:rPr>
        <w:t>c</w:t>
      </w:r>
      <w:r w:rsidR="0024317B">
        <w:rPr>
          <w:rStyle w:val="AntwoordNaamMinisterChar"/>
          <w:noProof/>
        </w:rPr>
        <w:t>oppé</w:t>
      </w:r>
      <w:r w:rsidR="00927570">
        <w:rPr>
          <w:rStyle w:val="AntwoordNaamMinisterChar"/>
        </w:rPr>
        <w:fldChar w:fldCharType="end"/>
      </w:r>
    </w:p>
    <w:p w:rsidR="00F93323" w:rsidRDefault="00F93323">
      <w:pPr>
        <w:rPr>
          <w:szCs w:val="22"/>
        </w:rPr>
      </w:pPr>
    </w:p>
    <w:p w:rsidR="00F93323" w:rsidRDefault="00F93323">
      <w:pPr>
        <w:pStyle w:val="A-Lijn"/>
      </w:pPr>
    </w:p>
    <w:p w:rsidR="00F93323" w:rsidRDefault="00F93323">
      <w:pPr>
        <w:pStyle w:val="A-Lijn"/>
      </w:pPr>
    </w:p>
    <w:p w:rsidR="00F93323" w:rsidRDefault="00F93323">
      <w:pPr>
        <w:sectPr w:rsidR="00F93323">
          <w:type w:val="continuous"/>
          <w:pgSz w:w="11906" w:h="16838"/>
          <w:pgMar w:top="1417" w:right="1417" w:bottom="1417" w:left="1417" w:header="708" w:footer="708" w:gutter="0"/>
          <w:cols w:space="708"/>
          <w:docGrid w:linePitch="360"/>
        </w:sectPr>
      </w:pPr>
    </w:p>
    <w:p w:rsidR="003A51CC" w:rsidRDefault="003A51CC" w:rsidP="005441EA">
      <w:pPr>
        <w:pStyle w:val="StandaardSV"/>
        <w:numPr>
          <w:ilvl w:val="0"/>
          <w:numId w:val="26"/>
        </w:numPr>
        <w:tabs>
          <w:tab w:val="left" w:pos="284"/>
        </w:tabs>
        <w:ind w:left="284" w:hanging="284"/>
        <w:rPr>
          <w:color w:val="000000" w:themeColor="text1"/>
          <w:szCs w:val="22"/>
        </w:rPr>
      </w:pPr>
      <w:r>
        <w:rPr>
          <w:color w:val="000000" w:themeColor="text1"/>
          <w:szCs w:val="22"/>
        </w:rPr>
        <w:lastRenderedPageBreak/>
        <w:t>In totaal werd sinds 2013 een budget besteed van 134.000 euro aan dit proefproject. Dit budget omvat:</w:t>
      </w:r>
    </w:p>
    <w:p w:rsidR="003A51CC" w:rsidRDefault="003A51CC" w:rsidP="005441EA">
      <w:pPr>
        <w:pStyle w:val="StandaardSV"/>
        <w:numPr>
          <w:ilvl w:val="0"/>
          <w:numId w:val="27"/>
        </w:numPr>
        <w:ind w:left="340" w:firstLine="0"/>
        <w:rPr>
          <w:color w:val="000000" w:themeColor="text1"/>
          <w:szCs w:val="22"/>
        </w:rPr>
      </w:pPr>
      <w:r>
        <w:rPr>
          <w:color w:val="000000" w:themeColor="text1"/>
          <w:szCs w:val="22"/>
        </w:rPr>
        <w:t>de ontwikkeling van een prototype van de Kinderopvangzoeker;</w:t>
      </w:r>
    </w:p>
    <w:p w:rsidR="003A51CC" w:rsidRDefault="003A51CC" w:rsidP="005441EA">
      <w:pPr>
        <w:pStyle w:val="StandaardSV"/>
        <w:numPr>
          <w:ilvl w:val="0"/>
          <w:numId w:val="27"/>
        </w:numPr>
        <w:ind w:left="340" w:firstLine="0"/>
        <w:rPr>
          <w:color w:val="000000" w:themeColor="text1"/>
          <w:szCs w:val="22"/>
        </w:rPr>
      </w:pPr>
      <w:r>
        <w:rPr>
          <w:color w:val="000000" w:themeColor="text1"/>
          <w:szCs w:val="22"/>
        </w:rPr>
        <w:t>de technische uitwerking van een tweede meer uitgebreide versie van de Kinderopvangzoeker;</w:t>
      </w:r>
    </w:p>
    <w:p w:rsidR="003A51CC" w:rsidRDefault="003A51CC" w:rsidP="005441EA">
      <w:pPr>
        <w:pStyle w:val="StandaardSV"/>
        <w:numPr>
          <w:ilvl w:val="0"/>
          <w:numId w:val="27"/>
        </w:numPr>
        <w:ind w:left="340" w:firstLine="0"/>
        <w:rPr>
          <w:color w:val="000000" w:themeColor="text1"/>
          <w:szCs w:val="22"/>
        </w:rPr>
      </w:pPr>
      <w:r>
        <w:rPr>
          <w:color w:val="000000" w:themeColor="text1"/>
          <w:szCs w:val="22"/>
        </w:rPr>
        <w:t>de materiële ondersteuning van de actoren in de proeftuin;</w:t>
      </w:r>
    </w:p>
    <w:p w:rsidR="003A51CC" w:rsidRDefault="003A51CC" w:rsidP="005441EA">
      <w:pPr>
        <w:pStyle w:val="StandaardSV"/>
        <w:numPr>
          <w:ilvl w:val="0"/>
          <w:numId w:val="27"/>
        </w:numPr>
        <w:tabs>
          <w:tab w:val="left" w:pos="709"/>
        </w:tabs>
        <w:ind w:left="709" w:hanging="369"/>
        <w:rPr>
          <w:color w:val="000000" w:themeColor="text1"/>
          <w:szCs w:val="22"/>
        </w:rPr>
      </w:pPr>
      <w:r>
        <w:rPr>
          <w:color w:val="000000" w:themeColor="text1"/>
          <w:szCs w:val="22"/>
        </w:rPr>
        <w:t>de organisatie van informatiemomenten voor de lokale besturen en de opvangvoorzieningen in de zorgregio;</w:t>
      </w:r>
    </w:p>
    <w:p w:rsidR="003A51CC" w:rsidRDefault="003A51CC" w:rsidP="005441EA">
      <w:pPr>
        <w:pStyle w:val="StandaardSV"/>
        <w:numPr>
          <w:ilvl w:val="0"/>
          <w:numId w:val="27"/>
        </w:numPr>
        <w:tabs>
          <w:tab w:val="left" w:pos="709"/>
        </w:tabs>
        <w:ind w:left="709" w:hanging="369"/>
        <w:rPr>
          <w:color w:val="000000" w:themeColor="text1"/>
          <w:szCs w:val="22"/>
        </w:rPr>
      </w:pPr>
      <w:r>
        <w:rPr>
          <w:color w:val="000000" w:themeColor="text1"/>
          <w:szCs w:val="22"/>
        </w:rPr>
        <w:t>de technische bijsturingen van de Kinderopvangzoeker op basis van de eerste ervaringen in de proeftuin.</w:t>
      </w:r>
    </w:p>
    <w:p w:rsidR="003A51CC" w:rsidRDefault="003A51CC" w:rsidP="005441EA">
      <w:pPr>
        <w:pStyle w:val="StandaardSV"/>
        <w:rPr>
          <w:color w:val="000000" w:themeColor="text1"/>
          <w:szCs w:val="22"/>
        </w:rPr>
      </w:pPr>
    </w:p>
    <w:p w:rsidR="003A51CC" w:rsidRDefault="003A51CC" w:rsidP="005441EA">
      <w:pPr>
        <w:pStyle w:val="Voetnoottekst"/>
        <w:numPr>
          <w:ilvl w:val="0"/>
          <w:numId w:val="26"/>
        </w:numPr>
        <w:tabs>
          <w:tab w:val="left" w:pos="284"/>
        </w:tabs>
        <w:ind w:left="284" w:hanging="284"/>
        <w:jc w:val="both"/>
        <w:rPr>
          <w:rFonts w:ascii="Times New Roman" w:hAnsi="Times New Roman"/>
          <w:color w:val="000000" w:themeColor="text1"/>
          <w:sz w:val="22"/>
          <w:szCs w:val="22"/>
        </w:rPr>
      </w:pPr>
      <w:r>
        <w:rPr>
          <w:rFonts w:ascii="Times New Roman" w:hAnsi="Times New Roman"/>
          <w:color w:val="000000" w:themeColor="text1"/>
          <w:sz w:val="22"/>
          <w:szCs w:val="22"/>
        </w:rPr>
        <w:t>Om de proeftuin zinvol te laten verlopen, was een realistische context van zoekgedrag van ouders naar kinderopvang vereist. Dit betekende dat meerdere gemeenten betrokken moesten worden, zodat de interactie tussen de verschillende gemeenten in het behandelen van aanvragen ook bekeken kon worden. Daarom werd voor de proeftuin gezocht naar een zorgregio niveau kleine stad en niet naar één stad of gemeente. Omdat de tijd waarbinnen de proeftuin van start moest kunnen gaan beperkt was, werd geopteerd om niet met een oproep te werken. De weinig beschikbare tijd liet een gezamenlijke kandidaatstelling door verschillende gemeenten niet toe. Daarom werd geopteerd voor een gesloten en interne selectie van een proeftuinregio op basis van objectieve elementen: o.a. voldoende grote zorgregio (aan de hand van het aantal geboorten per jaar), beheersbaarheid, voldoende diversiteit aan gemeenten, geen grensregio, aantal en diversiteit in aanwezige voorzieningentypes, voldoende evenwicht tussen vraag en aanbod (verhouding capaciteit - geboorten) en het aantal kinderen dat uit andere zorgregio’s wordt opgevangen.</w:t>
      </w:r>
    </w:p>
    <w:p w:rsidR="003A51CC" w:rsidRDefault="003A51CC" w:rsidP="005441EA">
      <w:pPr>
        <w:pStyle w:val="Default"/>
        <w:ind w:left="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Alle zorgregio’s werden op deze criteria gescreend. Op basis van deze geobjectiveerde vergelijking bleek zorgregio Hasselt over de beste troefkaarten te beschikken:</w:t>
      </w:r>
    </w:p>
    <w:p w:rsidR="003A51CC" w:rsidRDefault="003A51CC" w:rsidP="005441EA">
      <w:pPr>
        <w:pStyle w:val="Default"/>
        <w:numPr>
          <w:ilvl w:val="0"/>
          <w:numId w:val="28"/>
        </w:num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het aantal geboortes en dus mogelijke kinderopvangvragen is er voldoende groot, maar niet te groot zodat bijsturingen haalbaar zijn;</w:t>
      </w:r>
    </w:p>
    <w:p w:rsidR="003A51CC" w:rsidRDefault="003A51CC" w:rsidP="005441EA">
      <w:pPr>
        <w:pStyle w:val="Default"/>
        <w:numPr>
          <w:ilvl w:val="0"/>
          <w:numId w:val="28"/>
        </w:num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 zorgregio bevat zowel kleine, middelgrote als grote gemeenten maar toch heeft de zorg-regio een beheersbaar aantal gemeenten;</w:t>
      </w:r>
    </w:p>
    <w:p w:rsidR="003A51CC" w:rsidRDefault="003A51CC" w:rsidP="005441EA">
      <w:pPr>
        <w:pStyle w:val="Default"/>
        <w:numPr>
          <w:ilvl w:val="0"/>
          <w:numId w:val="28"/>
        </w:num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 de zorgregio zijn er geen grensgemeenten. Buitenlandse aanvragen zouden immers in deze fase de complexiteit onnodig verhogen. </w:t>
      </w:r>
    </w:p>
    <w:p w:rsidR="003A51CC" w:rsidRDefault="003A51CC" w:rsidP="005441EA">
      <w:pPr>
        <w:ind w:left="360"/>
        <w:jc w:val="both"/>
        <w:rPr>
          <w:color w:val="000000" w:themeColor="text1"/>
          <w:szCs w:val="22"/>
        </w:rPr>
      </w:pPr>
      <w:r>
        <w:rPr>
          <w:color w:val="000000" w:themeColor="text1"/>
          <w:szCs w:val="22"/>
        </w:rPr>
        <w:t xml:space="preserve">Parallel scoorde de zorgregio Hasselt goed op het vlak van diversiteit en het aantal kinderopvang-voorzieningen, het aantal opgevangen kinderen uit andere regio’s en het evenwicht tussen vraag en aanbod. Tot slot is er bijkomend nog de aanwezigheid van het Centrum voor kinderopvang in Ham. Deze bestaande samenwerking zou voor een positieve dynamiek rond de behandeling van aanvragen en het toegankelijk maken van de kinderopvang zorgen. Dit brengt met zich mee dat afspraken in het gebruik sneller zullen worden gevonden en bijsturingen sneller worden </w:t>
      </w:r>
      <w:proofErr w:type="spellStart"/>
      <w:r>
        <w:rPr>
          <w:color w:val="000000" w:themeColor="text1"/>
          <w:szCs w:val="22"/>
        </w:rPr>
        <w:t>gedetec-teerd</w:t>
      </w:r>
      <w:proofErr w:type="spellEnd"/>
      <w:r>
        <w:rPr>
          <w:color w:val="000000" w:themeColor="text1"/>
          <w:szCs w:val="22"/>
        </w:rPr>
        <w:t xml:space="preserve">. </w:t>
      </w:r>
    </w:p>
    <w:p w:rsidR="003A51CC" w:rsidRDefault="003A51CC" w:rsidP="003A51CC">
      <w:pPr>
        <w:ind w:left="360"/>
        <w:rPr>
          <w:rFonts w:eastAsiaTheme="minorHAnsi"/>
          <w:color w:val="000000" w:themeColor="text1"/>
          <w:szCs w:val="22"/>
          <w:lang w:val="nl-BE" w:eastAsia="en-US"/>
        </w:rPr>
      </w:pPr>
      <w:r>
        <w:rPr>
          <w:color w:val="000000" w:themeColor="text1"/>
          <w:szCs w:val="22"/>
        </w:rPr>
        <w:br w:type="page"/>
      </w:r>
    </w:p>
    <w:p w:rsidR="003A51CC" w:rsidRDefault="003A51CC" w:rsidP="003A51CC">
      <w:pPr>
        <w:pStyle w:val="Lijstalinea"/>
        <w:numPr>
          <w:ilvl w:val="0"/>
          <w:numId w:val="26"/>
        </w:numPr>
        <w:ind w:left="0" w:firstLine="0"/>
        <w:rPr>
          <w:szCs w:val="22"/>
        </w:rPr>
      </w:pPr>
    </w:p>
    <w:tbl>
      <w:tblPr>
        <w:tblW w:w="7660" w:type="dxa"/>
        <w:tblInd w:w="441" w:type="dxa"/>
        <w:tblCellMar>
          <w:left w:w="70" w:type="dxa"/>
          <w:right w:w="70" w:type="dxa"/>
        </w:tblCellMar>
        <w:tblLook w:val="04A0" w:firstRow="1" w:lastRow="0" w:firstColumn="1" w:lastColumn="0" w:noHBand="0" w:noVBand="1"/>
      </w:tblPr>
      <w:tblGrid>
        <w:gridCol w:w="2464"/>
        <w:gridCol w:w="891"/>
        <w:gridCol w:w="1519"/>
        <w:gridCol w:w="1680"/>
        <w:gridCol w:w="1106"/>
      </w:tblGrid>
      <w:tr w:rsidR="003A51CC" w:rsidTr="003A51CC">
        <w:trPr>
          <w:trHeight w:val="255"/>
        </w:trPr>
        <w:tc>
          <w:tcPr>
            <w:tcW w:w="2464" w:type="dxa"/>
            <w:tcBorders>
              <w:top w:val="nil"/>
              <w:left w:val="nil"/>
              <w:bottom w:val="single" w:sz="4" w:space="0" w:color="2F75B5"/>
              <w:right w:val="nil"/>
            </w:tcBorders>
            <w:shd w:val="clear" w:color="auto" w:fill="2F75B5"/>
            <w:noWrap/>
            <w:vAlign w:val="bottom"/>
            <w:hideMark/>
          </w:tcPr>
          <w:p w:rsidR="003A51CC" w:rsidRDefault="003A51CC">
            <w:pPr>
              <w:rPr>
                <w:b/>
                <w:bCs/>
                <w:color w:val="FFFFFF"/>
                <w:szCs w:val="22"/>
              </w:rPr>
            </w:pPr>
            <w:r>
              <w:rPr>
                <w:b/>
                <w:bCs/>
                <w:color w:val="FFFFFF"/>
                <w:szCs w:val="22"/>
              </w:rPr>
              <w:t>Som van AANTAL OPVANGVRAGEN</w:t>
            </w:r>
          </w:p>
        </w:tc>
        <w:tc>
          <w:tcPr>
            <w:tcW w:w="891" w:type="dxa"/>
            <w:tcBorders>
              <w:top w:val="nil"/>
              <w:left w:val="nil"/>
              <w:bottom w:val="single" w:sz="4" w:space="0" w:color="2F75B5"/>
              <w:right w:val="nil"/>
            </w:tcBorders>
            <w:shd w:val="clear" w:color="auto" w:fill="2F75B5"/>
            <w:noWrap/>
            <w:vAlign w:val="bottom"/>
            <w:hideMark/>
          </w:tcPr>
          <w:p w:rsidR="003A51CC" w:rsidRDefault="003A51CC">
            <w:pPr>
              <w:rPr>
                <w:sz w:val="20"/>
                <w:szCs w:val="20"/>
                <w:lang w:val="nl-BE" w:eastAsia="nl-BE"/>
              </w:rPr>
            </w:pPr>
          </w:p>
        </w:tc>
        <w:tc>
          <w:tcPr>
            <w:tcW w:w="1519" w:type="dxa"/>
            <w:tcBorders>
              <w:top w:val="nil"/>
              <w:left w:val="nil"/>
              <w:bottom w:val="single" w:sz="4" w:space="0" w:color="2F75B5"/>
              <w:right w:val="nil"/>
            </w:tcBorders>
            <w:shd w:val="clear" w:color="auto" w:fill="2F75B5"/>
            <w:noWrap/>
            <w:vAlign w:val="bottom"/>
            <w:hideMark/>
          </w:tcPr>
          <w:p w:rsidR="003A51CC" w:rsidRDefault="003A51CC">
            <w:pPr>
              <w:rPr>
                <w:sz w:val="20"/>
                <w:szCs w:val="20"/>
                <w:lang w:val="nl-BE" w:eastAsia="nl-BE"/>
              </w:rPr>
            </w:pPr>
          </w:p>
        </w:tc>
        <w:tc>
          <w:tcPr>
            <w:tcW w:w="1680" w:type="dxa"/>
            <w:tcBorders>
              <w:top w:val="nil"/>
              <w:left w:val="nil"/>
              <w:bottom w:val="single" w:sz="4" w:space="0" w:color="2F75B5"/>
              <w:right w:val="nil"/>
            </w:tcBorders>
            <w:shd w:val="clear" w:color="auto" w:fill="2F75B5"/>
            <w:noWrap/>
            <w:vAlign w:val="bottom"/>
            <w:hideMark/>
          </w:tcPr>
          <w:p w:rsidR="003A51CC" w:rsidRDefault="003A51CC">
            <w:pPr>
              <w:rPr>
                <w:sz w:val="20"/>
                <w:szCs w:val="20"/>
                <w:lang w:val="nl-BE" w:eastAsia="nl-BE"/>
              </w:rPr>
            </w:pPr>
          </w:p>
        </w:tc>
        <w:tc>
          <w:tcPr>
            <w:tcW w:w="1106" w:type="dxa"/>
            <w:tcBorders>
              <w:top w:val="nil"/>
              <w:left w:val="nil"/>
              <w:bottom w:val="single" w:sz="4" w:space="0" w:color="2F75B5"/>
              <w:right w:val="nil"/>
            </w:tcBorders>
            <w:shd w:val="clear" w:color="auto" w:fill="2F75B5"/>
            <w:noWrap/>
            <w:vAlign w:val="bottom"/>
            <w:hideMark/>
          </w:tcPr>
          <w:p w:rsidR="003A51CC" w:rsidRDefault="003A51CC">
            <w:pPr>
              <w:rPr>
                <w:sz w:val="20"/>
                <w:szCs w:val="20"/>
                <w:lang w:val="nl-BE" w:eastAsia="nl-BE"/>
              </w:rPr>
            </w:pPr>
          </w:p>
        </w:tc>
      </w:tr>
      <w:tr w:rsidR="003A51CC" w:rsidTr="003A51CC">
        <w:trPr>
          <w:trHeight w:val="255"/>
        </w:trPr>
        <w:tc>
          <w:tcPr>
            <w:tcW w:w="2464" w:type="dxa"/>
            <w:tcBorders>
              <w:top w:val="single" w:sz="4" w:space="0" w:color="2F75B5"/>
              <w:left w:val="nil"/>
              <w:bottom w:val="single" w:sz="4" w:space="0" w:color="DDEBF7"/>
              <w:right w:val="nil"/>
            </w:tcBorders>
            <w:shd w:val="clear" w:color="auto" w:fill="2F75B5"/>
            <w:noWrap/>
            <w:vAlign w:val="bottom"/>
            <w:hideMark/>
          </w:tcPr>
          <w:p w:rsidR="003A51CC" w:rsidRDefault="003A51CC">
            <w:pPr>
              <w:rPr>
                <w:color w:val="FFFFFF"/>
                <w:szCs w:val="22"/>
              </w:rPr>
            </w:pPr>
            <w:r>
              <w:rPr>
                <w:color w:val="FFFFFF"/>
                <w:szCs w:val="22"/>
              </w:rPr>
              <w:t>MAAND</w:t>
            </w:r>
          </w:p>
        </w:tc>
        <w:tc>
          <w:tcPr>
            <w:tcW w:w="891" w:type="dxa"/>
            <w:tcBorders>
              <w:top w:val="single" w:sz="4" w:space="0" w:color="2F75B5"/>
              <w:left w:val="nil"/>
              <w:bottom w:val="single" w:sz="4" w:space="0" w:color="BDD7EE"/>
              <w:right w:val="nil"/>
            </w:tcBorders>
            <w:shd w:val="clear" w:color="auto" w:fill="2F75B5"/>
            <w:noWrap/>
            <w:vAlign w:val="bottom"/>
            <w:hideMark/>
          </w:tcPr>
          <w:p w:rsidR="003A51CC" w:rsidRDefault="003A51CC">
            <w:pPr>
              <w:rPr>
                <w:color w:val="FFFFFF"/>
                <w:szCs w:val="22"/>
              </w:rPr>
            </w:pPr>
            <w:r>
              <w:rPr>
                <w:color w:val="FFFFFF"/>
                <w:szCs w:val="22"/>
              </w:rPr>
              <w:t>HAM</w:t>
            </w:r>
          </w:p>
        </w:tc>
        <w:tc>
          <w:tcPr>
            <w:tcW w:w="1519" w:type="dxa"/>
            <w:tcBorders>
              <w:top w:val="single" w:sz="4" w:space="0" w:color="2F75B5"/>
              <w:left w:val="nil"/>
              <w:bottom w:val="single" w:sz="4" w:space="0" w:color="BDD7EE"/>
              <w:right w:val="nil"/>
            </w:tcBorders>
            <w:shd w:val="clear" w:color="auto" w:fill="2F75B5"/>
            <w:noWrap/>
            <w:vAlign w:val="bottom"/>
            <w:hideMark/>
          </w:tcPr>
          <w:p w:rsidR="003A51CC" w:rsidRDefault="003A51CC">
            <w:pPr>
              <w:rPr>
                <w:color w:val="FFFFFF"/>
                <w:szCs w:val="22"/>
              </w:rPr>
            </w:pPr>
            <w:r>
              <w:rPr>
                <w:color w:val="FFFFFF"/>
                <w:szCs w:val="22"/>
              </w:rPr>
              <w:t>HEUSDEN-ZOLDER</w:t>
            </w:r>
          </w:p>
        </w:tc>
        <w:tc>
          <w:tcPr>
            <w:tcW w:w="1680" w:type="dxa"/>
            <w:tcBorders>
              <w:top w:val="single" w:sz="4" w:space="0" w:color="2F75B5"/>
              <w:left w:val="nil"/>
              <w:bottom w:val="single" w:sz="4" w:space="0" w:color="BDD7EE"/>
              <w:right w:val="nil"/>
            </w:tcBorders>
            <w:shd w:val="clear" w:color="auto" w:fill="2F75B5"/>
            <w:noWrap/>
            <w:vAlign w:val="bottom"/>
            <w:hideMark/>
          </w:tcPr>
          <w:p w:rsidR="003A51CC" w:rsidRDefault="003A51CC">
            <w:pPr>
              <w:rPr>
                <w:color w:val="FFFFFF"/>
                <w:szCs w:val="22"/>
              </w:rPr>
            </w:pPr>
            <w:r>
              <w:rPr>
                <w:color w:val="FFFFFF"/>
                <w:szCs w:val="22"/>
              </w:rPr>
              <w:t>TESSENDERLO</w:t>
            </w:r>
          </w:p>
        </w:tc>
        <w:tc>
          <w:tcPr>
            <w:tcW w:w="1106" w:type="dxa"/>
            <w:tcBorders>
              <w:top w:val="single" w:sz="4" w:space="0" w:color="2F75B5"/>
              <w:left w:val="nil"/>
              <w:bottom w:val="single" w:sz="4" w:space="0" w:color="DDEBF7"/>
              <w:right w:val="nil"/>
            </w:tcBorders>
            <w:shd w:val="clear" w:color="auto" w:fill="2F75B5"/>
            <w:noWrap/>
            <w:vAlign w:val="bottom"/>
            <w:hideMark/>
          </w:tcPr>
          <w:p w:rsidR="003A51CC" w:rsidRDefault="003A51CC">
            <w:pPr>
              <w:rPr>
                <w:color w:val="FFFFFF"/>
                <w:szCs w:val="22"/>
              </w:rPr>
            </w:pPr>
            <w:r>
              <w:rPr>
                <w:color w:val="FFFFFF"/>
                <w:szCs w:val="22"/>
              </w:rPr>
              <w:t>Eindtotaal</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2013-02</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1</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1</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2013-03</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52</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52</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2013-04</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32</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32</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2013-05</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31</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31</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2013-06</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34</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34</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2013-07</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28</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28</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2013-08</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28</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28</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2013-09</w:t>
            </w:r>
          </w:p>
        </w:tc>
        <w:tc>
          <w:tcPr>
            <w:tcW w:w="891"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28</w:t>
            </w:r>
          </w:p>
        </w:tc>
        <w:tc>
          <w:tcPr>
            <w:tcW w:w="1680" w:type="dxa"/>
            <w:tcBorders>
              <w:top w:val="single" w:sz="4" w:space="0" w:color="DDEBF7"/>
              <w:left w:val="nil"/>
              <w:bottom w:val="single" w:sz="4" w:space="0" w:color="DDEBF7"/>
              <w:right w:val="nil"/>
            </w:tcBorders>
            <w:noWrap/>
            <w:vAlign w:val="bottom"/>
            <w:hideMark/>
          </w:tcPr>
          <w:p w:rsidR="003A51CC" w:rsidRDefault="003A51CC">
            <w:pPr>
              <w:rPr>
                <w:sz w:val="20"/>
                <w:szCs w:val="20"/>
                <w:lang w:val="nl-BE" w:eastAsia="nl-BE"/>
              </w:rPr>
            </w:pP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28</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2013-10</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29</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37</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37</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103</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2013-11</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27</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54</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31</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112</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2013-12</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24</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33</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21</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78</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2014-01</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25</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44</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43</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112</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2014-02</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18</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26</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18</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62</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2014-03</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4</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28</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11</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43</w:t>
            </w:r>
          </w:p>
        </w:tc>
      </w:tr>
      <w:tr w:rsidR="003A51CC" w:rsidTr="003A51CC">
        <w:trPr>
          <w:trHeight w:val="255"/>
        </w:trPr>
        <w:tc>
          <w:tcPr>
            <w:tcW w:w="2464" w:type="dxa"/>
            <w:tcBorders>
              <w:top w:val="single" w:sz="4" w:space="0" w:color="DDEBF7"/>
              <w:left w:val="nil"/>
              <w:bottom w:val="single" w:sz="4" w:space="0" w:color="DDEBF7"/>
              <w:right w:val="nil"/>
            </w:tcBorders>
            <w:noWrap/>
            <w:vAlign w:val="bottom"/>
            <w:hideMark/>
          </w:tcPr>
          <w:p w:rsidR="003A51CC" w:rsidRDefault="003A51CC">
            <w:pPr>
              <w:rPr>
                <w:color w:val="000000"/>
                <w:szCs w:val="22"/>
              </w:rPr>
            </w:pPr>
            <w:r>
              <w:rPr>
                <w:color w:val="000000"/>
                <w:szCs w:val="22"/>
              </w:rPr>
              <w:t>2014-04</w:t>
            </w:r>
          </w:p>
        </w:tc>
        <w:tc>
          <w:tcPr>
            <w:tcW w:w="891"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7</w:t>
            </w:r>
          </w:p>
        </w:tc>
        <w:tc>
          <w:tcPr>
            <w:tcW w:w="1519"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15</w:t>
            </w:r>
          </w:p>
        </w:tc>
        <w:tc>
          <w:tcPr>
            <w:tcW w:w="1680" w:type="dxa"/>
            <w:tcBorders>
              <w:top w:val="single" w:sz="4" w:space="0" w:color="DDEBF7"/>
              <w:left w:val="nil"/>
              <w:bottom w:val="single" w:sz="4" w:space="0" w:color="DDEBF7"/>
              <w:right w:val="nil"/>
            </w:tcBorders>
            <w:noWrap/>
            <w:vAlign w:val="bottom"/>
            <w:hideMark/>
          </w:tcPr>
          <w:p w:rsidR="003A51CC" w:rsidRDefault="003A51CC">
            <w:pPr>
              <w:jc w:val="center"/>
              <w:rPr>
                <w:color w:val="000000"/>
                <w:szCs w:val="22"/>
              </w:rPr>
            </w:pPr>
            <w:r>
              <w:rPr>
                <w:color w:val="000000"/>
                <w:szCs w:val="22"/>
              </w:rPr>
              <w:t>8</w:t>
            </w:r>
          </w:p>
        </w:tc>
        <w:tc>
          <w:tcPr>
            <w:tcW w:w="1106" w:type="dxa"/>
            <w:tcBorders>
              <w:top w:val="single" w:sz="4" w:space="0" w:color="DDEBF7"/>
              <w:left w:val="nil"/>
              <w:bottom w:val="single" w:sz="4" w:space="0" w:color="DDEBF7"/>
              <w:right w:val="nil"/>
            </w:tcBorders>
            <w:noWrap/>
            <w:vAlign w:val="bottom"/>
            <w:hideMark/>
          </w:tcPr>
          <w:p w:rsidR="003A51CC" w:rsidRDefault="003A51CC">
            <w:pPr>
              <w:jc w:val="right"/>
              <w:rPr>
                <w:color w:val="000000"/>
                <w:szCs w:val="22"/>
              </w:rPr>
            </w:pPr>
            <w:r>
              <w:rPr>
                <w:color w:val="000000"/>
                <w:szCs w:val="22"/>
              </w:rPr>
              <w:t>30</w:t>
            </w:r>
          </w:p>
        </w:tc>
      </w:tr>
      <w:tr w:rsidR="003A51CC" w:rsidTr="003A51CC">
        <w:trPr>
          <w:trHeight w:val="255"/>
        </w:trPr>
        <w:tc>
          <w:tcPr>
            <w:tcW w:w="2464" w:type="dxa"/>
            <w:tcBorders>
              <w:top w:val="double" w:sz="6" w:space="0" w:color="2F75B5"/>
              <w:left w:val="nil"/>
              <w:bottom w:val="nil"/>
              <w:right w:val="nil"/>
            </w:tcBorders>
            <w:noWrap/>
            <w:vAlign w:val="bottom"/>
            <w:hideMark/>
          </w:tcPr>
          <w:p w:rsidR="003A51CC" w:rsidRDefault="003A51CC">
            <w:pPr>
              <w:rPr>
                <w:b/>
                <w:bCs/>
                <w:color w:val="000000"/>
                <w:szCs w:val="22"/>
              </w:rPr>
            </w:pPr>
            <w:r>
              <w:rPr>
                <w:b/>
                <w:bCs/>
                <w:color w:val="000000"/>
                <w:szCs w:val="22"/>
              </w:rPr>
              <w:t>Eindtotaal</w:t>
            </w:r>
          </w:p>
        </w:tc>
        <w:tc>
          <w:tcPr>
            <w:tcW w:w="891" w:type="dxa"/>
            <w:tcBorders>
              <w:top w:val="double" w:sz="6" w:space="0" w:color="2F75B5"/>
              <w:left w:val="nil"/>
              <w:bottom w:val="nil"/>
              <w:right w:val="nil"/>
            </w:tcBorders>
            <w:noWrap/>
            <w:vAlign w:val="bottom"/>
            <w:hideMark/>
          </w:tcPr>
          <w:p w:rsidR="003A51CC" w:rsidRDefault="003A51CC">
            <w:pPr>
              <w:jc w:val="center"/>
              <w:rPr>
                <w:b/>
                <w:bCs/>
                <w:color w:val="000000"/>
                <w:szCs w:val="22"/>
              </w:rPr>
            </w:pPr>
            <w:r>
              <w:rPr>
                <w:b/>
                <w:bCs/>
                <w:color w:val="000000"/>
                <w:szCs w:val="22"/>
              </w:rPr>
              <w:t>134</w:t>
            </w:r>
          </w:p>
        </w:tc>
        <w:tc>
          <w:tcPr>
            <w:tcW w:w="1519" w:type="dxa"/>
            <w:tcBorders>
              <w:top w:val="double" w:sz="6" w:space="0" w:color="2F75B5"/>
              <w:left w:val="nil"/>
              <w:bottom w:val="nil"/>
              <w:right w:val="nil"/>
            </w:tcBorders>
            <w:noWrap/>
            <w:vAlign w:val="bottom"/>
            <w:hideMark/>
          </w:tcPr>
          <w:p w:rsidR="003A51CC" w:rsidRDefault="003A51CC">
            <w:pPr>
              <w:jc w:val="center"/>
              <w:rPr>
                <w:b/>
                <w:bCs/>
                <w:color w:val="000000"/>
                <w:szCs w:val="22"/>
              </w:rPr>
            </w:pPr>
            <w:r>
              <w:rPr>
                <w:b/>
                <w:bCs/>
                <w:color w:val="000000"/>
                <w:szCs w:val="22"/>
              </w:rPr>
              <w:t>471</w:t>
            </w:r>
          </w:p>
        </w:tc>
        <w:tc>
          <w:tcPr>
            <w:tcW w:w="1680" w:type="dxa"/>
            <w:tcBorders>
              <w:top w:val="double" w:sz="6" w:space="0" w:color="2F75B5"/>
              <w:left w:val="nil"/>
              <w:bottom w:val="nil"/>
              <w:right w:val="nil"/>
            </w:tcBorders>
            <w:noWrap/>
            <w:vAlign w:val="bottom"/>
            <w:hideMark/>
          </w:tcPr>
          <w:p w:rsidR="003A51CC" w:rsidRDefault="003A51CC">
            <w:pPr>
              <w:jc w:val="center"/>
              <w:rPr>
                <w:b/>
                <w:bCs/>
                <w:color w:val="000000"/>
                <w:szCs w:val="22"/>
              </w:rPr>
            </w:pPr>
            <w:r>
              <w:rPr>
                <w:b/>
                <w:bCs/>
                <w:color w:val="000000"/>
                <w:szCs w:val="22"/>
              </w:rPr>
              <w:t>169</w:t>
            </w:r>
          </w:p>
        </w:tc>
        <w:tc>
          <w:tcPr>
            <w:tcW w:w="1106" w:type="dxa"/>
            <w:tcBorders>
              <w:top w:val="double" w:sz="6" w:space="0" w:color="2F75B5"/>
              <w:left w:val="nil"/>
              <w:bottom w:val="nil"/>
              <w:right w:val="nil"/>
            </w:tcBorders>
            <w:noWrap/>
            <w:vAlign w:val="bottom"/>
            <w:hideMark/>
          </w:tcPr>
          <w:p w:rsidR="003A51CC" w:rsidRDefault="003A51CC">
            <w:pPr>
              <w:jc w:val="right"/>
              <w:rPr>
                <w:b/>
                <w:bCs/>
                <w:color w:val="000000"/>
                <w:szCs w:val="22"/>
              </w:rPr>
            </w:pPr>
            <w:r>
              <w:rPr>
                <w:b/>
                <w:bCs/>
                <w:color w:val="000000"/>
                <w:szCs w:val="22"/>
              </w:rPr>
              <w:t>774</w:t>
            </w:r>
          </w:p>
        </w:tc>
      </w:tr>
    </w:tbl>
    <w:p w:rsidR="003A51CC" w:rsidRDefault="003A51CC" w:rsidP="003A51CC">
      <w:pPr>
        <w:pStyle w:val="Lijstalinea"/>
        <w:ind w:left="0"/>
        <w:rPr>
          <w:szCs w:val="22"/>
        </w:rPr>
      </w:pPr>
    </w:p>
    <w:p w:rsidR="003A51CC" w:rsidRDefault="003A51CC" w:rsidP="003A51CC">
      <w:pPr>
        <w:pStyle w:val="Lijstalinea"/>
        <w:tabs>
          <w:tab w:val="left" w:pos="284"/>
        </w:tabs>
        <w:ind w:left="284"/>
        <w:rPr>
          <w:szCs w:val="22"/>
        </w:rPr>
      </w:pPr>
      <w:r>
        <w:rPr>
          <w:szCs w:val="22"/>
        </w:rPr>
        <w:t xml:space="preserve">Merk op dat er vragen voor meerdere gemeentes tegelijk gesteld kunnen worden, waardoor de som dus kleiner is dan de optelling van het aantal vragen per gemeente. </w:t>
      </w:r>
    </w:p>
    <w:p w:rsidR="003A51CC" w:rsidRDefault="003A51CC" w:rsidP="003A51CC">
      <w:pPr>
        <w:pStyle w:val="StandaardSV"/>
        <w:rPr>
          <w:color w:val="000000" w:themeColor="text1"/>
          <w:szCs w:val="22"/>
        </w:rPr>
      </w:pPr>
    </w:p>
    <w:p w:rsidR="003A51CC" w:rsidRDefault="003A51CC" w:rsidP="003A51CC">
      <w:pPr>
        <w:pStyle w:val="Lijstalinea"/>
        <w:numPr>
          <w:ilvl w:val="0"/>
          <w:numId w:val="26"/>
        </w:numPr>
        <w:tabs>
          <w:tab w:val="left" w:pos="284"/>
        </w:tabs>
        <w:ind w:left="284" w:hanging="284"/>
        <w:jc w:val="both"/>
        <w:rPr>
          <w:szCs w:val="22"/>
        </w:rPr>
      </w:pPr>
      <w:r>
        <w:rPr>
          <w:color w:val="000000" w:themeColor="text1"/>
          <w:szCs w:val="22"/>
        </w:rPr>
        <w:t>Alle vragen werden volgens afspraak behandeld, maar</w:t>
      </w:r>
      <w:r>
        <w:rPr>
          <w:szCs w:val="22"/>
        </w:rPr>
        <w:t xml:space="preserve"> niet alle vragen zijn geresulteerd in een </w:t>
      </w:r>
      <w:proofErr w:type="spellStart"/>
      <w:r>
        <w:rPr>
          <w:szCs w:val="22"/>
        </w:rPr>
        <w:t>on-dertekende</w:t>
      </w:r>
      <w:proofErr w:type="spellEnd"/>
      <w:r>
        <w:rPr>
          <w:szCs w:val="22"/>
        </w:rPr>
        <w:t xml:space="preserve"> overeenkomst. Van de 709 gestelde vragen zijn er 260 waarvoor reeds een ondertekende overeenkomst aangegeven werd (37%). De andere vragen werden geannuleerd, zijn vervallen of staan nog open. Voor 161 vragen werd niet tijdig opvang gevonden (23%).</w:t>
      </w:r>
    </w:p>
    <w:p w:rsidR="003A51CC" w:rsidRDefault="003A51CC" w:rsidP="003A51CC">
      <w:pPr>
        <w:jc w:val="both"/>
        <w:rPr>
          <w:szCs w:val="22"/>
        </w:rPr>
      </w:pPr>
    </w:p>
    <w:p w:rsidR="003A51CC" w:rsidRDefault="003A51CC" w:rsidP="003A51CC">
      <w:pPr>
        <w:rPr>
          <w:szCs w:val="22"/>
        </w:rPr>
      </w:pPr>
      <w:r>
        <w:rPr>
          <w:szCs w:val="22"/>
        </w:rPr>
        <w:t>5.</w:t>
      </w:r>
    </w:p>
    <w:tbl>
      <w:tblPr>
        <w:tblW w:w="7866" w:type="dxa"/>
        <w:tblInd w:w="614" w:type="dxa"/>
        <w:tblCellMar>
          <w:left w:w="70" w:type="dxa"/>
          <w:right w:w="70" w:type="dxa"/>
        </w:tblCellMar>
        <w:tblLook w:val="04A0" w:firstRow="1" w:lastRow="0" w:firstColumn="1" w:lastColumn="0" w:noHBand="0" w:noVBand="1"/>
      </w:tblPr>
      <w:tblGrid>
        <w:gridCol w:w="2005"/>
        <w:gridCol w:w="5861"/>
      </w:tblGrid>
      <w:tr w:rsidR="003A51CC" w:rsidTr="003A51CC">
        <w:trPr>
          <w:trHeight w:val="225"/>
        </w:trPr>
        <w:tc>
          <w:tcPr>
            <w:tcW w:w="2005" w:type="dxa"/>
            <w:tcBorders>
              <w:top w:val="single" w:sz="4" w:space="0" w:color="5B9BD5"/>
              <w:left w:val="single" w:sz="4" w:space="0" w:color="5B9BD5"/>
              <w:bottom w:val="nil"/>
              <w:right w:val="nil"/>
            </w:tcBorders>
            <w:shd w:val="clear" w:color="auto" w:fill="5B9BD5"/>
            <w:noWrap/>
            <w:vAlign w:val="bottom"/>
            <w:hideMark/>
          </w:tcPr>
          <w:p w:rsidR="003A51CC" w:rsidRDefault="003A51CC">
            <w:pPr>
              <w:rPr>
                <w:b/>
                <w:bCs/>
                <w:color w:val="FFFFFF"/>
                <w:szCs w:val="22"/>
              </w:rPr>
            </w:pPr>
            <w:r>
              <w:rPr>
                <w:b/>
                <w:bCs/>
                <w:color w:val="FFFFFF"/>
                <w:szCs w:val="22"/>
              </w:rPr>
              <w:t>Gemeente</w:t>
            </w:r>
          </w:p>
        </w:tc>
        <w:tc>
          <w:tcPr>
            <w:tcW w:w="5861" w:type="dxa"/>
            <w:tcBorders>
              <w:top w:val="single" w:sz="4" w:space="0" w:color="5B9BD5"/>
              <w:left w:val="nil"/>
              <w:bottom w:val="nil"/>
              <w:right w:val="single" w:sz="4" w:space="0" w:color="5B9BD5"/>
            </w:tcBorders>
            <w:shd w:val="clear" w:color="auto" w:fill="5B9BD5"/>
            <w:noWrap/>
            <w:vAlign w:val="bottom"/>
            <w:hideMark/>
          </w:tcPr>
          <w:p w:rsidR="003A51CC" w:rsidRDefault="003A51CC">
            <w:pPr>
              <w:rPr>
                <w:b/>
                <w:bCs/>
                <w:color w:val="FFFFFF"/>
                <w:szCs w:val="22"/>
              </w:rPr>
            </w:pPr>
            <w:r>
              <w:rPr>
                <w:b/>
                <w:bCs/>
                <w:color w:val="FFFFFF"/>
                <w:szCs w:val="22"/>
              </w:rPr>
              <w:t>Aantal dagen gemiddeld tot ondertekende overeenkomst:</w:t>
            </w:r>
          </w:p>
        </w:tc>
      </w:tr>
      <w:tr w:rsidR="003A51CC" w:rsidTr="003A51CC">
        <w:trPr>
          <w:trHeight w:val="225"/>
        </w:trPr>
        <w:tc>
          <w:tcPr>
            <w:tcW w:w="2005" w:type="dxa"/>
            <w:tcBorders>
              <w:top w:val="single" w:sz="4" w:space="0" w:color="5B9BD5"/>
              <w:left w:val="single" w:sz="4" w:space="0" w:color="5B9BD5"/>
              <w:bottom w:val="nil"/>
              <w:right w:val="nil"/>
            </w:tcBorders>
            <w:noWrap/>
            <w:vAlign w:val="bottom"/>
            <w:hideMark/>
          </w:tcPr>
          <w:p w:rsidR="003A51CC" w:rsidRDefault="003A51CC">
            <w:pPr>
              <w:rPr>
                <w:color w:val="000000"/>
                <w:szCs w:val="22"/>
              </w:rPr>
            </w:pPr>
            <w:r>
              <w:rPr>
                <w:color w:val="000000"/>
                <w:szCs w:val="22"/>
              </w:rPr>
              <w:t>Ham</w:t>
            </w:r>
          </w:p>
        </w:tc>
        <w:tc>
          <w:tcPr>
            <w:tcW w:w="5861" w:type="dxa"/>
            <w:tcBorders>
              <w:top w:val="single" w:sz="4" w:space="0" w:color="5B9BD5"/>
              <w:left w:val="nil"/>
              <w:bottom w:val="nil"/>
              <w:right w:val="single" w:sz="4" w:space="0" w:color="5B9BD5"/>
            </w:tcBorders>
            <w:noWrap/>
            <w:vAlign w:val="bottom"/>
            <w:hideMark/>
          </w:tcPr>
          <w:p w:rsidR="003A51CC" w:rsidRDefault="003A51CC">
            <w:pPr>
              <w:jc w:val="right"/>
              <w:rPr>
                <w:color w:val="000000"/>
                <w:szCs w:val="22"/>
              </w:rPr>
            </w:pPr>
            <w:r>
              <w:rPr>
                <w:color w:val="000000"/>
                <w:szCs w:val="22"/>
              </w:rPr>
              <w:t>13</w:t>
            </w:r>
          </w:p>
        </w:tc>
      </w:tr>
      <w:tr w:rsidR="003A51CC" w:rsidTr="003A51CC">
        <w:trPr>
          <w:trHeight w:val="225"/>
        </w:trPr>
        <w:tc>
          <w:tcPr>
            <w:tcW w:w="2005" w:type="dxa"/>
            <w:tcBorders>
              <w:top w:val="single" w:sz="4" w:space="0" w:color="5B9BD5"/>
              <w:left w:val="single" w:sz="4" w:space="0" w:color="5B9BD5"/>
              <w:bottom w:val="nil"/>
              <w:right w:val="nil"/>
            </w:tcBorders>
            <w:noWrap/>
            <w:vAlign w:val="bottom"/>
            <w:hideMark/>
          </w:tcPr>
          <w:p w:rsidR="003A51CC" w:rsidRDefault="003A51CC">
            <w:pPr>
              <w:rPr>
                <w:color w:val="000000"/>
                <w:szCs w:val="22"/>
              </w:rPr>
            </w:pPr>
            <w:r>
              <w:rPr>
                <w:color w:val="000000"/>
                <w:szCs w:val="22"/>
              </w:rPr>
              <w:t>Heusden-Zolder</w:t>
            </w:r>
          </w:p>
        </w:tc>
        <w:tc>
          <w:tcPr>
            <w:tcW w:w="5861" w:type="dxa"/>
            <w:tcBorders>
              <w:top w:val="single" w:sz="4" w:space="0" w:color="5B9BD5"/>
              <w:left w:val="nil"/>
              <w:bottom w:val="nil"/>
              <w:right w:val="single" w:sz="4" w:space="0" w:color="5B9BD5"/>
            </w:tcBorders>
            <w:noWrap/>
            <w:vAlign w:val="bottom"/>
            <w:hideMark/>
          </w:tcPr>
          <w:p w:rsidR="003A51CC" w:rsidRDefault="003A51CC">
            <w:pPr>
              <w:jc w:val="right"/>
              <w:rPr>
                <w:color w:val="000000"/>
                <w:szCs w:val="22"/>
              </w:rPr>
            </w:pPr>
            <w:r>
              <w:rPr>
                <w:color w:val="000000"/>
                <w:szCs w:val="22"/>
              </w:rPr>
              <w:t>20</w:t>
            </w:r>
          </w:p>
        </w:tc>
      </w:tr>
      <w:tr w:rsidR="003A51CC" w:rsidTr="003A51CC">
        <w:trPr>
          <w:trHeight w:val="225"/>
        </w:trPr>
        <w:tc>
          <w:tcPr>
            <w:tcW w:w="2005" w:type="dxa"/>
            <w:tcBorders>
              <w:top w:val="single" w:sz="4" w:space="0" w:color="5B9BD5"/>
              <w:left w:val="single" w:sz="4" w:space="0" w:color="5B9BD5"/>
              <w:bottom w:val="single" w:sz="4" w:space="0" w:color="5B9BD5"/>
              <w:right w:val="nil"/>
            </w:tcBorders>
            <w:noWrap/>
            <w:vAlign w:val="bottom"/>
            <w:hideMark/>
          </w:tcPr>
          <w:p w:rsidR="003A51CC" w:rsidRDefault="003A51CC">
            <w:pPr>
              <w:rPr>
                <w:color w:val="000000"/>
                <w:szCs w:val="22"/>
              </w:rPr>
            </w:pPr>
            <w:proofErr w:type="spellStart"/>
            <w:r>
              <w:rPr>
                <w:color w:val="000000"/>
                <w:szCs w:val="22"/>
              </w:rPr>
              <w:t>Tessenderlo</w:t>
            </w:r>
            <w:proofErr w:type="spellEnd"/>
          </w:p>
        </w:tc>
        <w:tc>
          <w:tcPr>
            <w:tcW w:w="5861" w:type="dxa"/>
            <w:tcBorders>
              <w:top w:val="single" w:sz="4" w:space="0" w:color="5B9BD5"/>
              <w:left w:val="nil"/>
              <w:bottom w:val="single" w:sz="4" w:space="0" w:color="5B9BD5"/>
              <w:right w:val="single" w:sz="4" w:space="0" w:color="5B9BD5"/>
            </w:tcBorders>
            <w:noWrap/>
            <w:vAlign w:val="bottom"/>
            <w:hideMark/>
          </w:tcPr>
          <w:p w:rsidR="003A51CC" w:rsidRDefault="003A51CC">
            <w:pPr>
              <w:jc w:val="right"/>
              <w:rPr>
                <w:color w:val="000000"/>
                <w:szCs w:val="22"/>
              </w:rPr>
            </w:pPr>
            <w:r>
              <w:rPr>
                <w:color w:val="000000"/>
                <w:szCs w:val="22"/>
              </w:rPr>
              <w:t>11</w:t>
            </w:r>
          </w:p>
        </w:tc>
      </w:tr>
    </w:tbl>
    <w:p w:rsidR="003A51CC" w:rsidRDefault="003A51CC" w:rsidP="003A51CC">
      <w:pPr>
        <w:rPr>
          <w:szCs w:val="22"/>
        </w:rPr>
      </w:pPr>
    </w:p>
    <w:p w:rsidR="003A51CC" w:rsidRDefault="003A51CC" w:rsidP="003A51CC">
      <w:pPr>
        <w:pStyle w:val="Jaarverslagbodytekst"/>
        <w:numPr>
          <w:ilvl w:val="0"/>
          <w:numId w:val="29"/>
        </w:numPr>
        <w:tabs>
          <w:tab w:val="left" w:pos="284"/>
        </w:tabs>
        <w:spacing w:line="240" w:lineRule="auto"/>
        <w:ind w:left="284" w:hanging="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Sinds de start wordt de proeftuin systematisch en structureel opgevolgd door een stuurgroep en een werkgroep, zowel binnen Kind en Gezin als in de proeftuin zelf. De proeftuin zal in zijn totaliteit geëvalueerd worden tegen december 2014, dit nadat de proeftuin werd uitgerold in alle gemeenten van de zorgregio Hasselt (voorzien in september 2014). De evaluatie zal worden verrijkt met de resultaten van het tussentijds ad hoc onderzoek. Deze zullen beschikbaar zijn in de zomer van 2014.</w:t>
      </w:r>
    </w:p>
    <w:p w:rsidR="003A51CC" w:rsidRDefault="003A51CC" w:rsidP="003A51CC">
      <w:pPr>
        <w:tabs>
          <w:tab w:val="left" w:pos="284"/>
        </w:tabs>
        <w:ind w:left="284" w:hanging="284"/>
        <w:jc w:val="both"/>
        <w:rPr>
          <w:color w:val="000000" w:themeColor="text1"/>
          <w:szCs w:val="22"/>
        </w:rPr>
      </w:pPr>
    </w:p>
    <w:p w:rsidR="003A51CC" w:rsidRDefault="003A51CC" w:rsidP="003A51CC">
      <w:pPr>
        <w:pStyle w:val="Lijstalinea"/>
        <w:numPr>
          <w:ilvl w:val="0"/>
          <w:numId w:val="29"/>
        </w:numPr>
        <w:tabs>
          <w:tab w:val="left" w:pos="284"/>
        </w:tabs>
        <w:ind w:left="284" w:hanging="284"/>
        <w:jc w:val="both"/>
        <w:rPr>
          <w:color w:val="000000" w:themeColor="text1"/>
          <w:szCs w:val="22"/>
        </w:rPr>
      </w:pPr>
      <w:r>
        <w:rPr>
          <w:color w:val="000000" w:themeColor="text1"/>
          <w:szCs w:val="22"/>
        </w:rPr>
        <w:t xml:space="preserve">Het ad hoc onderzoek dat wordt uitgevoerd door het Onderzoeksinstituut voor Arbeid en Samenleving – KU Leuven (HIVA), in kader van het Steunpunt Welzijn, Volksgezondheid en </w:t>
      </w:r>
      <w:proofErr w:type="spellStart"/>
      <w:r>
        <w:rPr>
          <w:color w:val="000000" w:themeColor="text1"/>
          <w:szCs w:val="22"/>
        </w:rPr>
        <w:t>Ge-zin</w:t>
      </w:r>
      <w:proofErr w:type="spellEnd"/>
      <w:r>
        <w:rPr>
          <w:color w:val="000000" w:themeColor="text1"/>
          <w:szCs w:val="22"/>
        </w:rPr>
        <w:t xml:space="preserve"> en met de medewerking van Kind en Gezin, loopt momenteel nog. </w:t>
      </w:r>
    </w:p>
    <w:p w:rsidR="003A51CC" w:rsidRDefault="003A51CC" w:rsidP="003A51CC">
      <w:pPr>
        <w:tabs>
          <w:tab w:val="left" w:pos="284"/>
        </w:tabs>
        <w:ind w:left="284" w:hanging="284"/>
        <w:jc w:val="both"/>
        <w:rPr>
          <w:b/>
          <w:smallCaps/>
          <w:szCs w:val="22"/>
          <w:u w:val="single"/>
        </w:rPr>
      </w:pPr>
    </w:p>
    <w:p w:rsidR="003A51CC" w:rsidRDefault="003A51CC" w:rsidP="003A51CC">
      <w:pPr>
        <w:pStyle w:val="Lijstalinea"/>
        <w:numPr>
          <w:ilvl w:val="0"/>
          <w:numId w:val="29"/>
        </w:numPr>
        <w:tabs>
          <w:tab w:val="left" w:pos="284"/>
        </w:tabs>
        <w:ind w:left="284" w:hanging="284"/>
        <w:jc w:val="both"/>
        <w:rPr>
          <w:color w:val="000000" w:themeColor="text1"/>
          <w:szCs w:val="22"/>
        </w:rPr>
      </w:pPr>
      <w:r>
        <w:rPr>
          <w:color w:val="000000" w:themeColor="text1"/>
          <w:szCs w:val="22"/>
        </w:rPr>
        <w:t>De verdere uitrol van de proeftuin loopt nog tot 15 september 2014. Tegen die datum zullen niet alleen alle gemeenten (14 in totaal) van de zorgregio Hasselt werken met de Kinderopvangzoeker, op die dag zal ook Hasselt als laatste gemeente in de zorgregio starten met het gebruik van de Kinderopvangzoeker. De proeftuin zal in zijn totaliteit geëvalueerd worden tegen december 2014. Vanaf 2015 zal dan stapsgewijs gestart worden met de verdere uitrol van de Kinderopvangzoeker in heel Vlaanderen en Brussel. Deze algemene implementatie wordt momenteel nog voorbereid.</w:t>
      </w:r>
    </w:p>
    <w:p w:rsidR="003A51CC" w:rsidRDefault="003A51CC" w:rsidP="003A51CC">
      <w:pPr>
        <w:jc w:val="both"/>
        <w:rPr>
          <w:b/>
          <w:smallCaps/>
          <w:color w:val="000000" w:themeColor="text1"/>
          <w:szCs w:val="22"/>
          <w:u w:val="single"/>
        </w:rPr>
      </w:pPr>
    </w:p>
    <w:p w:rsidR="003A51CC" w:rsidRDefault="003A51CC" w:rsidP="003A51CC">
      <w:pPr>
        <w:pStyle w:val="StandaardSV"/>
        <w:numPr>
          <w:ilvl w:val="0"/>
          <w:numId w:val="29"/>
        </w:numPr>
        <w:tabs>
          <w:tab w:val="left" w:pos="284"/>
        </w:tabs>
        <w:ind w:left="284" w:hanging="284"/>
        <w:rPr>
          <w:color w:val="000000" w:themeColor="text1"/>
          <w:szCs w:val="22"/>
        </w:rPr>
      </w:pPr>
      <w:r>
        <w:rPr>
          <w:color w:val="000000" w:themeColor="text1"/>
          <w:szCs w:val="22"/>
        </w:rPr>
        <w:lastRenderedPageBreak/>
        <w:t>Kind en Gezin werkt sinds de start van de proeftuin samen met de verschillende betrokken ICT-partners, met als doel de uitwisseling tussen de Kinderopvangzoeker en de IT-programma’s die nu reeds in de kinderopvangsector voor baby’s en peuters in Vlaanderen en Brussel gebruikt worden, mogelijk te maken.</w:t>
      </w:r>
    </w:p>
    <w:p w:rsidR="003A51CC" w:rsidRDefault="003A51CC" w:rsidP="003A51CC">
      <w:pPr>
        <w:tabs>
          <w:tab w:val="left" w:pos="284"/>
        </w:tabs>
        <w:ind w:left="284" w:hanging="284"/>
        <w:jc w:val="both"/>
        <w:rPr>
          <w:smallCaps/>
          <w:color w:val="000000" w:themeColor="text1"/>
          <w:szCs w:val="22"/>
        </w:rPr>
      </w:pPr>
    </w:p>
    <w:p w:rsidR="003A51CC" w:rsidRDefault="003A51CC" w:rsidP="003A51CC">
      <w:pPr>
        <w:pStyle w:val="StandaardSV"/>
        <w:numPr>
          <w:ilvl w:val="0"/>
          <w:numId w:val="29"/>
        </w:numPr>
        <w:tabs>
          <w:tab w:val="left" w:pos="284"/>
        </w:tabs>
        <w:ind w:left="284" w:hanging="284"/>
        <w:rPr>
          <w:b/>
          <w:smallCaps/>
          <w:color w:val="000000" w:themeColor="text1"/>
          <w:szCs w:val="22"/>
          <w:u w:val="single"/>
        </w:rPr>
      </w:pPr>
      <w:r>
        <w:rPr>
          <w:color w:val="000000" w:themeColor="text1"/>
          <w:szCs w:val="22"/>
        </w:rPr>
        <w:t xml:space="preserve">Of, in welke mate en op welke wijze de ervaringen met de Kinderopvangzoeker zullen kunnen worden aangewend om een gelijkaardig systeem uit te bouwen voor andere sectoren van het </w:t>
      </w:r>
      <w:proofErr w:type="spellStart"/>
      <w:r>
        <w:rPr>
          <w:color w:val="000000" w:themeColor="text1"/>
          <w:szCs w:val="22"/>
        </w:rPr>
        <w:t>do-mein</w:t>
      </w:r>
      <w:proofErr w:type="spellEnd"/>
      <w:r>
        <w:rPr>
          <w:color w:val="000000" w:themeColor="text1"/>
          <w:szCs w:val="22"/>
        </w:rPr>
        <w:t xml:space="preserve"> Welzijn, is een beslissing die pas in de volgende legislatuur zal kunnen worden genomen. Het is immers van belang eerst een volledig zicht te krijgen op alle verdiensten, valkuilen en </w:t>
      </w:r>
      <w:proofErr w:type="spellStart"/>
      <w:r>
        <w:rPr>
          <w:color w:val="000000" w:themeColor="text1"/>
          <w:szCs w:val="22"/>
        </w:rPr>
        <w:t>oppor-tuniteiten</w:t>
      </w:r>
      <w:proofErr w:type="spellEnd"/>
      <w:r>
        <w:rPr>
          <w:color w:val="000000" w:themeColor="text1"/>
          <w:szCs w:val="22"/>
        </w:rPr>
        <w:t xml:space="preserve"> van de Kinderopvangzoeker, alvorens te kunnen uitmaken of dit systeem een precedent kan zijn voor andere sectoren van Welzijn.</w:t>
      </w:r>
      <w:bookmarkStart w:id="6" w:name="_GoBack"/>
      <w:bookmarkEnd w:id="6"/>
    </w:p>
    <w:sectPr w:rsidR="003A51CC" w:rsidSect="00F93323">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7B" w:rsidRDefault="00C8587B">
      <w:r>
        <w:separator/>
      </w:r>
    </w:p>
  </w:endnote>
  <w:endnote w:type="continuationSeparator" w:id="0">
    <w:p w:rsidR="00C8587B" w:rsidRDefault="00C8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Neo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7B" w:rsidRDefault="00C8587B">
      <w:r>
        <w:separator/>
      </w:r>
    </w:p>
  </w:footnote>
  <w:footnote w:type="continuationSeparator" w:id="0">
    <w:p w:rsidR="00C8587B" w:rsidRDefault="00C85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91225B9"/>
    <w:multiLevelType w:val="hybridMultilevel"/>
    <w:tmpl w:val="561C0B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991B9A"/>
    <w:multiLevelType w:val="hybridMultilevel"/>
    <w:tmpl w:val="F864AD22"/>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6EF722D"/>
    <w:multiLevelType w:val="hybridMultilevel"/>
    <w:tmpl w:val="E6DC37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E9A773E"/>
    <w:multiLevelType w:val="hybridMultilevel"/>
    <w:tmpl w:val="7B52658C"/>
    <w:lvl w:ilvl="0" w:tplc="01A438D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C2F3F0A"/>
    <w:multiLevelType w:val="hybridMultilevel"/>
    <w:tmpl w:val="A1C21296"/>
    <w:lvl w:ilvl="0" w:tplc="638C828A">
      <w:start w:val="6"/>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AE77D46"/>
    <w:multiLevelType w:val="hybridMultilevel"/>
    <w:tmpl w:val="398E6C1E"/>
    <w:lvl w:ilvl="0" w:tplc="F65830A6">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71146E6A"/>
    <w:multiLevelType w:val="hybridMultilevel"/>
    <w:tmpl w:val="67B85AA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FE96A21"/>
    <w:multiLevelType w:val="hybridMultilevel"/>
    <w:tmpl w:val="7D1291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4"/>
  </w:num>
  <w:num w:numId="4">
    <w:abstractNumId w:val="4"/>
  </w:num>
  <w:num w:numId="5">
    <w:abstractNumId w:val="22"/>
  </w:num>
  <w:num w:numId="6">
    <w:abstractNumId w:val="19"/>
  </w:num>
  <w:num w:numId="7">
    <w:abstractNumId w:val="0"/>
  </w:num>
  <w:num w:numId="8">
    <w:abstractNumId w:val="1"/>
  </w:num>
  <w:num w:numId="9">
    <w:abstractNumId w:val="18"/>
  </w:num>
  <w:num w:numId="10">
    <w:abstractNumId w:val="12"/>
  </w:num>
  <w:num w:numId="11">
    <w:abstractNumId w:val="15"/>
  </w:num>
  <w:num w:numId="12">
    <w:abstractNumId w:val="11"/>
  </w:num>
  <w:num w:numId="13">
    <w:abstractNumId w:val="7"/>
  </w:num>
  <w:num w:numId="14">
    <w:abstractNumId w:val="13"/>
  </w:num>
  <w:num w:numId="15">
    <w:abstractNumId w:val="9"/>
  </w:num>
  <w:num w:numId="16">
    <w:abstractNumId w:val="10"/>
  </w:num>
  <w:num w:numId="17">
    <w:abstractNumId w:val="8"/>
  </w:num>
  <w:num w:numId="18">
    <w:abstractNumId w:val="2"/>
  </w:num>
  <w:num w:numId="19">
    <w:abstractNumId w:val="23"/>
  </w:num>
  <w:num w:numId="20">
    <w:abstractNumId w:val="5"/>
  </w:num>
  <w:num w:numId="21">
    <w:abstractNumId w:val="21"/>
  </w:num>
  <w:num w:numId="22">
    <w:abstractNumId w:val="3"/>
  </w:num>
  <w:num w:numId="23">
    <w:abstractNumId w:val="20"/>
  </w:num>
  <w:num w:numId="24">
    <w:abstractNumId w:val="6"/>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7B"/>
    <w:rsid w:val="00056B24"/>
    <w:rsid w:val="000671C7"/>
    <w:rsid w:val="000A100D"/>
    <w:rsid w:val="001A7F6C"/>
    <w:rsid w:val="0024317B"/>
    <w:rsid w:val="00275422"/>
    <w:rsid w:val="00290F71"/>
    <w:rsid w:val="002B2BE1"/>
    <w:rsid w:val="00361772"/>
    <w:rsid w:val="00387B72"/>
    <w:rsid w:val="003A51CC"/>
    <w:rsid w:val="004E3083"/>
    <w:rsid w:val="005441EA"/>
    <w:rsid w:val="008432A4"/>
    <w:rsid w:val="00927570"/>
    <w:rsid w:val="00BA3BCE"/>
    <w:rsid w:val="00BE2472"/>
    <w:rsid w:val="00BF3865"/>
    <w:rsid w:val="00C8587B"/>
    <w:rsid w:val="00C97A05"/>
    <w:rsid w:val="00D27AF9"/>
    <w:rsid w:val="00F62AC7"/>
    <w:rsid w:val="00F933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323"/>
    <w:rPr>
      <w:sz w:val="22"/>
      <w:szCs w:val="24"/>
      <w:lang w:val="nl-NL" w:eastAsia="nl-NL"/>
    </w:rPr>
  </w:style>
  <w:style w:type="paragraph" w:styleId="Kop1">
    <w:name w:val="heading 1"/>
    <w:basedOn w:val="Standaard"/>
    <w:next w:val="Standaard"/>
    <w:qFormat/>
    <w:rsid w:val="00F9332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9332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9332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F93323"/>
    <w:pPr>
      <w:shd w:val="clear" w:color="auto" w:fill="000080"/>
    </w:pPr>
    <w:rPr>
      <w:rFonts w:ascii="Tahoma" w:hAnsi="Tahoma" w:cs="Tahoma"/>
    </w:rPr>
  </w:style>
  <w:style w:type="paragraph" w:customStyle="1" w:styleId="NotaKenmerk">
    <w:name w:val="NotaKenmerk"/>
    <w:basedOn w:val="Standaard"/>
    <w:next w:val="Standaard"/>
    <w:rsid w:val="00F93323"/>
    <w:pPr>
      <w:tabs>
        <w:tab w:val="right" w:pos="2700"/>
        <w:tab w:val="left" w:pos="2880"/>
      </w:tabs>
    </w:pPr>
    <w:rPr>
      <w:i/>
      <w:lang w:val="nl-BE"/>
    </w:rPr>
  </w:style>
  <w:style w:type="paragraph" w:customStyle="1" w:styleId="NotaDirectie">
    <w:name w:val="NotaDirectie"/>
    <w:basedOn w:val="Standaard"/>
    <w:next w:val="Standaard"/>
    <w:rsid w:val="00F93323"/>
    <w:rPr>
      <w:i/>
      <w:lang w:val="nl-BE"/>
    </w:rPr>
  </w:style>
  <w:style w:type="paragraph" w:customStyle="1" w:styleId="NotaAan">
    <w:name w:val="NotaAan"/>
    <w:basedOn w:val="Standaard"/>
    <w:next w:val="Standaard"/>
    <w:rsid w:val="00F93323"/>
    <w:rPr>
      <w:b/>
      <w:lang w:val="nl-BE"/>
    </w:rPr>
  </w:style>
  <w:style w:type="paragraph" w:styleId="Voettekst">
    <w:name w:val="footer"/>
    <w:basedOn w:val="Standaard"/>
    <w:next w:val="Standaard"/>
    <w:semiHidden/>
    <w:rsid w:val="00F93323"/>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F93323"/>
    <w:rPr>
      <w:b/>
      <w:smallCaps/>
      <w:lang w:val="nl-BE"/>
    </w:rPr>
  </w:style>
  <w:style w:type="paragraph" w:customStyle="1" w:styleId="A-TitelMinister">
    <w:name w:val="A-TitelMinister"/>
    <w:basedOn w:val="Standaard"/>
    <w:rsid w:val="00F93323"/>
    <w:rPr>
      <w:smallCaps/>
      <w:szCs w:val="22"/>
      <w:lang w:val="nl-BE"/>
    </w:rPr>
  </w:style>
  <w:style w:type="character" w:customStyle="1" w:styleId="A-Indiener">
    <w:name w:val="A-Indiener"/>
    <w:basedOn w:val="Standaardalinea-lettertype"/>
    <w:rsid w:val="00F93323"/>
    <w:rPr>
      <w:b/>
      <w:smallCaps/>
    </w:rPr>
  </w:style>
  <w:style w:type="paragraph" w:customStyle="1" w:styleId="Opmaakprofiel1">
    <w:name w:val="Opmaakprofiel1"/>
    <w:basedOn w:val="Standaard"/>
    <w:rsid w:val="00F93323"/>
    <w:pPr>
      <w:widowControl w:val="0"/>
      <w:jc w:val="both"/>
    </w:pPr>
    <w:rPr>
      <w:snapToGrid w:val="0"/>
      <w:szCs w:val="20"/>
    </w:rPr>
  </w:style>
  <w:style w:type="paragraph" w:customStyle="1" w:styleId="LijstItemLetter">
    <w:name w:val="LijstItemLetter"/>
    <w:basedOn w:val="Standaard"/>
    <w:rsid w:val="00F93323"/>
    <w:pPr>
      <w:widowControl w:val="0"/>
      <w:jc w:val="both"/>
    </w:pPr>
    <w:rPr>
      <w:snapToGrid w:val="0"/>
      <w:szCs w:val="20"/>
    </w:rPr>
  </w:style>
  <w:style w:type="paragraph" w:customStyle="1" w:styleId="AgendaSamenstelling">
    <w:name w:val="AgendaSamenstelling"/>
    <w:basedOn w:val="Standaard"/>
    <w:rsid w:val="00F93323"/>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F93323"/>
    <w:rPr>
      <w:i w:val="0"/>
    </w:rPr>
  </w:style>
  <w:style w:type="paragraph" w:customStyle="1" w:styleId="A-NaamMinister">
    <w:name w:val="A-NaamMinister"/>
    <w:basedOn w:val="Standaard"/>
    <w:rsid w:val="00F93323"/>
    <w:rPr>
      <w:b/>
      <w:smallCaps/>
      <w:lang w:val="nl-BE"/>
    </w:rPr>
  </w:style>
  <w:style w:type="paragraph" w:customStyle="1" w:styleId="A-Lijn">
    <w:name w:val="A-Lijn"/>
    <w:basedOn w:val="Standaard"/>
    <w:rsid w:val="00F93323"/>
    <w:pPr>
      <w:pBdr>
        <w:top w:val="single" w:sz="4" w:space="1" w:color="auto"/>
      </w:pBdr>
    </w:pPr>
    <w:rPr>
      <w:smallCaps/>
      <w:szCs w:val="22"/>
      <w:lang w:val="nl-BE"/>
    </w:rPr>
  </w:style>
  <w:style w:type="paragraph" w:customStyle="1" w:styleId="A-Type">
    <w:name w:val="A-Type"/>
    <w:rsid w:val="00F93323"/>
    <w:rPr>
      <w:b/>
      <w:smallCaps/>
      <w:sz w:val="22"/>
      <w:szCs w:val="22"/>
      <w:lang w:eastAsia="nl-NL"/>
    </w:rPr>
  </w:style>
  <w:style w:type="character" w:customStyle="1" w:styleId="A-NaamMinisterChar">
    <w:name w:val="A-NaamMinister Char"/>
    <w:basedOn w:val="Standaardalinea-lettertype"/>
    <w:rsid w:val="00F93323"/>
    <w:rPr>
      <w:b/>
      <w:smallCaps/>
      <w:sz w:val="22"/>
      <w:szCs w:val="24"/>
      <w:lang w:val="nl-BE" w:eastAsia="nl-NL" w:bidi="ar-SA"/>
    </w:rPr>
  </w:style>
  <w:style w:type="paragraph" w:customStyle="1" w:styleId="A-Gewonetekst">
    <w:name w:val="A-Gewone tekst"/>
    <w:rsid w:val="00F93323"/>
    <w:rPr>
      <w:sz w:val="22"/>
      <w:szCs w:val="24"/>
      <w:lang w:eastAsia="nl-NL"/>
    </w:rPr>
  </w:style>
  <w:style w:type="character" w:customStyle="1" w:styleId="A-GewonetekstChar">
    <w:name w:val="A-Gewone tekst Char"/>
    <w:basedOn w:val="Standaardalinea-lettertype"/>
    <w:rsid w:val="00F93323"/>
    <w:rPr>
      <w:sz w:val="22"/>
      <w:szCs w:val="24"/>
      <w:lang w:val="nl-BE" w:eastAsia="nl-NL" w:bidi="ar-SA"/>
    </w:rPr>
  </w:style>
  <w:style w:type="character" w:customStyle="1" w:styleId="A-TypeChar">
    <w:name w:val="A-Type Char"/>
    <w:basedOn w:val="Standaardalinea-lettertype"/>
    <w:rsid w:val="00F93323"/>
    <w:rPr>
      <w:b/>
      <w:smallCaps/>
      <w:sz w:val="22"/>
      <w:szCs w:val="22"/>
      <w:lang w:val="nl-BE" w:eastAsia="nl-NL" w:bidi="ar-SA"/>
    </w:rPr>
  </w:style>
  <w:style w:type="character" w:customStyle="1" w:styleId="AntwoordNaamMinisterChar">
    <w:name w:val="AntwoordNaamMinister Char"/>
    <w:basedOn w:val="Standaardalinea-lettertype"/>
    <w:rsid w:val="00F93323"/>
    <w:rPr>
      <w:b/>
      <w:smallCaps/>
      <w:sz w:val="22"/>
      <w:szCs w:val="24"/>
      <w:lang w:val="nl-BE" w:eastAsia="nl-NL" w:bidi="ar-SA"/>
    </w:rPr>
  </w:style>
  <w:style w:type="paragraph" w:styleId="Ballontekst">
    <w:name w:val="Balloon Text"/>
    <w:basedOn w:val="Standaard"/>
    <w:semiHidden/>
    <w:rsid w:val="00F93323"/>
    <w:rPr>
      <w:rFonts w:ascii="Tahoma" w:hAnsi="Tahoma" w:cs="Tahoma"/>
      <w:sz w:val="16"/>
      <w:szCs w:val="16"/>
    </w:rPr>
  </w:style>
  <w:style w:type="paragraph" w:styleId="Plattetekst">
    <w:name w:val="Body Text"/>
    <w:basedOn w:val="Standaard"/>
    <w:semiHidden/>
    <w:rsid w:val="00F93323"/>
    <w:pPr>
      <w:spacing w:after="120"/>
    </w:pPr>
    <w:rPr>
      <w:rFonts w:ascii="Garamond" w:hAnsi="Garamond"/>
      <w:szCs w:val="20"/>
    </w:rPr>
  </w:style>
  <w:style w:type="paragraph" w:styleId="Voetnoottekst">
    <w:name w:val="footnote text"/>
    <w:basedOn w:val="Standaard"/>
    <w:link w:val="VoetnoottekstChar"/>
    <w:uiPriority w:val="99"/>
    <w:semiHidden/>
    <w:rsid w:val="00F93323"/>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F93323"/>
    <w:rPr>
      <w:vertAlign w:val="superscript"/>
    </w:rPr>
  </w:style>
  <w:style w:type="character" w:styleId="Hyperlink">
    <w:name w:val="Hyperlink"/>
    <w:basedOn w:val="Standaardalinea-lettertype"/>
    <w:semiHidden/>
    <w:rsid w:val="00F93323"/>
    <w:rPr>
      <w:color w:val="0000FF"/>
      <w:u w:val="single"/>
    </w:rPr>
  </w:style>
  <w:style w:type="paragraph" w:styleId="Normaalweb">
    <w:name w:val="Normal (Web)"/>
    <w:basedOn w:val="Standaard"/>
    <w:semiHidden/>
    <w:rsid w:val="00F93323"/>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290F71"/>
    <w:pPr>
      <w:jc w:val="both"/>
    </w:pPr>
    <w:rPr>
      <w:szCs w:val="20"/>
    </w:rPr>
  </w:style>
  <w:style w:type="paragraph" w:styleId="Lijstalinea">
    <w:name w:val="List Paragraph"/>
    <w:basedOn w:val="Standaard"/>
    <w:uiPriority w:val="34"/>
    <w:qFormat/>
    <w:rsid w:val="00290F71"/>
    <w:pPr>
      <w:ind w:left="720"/>
      <w:contextualSpacing/>
    </w:pPr>
  </w:style>
  <w:style w:type="paragraph" w:customStyle="1" w:styleId="Default">
    <w:name w:val="Default"/>
    <w:rsid w:val="00290F71"/>
    <w:pPr>
      <w:autoSpaceDE w:val="0"/>
      <w:autoSpaceDN w:val="0"/>
      <w:adjustRightInd w:val="0"/>
    </w:pPr>
    <w:rPr>
      <w:rFonts w:ascii="Verdana" w:eastAsiaTheme="minorHAnsi" w:hAnsi="Verdana" w:cs="Verdana"/>
      <w:color w:val="000000"/>
      <w:sz w:val="24"/>
      <w:szCs w:val="24"/>
      <w:lang w:eastAsia="en-US"/>
    </w:rPr>
  </w:style>
  <w:style w:type="character" w:customStyle="1" w:styleId="VoetnoottekstChar">
    <w:name w:val="Voetnoottekst Char"/>
    <w:basedOn w:val="Standaardalinea-lettertype"/>
    <w:link w:val="Voetnoottekst"/>
    <w:uiPriority w:val="99"/>
    <w:semiHidden/>
    <w:rsid w:val="00290F71"/>
    <w:rPr>
      <w:rFonts w:ascii="Arial" w:hAnsi="Arial"/>
      <w:lang w:eastAsia="nl-NL"/>
    </w:rPr>
  </w:style>
  <w:style w:type="paragraph" w:customStyle="1" w:styleId="Jaarverslagbodytekst">
    <w:name w:val="Jaarverslag bodytekst"/>
    <w:basedOn w:val="Standaard"/>
    <w:qFormat/>
    <w:rsid w:val="00290F71"/>
    <w:pPr>
      <w:spacing w:line="340" w:lineRule="exact"/>
    </w:pPr>
    <w:rPr>
      <w:rFonts w:ascii="Verdana" w:eastAsiaTheme="minorHAnsi" w:hAnsi="Verdana" w:cs="NeoSansPro-Regular"/>
      <w:sz w:val="18"/>
      <w:szCs w:val="18"/>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323"/>
    <w:rPr>
      <w:sz w:val="22"/>
      <w:szCs w:val="24"/>
      <w:lang w:val="nl-NL" w:eastAsia="nl-NL"/>
    </w:rPr>
  </w:style>
  <w:style w:type="paragraph" w:styleId="Kop1">
    <w:name w:val="heading 1"/>
    <w:basedOn w:val="Standaard"/>
    <w:next w:val="Standaard"/>
    <w:qFormat/>
    <w:rsid w:val="00F9332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9332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9332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F93323"/>
    <w:pPr>
      <w:shd w:val="clear" w:color="auto" w:fill="000080"/>
    </w:pPr>
    <w:rPr>
      <w:rFonts w:ascii="Tahoma" w:hAnsi="Tahoma" w:cs="Tahoma"/>
    </w:rPr>
  </w:style>
  <w:style w:type="paragraph" w:customStyle="1" w:styleId="NotaKenmerk">
    <w:name w:val="NotaKenmerk"/>
    <w:basedOn w:val="Standaard"/>
    <w:next w:val="Standaard"/>
    <w:rsid w:val="00F93323"/>
    <w:pPr>
      <w:tabs>
        <w:tab w:val="right" w:pos="2700"/>
        <w:tab w:val="left" w:pos="2880"/>
      </w:tabs>
    </w:pPr>
    <w:rPr>
      <w:i/>
      <w:lang w:val="nl-BE"/>
    </w:rPr>
  </w:style>
  <w:style w:type="paragraph" w:customStyle="1" w:styleId="NotaDirectie">
    <w:name w:val="NotaDirectie"/>
    <w:basedOn w:val="Standaard"/>
    <w:next w:val="Standaard"/>
    <w:rsid w:val="00F93323"/>
    <w:rPr>
      <w:i/>
      <w:lang w:val="nl-BE"/>
    </w:rPr>
  </w:style>
  <w:style w:type="paragraph" w:customStyle="1" w:styleId="NotaAan">
    <w:name w:val="NotaAan"/>
    <w:basedOn w:val="Standaard"/>
    <w:next w:val="Standaard"/>
    <w:rsid w:val="00F93323"/>
    <w:rPr>
      <w:b/>
      <w:lang w:val="nl-BE"/>
    </w:rPr>
  </w:style>
  <w:style w:type="paragraph" w:styleId="Voettekst">
    <w:name w:val="footer"/>
    <w:basedOn w:val="Standaard"/>
    <w:next w:val="Standaard"/>
    <w:semiHidden/>
    <w:rsid w:val="00F93323"/>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F93323"/>
    <w:rPr>
      <w:b/>
      <w:smallCaps/>
      <w:lang w:val="nl-BE"/>
    </w:rPr>
  </w:style>
  <w:style w:type="paragraph" w:customStyle="1" w:styleId="A-TitelMinister">
    <w:name w:val="A-TitelMinister"/>
    <w:basedOn w:val="Standaard"/>
    <w:rsid w:val="00F93323"/>
    <w:rPr>
      <w:smallCaps/>
      <w:szCs w:val="22"/>
      <w:lang w:val="nl-BE"/>
    </w:rPr>
  </w:style>
  <w:style w:type="character" w:customStyle="1" w:styleId="A-Indiener">
    <w:name w:val="A-Indiener"/>
    <w:basedOn w:val="Standaardalinea-lettertype"/>
    <w:rsid w:val="00F93323"/>
    <w:rPr>
      <w:b/>
      <w:smallCaps/>
    </w:rPr>
  </w:style>
  <w:style w:type="paragraph" w:customStyle="1" w:styleId="Opmaakprofiel1">
    <w:name w:val="Opmaakprofiel1"/>
    <w:basedOn w:val="Standaard"/>
    <w:rsid w:val="00F93323"/>
    <w:pPr>
      <w:widowControl w:val="0"/>
      <w:jc w:val="both"/>
    </w:pPr>
    <w:rPr>
      <w:snapToGrid w:val="0"/>
      <w:szCs w:val="20"/>
    </w:rPr>
  </w:style>
  <w:style w:type="paragraph" w:customStyle="1" w:styleId="LijstItemLetter">
    <w:name w:val="LijstItemLetter"/>
    <w:basedOn w:val="Standaard"/>
    <w:rsid w:val="00F93323"/>
    <w:pPr>
      <w:widowControl w:val="0"/>
      <w:jc w:val="both"/>
    </w:pPr>
    <w:rPr>
      <w:snapToGrid w:val="0"/>
      <w:szCs w:val="20"/>
    </w:rPr>
  </w:style>
  <w:style w:type="paragraph" w:customStyle="1" w:styleId="AgendaSamenstelling">
    <w:name w:val="AgendaSamenstelling"/>
    <w:basedOn w:val="Standaard"/>
    <w:rsid w:val="00F93323"/>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F93323"/>
    <w:rPr>
      <w:i w:val="0"/>
    </w:rPr>
  </w:style>
  <w:style w:type="paragraph" w:customStyle="1" w:styleId="A-NaamMinister">
    <w:name w:val="A-NaamMinister"/>
    <w:basedOn w:val="Standaard"/>
    <w:rsid w:val="00F93323"/>
    <w:rPr>
      <w:b/>
      <w:smallCaps/>
      <w:lang w:val="nl-BE"/>
    </w:rPr>
  </w:style>
  <w:style w:type="paragraph" w:customStyle="1" w:styleId="A-Lijn">
    <w:name w:val="A-Lijn"/>
    <w:basedOn w:val="Standaard"/>
    <w:rsid w:val="00F93323"/>
    <w:pPr>
      <w:pBdr>
        <w:top w:val="single" w:sz="4" w:space="1" w:color="auto"/>
      </w:pBdr>
    </w:pPr>
    <w:rPr>
      <w:smallCaps/>
      <w:szCs w:val="22"/>
      <w:lang w:val="nl-BE"/>
    </w:rPr>
  </w:style>
  <w:style w:type="paragraph" w:customStyle="1" w:styleId="A-Type">
    <w:name w:val="A-Type"/>
    <w:rsid w:val="00F93323"/>
    <w:rPr>
      <w:b/>
      <w:smallCaps/>
      <w:sz w:val="22"/>
      <w:szCs w:val="22"/>
      <w:lang w:eastAsia="nl-NL"/>
    </w:rPr>
  </w:style>
  <w:style w:type="character" w:customStyle="1" w:styleId="A-NaamMinisterChar">
    <w:name w:val="A-NaamMinister Char"/>
    <w:basedOn w:val="Standaardalinea-lettertype"/>
    <w:rsid w:val="00F93323"/>
    <w:rPr>
      <w:b/>
      <w:smallCaps/>
      <w:sz w:val="22"/>
      <w:szCs w:val="24"/>
      <w:lang w:val="nl-BE" w:eastAsia="nl-NL" w:bidi="ar-SA"/>
    </w:rPr>
  </w:style>
  <w:style w:type="paragraph" w:customStyle="1" w:styleId="A-Gewonetekst">
    <w:name w:val="A-Gewone tekst"/>
    <w:rsid w:val="00F93323"/>
    <w:rPr>
      <w:sz w:val="22"/>
      <w:szCs w:val="24"/>
      <w:lang w:eastAsia="nl-NL"/>
    </w:rPr>
  </w:style>
  <w:style w:type="character" w:customStyle="1" w:styleId="A-GewonetekstChar">
    <w:name w:val="A-Gewone tekst Char"/>
    <w:basedOn w:val="Standaardalinea-lettertype"/>
    <w:rsid w:val="00F93323"/>
    <w:rPr>
      <w:sz w:val="22"/>
      <w:szCs w:val="24"/>
      <w:lang w:val="nl-BE" w:eastAsia="nl-NL" w:bidi="ar-SA"/>
    </w:rPr>
  </w:style>
  <w:style w:type="character" w:customStyle="1" w:styleId="A-TypeChar">
    <w:name w:val="A-Type Char"/>
    <w:basedOn w:val="Standaardalinea-lettertype"/>
    <w:rsid w:val="00F93323"/>
    <w:rPr>
      <w:b/>
      <w:smallCaps/>
      <w:sz w:val="22"/>
      <w:szCs w:val="22"/>
      <w:lang w:val="nl-BE" w:eastAsia="nl-NL" w:bidi="ar-SA"/>
    </w:rPr>
  </w:style>
  <w:style w:type="character" w:customStyle="1" w:styleId="AntwoordNaamMinisterChar">
    <w:name w:val="AntwoordNaamMinister Char"/>
    <w:basedOn w:val="Standaardalinea-lettertype"/>
    <w:rsid w:val="00F93323"/>
    <w:rPr>
      <w:b/>
      <w:smallCaps/>
      <w:sz w:val="22"/>
      <w:szCs w:val="24"/>
      <w:lang w:val="nl-BE" w:eastAsia="nl-NL" w:bidi="ar-SA"/>
    </w:rPr>
  </w:style>
  <w:style w:type="paragraph" w:styleId="Ballontekst">
    <w:name w:val="Balloon Text"/>
    <w:basedOn w:val="Standaard"/>
    <w:semiHidden/>
    <w:rsid w:val="00F93323"/>
    <w:rPr>
      <w:rFonts w:ascii="Tahoma" w:hAnsi="Tahoma" w:cs="Tahoma"/>
      <w:sz w:val="16"/>
      <w:szCs w:val="16"/>
    </w:rPr>
  </w:style>
  <w:style w:type="paragraph" w:styleId="Plattetekst">
    <w:name w:val="Body Text"/>
    <w:basedOn w:val="Standaard"/>
    <w:semiHidden/>
    <w:rsid w:val="00F93323"/>
    <w:pPr>
      <w:spacing w:after="120"/>
    </w:pPr>
    <w:rPr>
      <w:rFonts w:ascii="Garamond" w:hAnsi="Garamond"/>
      <w:szCs w:val="20"/>
    </w:rPr>
  </w:style>
  <w:style w:type="paragraph" w:styleId="Voetnoottekst">
    <w:name w:val="footnote text"/>
    <w:basedOn w:val="Standaard"/>
    <w:link w:val="VoetnoottekstChar"/>
    <w:uiPriority w:val="99"/>
    <w:semiHidden/>
    <w:rsid w:val="00F93323"/>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F93323"/>
    <w:rPr>
      <w:vertAlign w:val="superscript"/>
    </w:rPr>
  </w:style>
  <w:style w:type="character" w:styleId="Hyperlink">
    <w:name w:val="Hyperlink"/>
    <w:basedOn w:val="Standaardalinea-lettertype"/>
    <w:semiHidden/>
    <w:rsid w:val="00F93323"/>
    <w:rPr>
      <w:color w:val="0000FF"/>
      <w:u w:val="single"/>
    </w:rPr>
  </w:style>
  <w:style w:type="paragraph" w:styleId="Normaalweb">
    <w:name w:val="Normal (Web)"/>
    <w:basedOn w:val="Standaard"/>
    <w:semiHidden/>
    <w:rsid w:val="00F93323"/>
    <w:pPr>
      <w:spacing w:before="100" w:beforeAutospacing="1" w:after="100" w:afterAutospacing="1"/>
    </w:pPr>
    <w:rPr>
      <w:rFonts w:ascii="Verdana" w:hAnsi="Verdana"/>
      <w:color w:val="000000"/>
      <w:sz w:val="20"/>
      <w:szCs w:val="20"/>
    </w:rPr>
  </w:style>
  <w:style w:type="paragraph" w:customStyle="1" w:styleId="StandaardSV">
    <w:name w:val="Standaard SV"/>
    <w:basedOn w:val="Standaard"/>
    <w:rsid w:val="00290F71"/>
    <w:pPr>
      <w:jc w:val="both"/>
    </w:pPr>
    <w:rPr>
      <w:szCs w:val="20"/>
    </w:rPr>
  </w:style>
  <w:style w:type="paragraph" w:styleId="Lijstalinea">
    <w:name w:val="List Paragraph"/>
    <w:basedOn w:val="Standaard"/>
    <w:uiPriority w:val="34"/>
    <w:qFormat/>
    <w:rsid w:val="00290F71"/>
    <w:pPr>
      <w:ind w:left="720"/>
      <w:contextualSpacing/>
    </w:pPr>
  </w:style>
  <w:style w:type="paragraph" w:customStyle="1" w:styleId="Default">
    <w:name w:val="Default"/>
    <w:rsid w:val="00290F71"/>
    <w:pPr>
      <w:autoSpaceDE w:val="0"/>
      <w:autoSpaceDN w:val="0"/>
      <w:adjustRightInd w:val="0"/>
    </w:pPr>
    <w:rPr>
      <w:rFonts w:ascii="Verdana" w:eastAsiaTheme="minorHAnsi" w:hAnsi="Verdana" w:cs="Verdana"/>
      <w:color w:val="000000"/>
      <w:sz w:val="24"/>
      <w:szCs w:val="24"/>
      <w:lang w:eastAsia="en-US"/>
    </w:rPr>
  </w:style>
  <w:style w:type="character" w:customStyle="1" w:styleId="VoetnoottekstChar">
    <w:name w:val="Voetnoottekst Char"/>
    <w:basedOn w:val="Standaardalinea-lettertype"/>
    <w:link w:val="Voetnoottekst"/>
    <w:uiPriority w:val="99"/>
    <w:semiHidden/>
    <w:rsid w:val="00290F71"/>
    <w:rPr>
      <w:rFonts w:ascii="Arial" w:hAnsi="Arial"/>
      <w:lang w:eastAsia="nl-NL"/>
    </w:rPr>
  </w:style>
  <w:style w:type="paragraph" w:customStyle="1" w:styleId="Jaarverslagbodytekst">
    <w:name w:val="Jaarverslag bodytekst"/>
    <w:basedOn w:val="Standaard"/>
    <w:qFormat/>
    <w:rsid w:val="00290F71"/>
    <w:pPr>
      <w:spacing w:line="340" w:lineRule="exact"/>
    </w:pPr>
    <w:rPr>
      <w:rFonts w:ascii="Verdana" w:eastAsiaTheme="minorHAnsi" w:hAnsi="Verdana" w:cs="NeoSansPro-Regular"/>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4866B-2FB0-4EA6-B8DA-4D1C932E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schriftelijke vraag</Template>
  <TotalTime>1</TotalTime>
  <Pages>3</Pages>
  <Words>918</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christelle vannieuwenhuyzen</dc:creator>
  <cp:lastModifiedBy>Nathalie De Keyzer</cp:lastModifiedBy>
  <cp:revision>3</cp:revision>
  <cp:lastPrinted>2014-04-16T10:44:00Z</cp:lastPrinted>
  <dcterms:created xsi:type="dcterms:W3CDTF">2014-04-18T12:08:00Z</dcterms:created>
  <dcterms:modified xsi:type="dcterms:W3CDTF">2014-04-18T12:09:00Z</dcterms:modified>
</cp:coreProperties>
</file>