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C2" w:rsidRPr="005F6D01" w:rsidRDefault="006E7BC2" w:rsidP="00E07C92">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6E7BC2" w:rsidRPr="005F6D01" w:rsidRDefault="006E7BC2" w:rsidP="00E07C92">
      <w:pPr>
        <w:jc w:val="both"/>
        <w:rPr>
          <w:b/>
          <w:smallCaps/>
          <w:sz w:val="22"/>
          <w:szCs w:val="22"/>
          <w:lang w:val="nl-BE"/>
        </w:rPr>
      </w:pPr>
      <w:r w:rsidRPr="005F6D01">
        <w:rPr>
          <w:smallCaps/>
          <w:sz w:val="22"/>
          <w:szCs w:val="22"/>
          <w:lang w:val="nl-BE"/>
        </w:rPr>
        <w:t>vlaams minister van financiën, begroting, werk, ruimtelijke ordening en sport</w:t>
      </w:r>
      <w:r w:rsidRPr="005F6D01">
        <w:rPr>
          <w:b/>
          <w:smallCaps/>
          <w:sz w:val="22"/>
          <w:szCs w:val="22"/>
          <w:lang w:val="nl-BE"/>
        </w:rPr>
        <w:t xml:space="preserve"> </w:t>
      </w:r>
    </w:p>
    <w:p w:rsidR="001D1CB5" w:rsidRPr="006E7BC2" w:rsidRDefault="001D1CB5" w:rsidP="00E07C92">
      <w:pPr>
        <w:pStyle w:val="StandaardSV"/>
        <w:pBdr>
          <w:bottom w:val="single" w:sz="4" w:space="1" w:color="auto"/>
        </w:pBdr>
        <w:rPr>
          <w:lang w:val="nl-BE"/>
        </w:rPr>
      </w:pPr>
    </w:p>
    <w:p w:rsidR="001D1CB5" w:rsidRDefault="001D1CB5" w:rsidP="00E07C92">
      <w:pPr>
        <w:jc w:val="both"/>
        <w:rPr>
          <w:sz w:val="22"/>
        </w:rPr>
      </w:pPr>
    </w:p>
    <w:p w:rsidR="00037F08" w:rsidRDefault="00AE556D" w:rsidP="00E07C92">
      <w:pPr>
        <w:jc w:val="both"/>
        <w:rPr>
          <w:sz w:val="22"/>
        </w:rPr>
      </w:pPr>
      <w:r w:rsidRPr="00AE556D">
        <w:rPr>
          <w:rFonts w:ascii="Times New Roman Vet" w:hAnsi="Times New Roman Vet"/>
          <w:b/>
          <w:smallCaps/>
          <w:sz w:val="22"/>
        </w:rPr>
        <w:t>antwoord</w:t>
      </w:r>
      <w:r>
        <w:rPr>
          <w:sz w:val="22"/>
        </w:rPr>
        <w:t xml:space="preserve"> </w:t>
      </w:r>
    </w:p>
    <w:p w:rsidR="00342A61" w:rsidRDefault="00342A61" w:rsidP="00E07C92">
      <w:pPr>
        <w:jc w:val="both"/>
        <w:rPr>
          <w:sz w:val="22"/>
        </w:rPr>
      </w:pPr>
      <w:r>
        <w:rPr>
          <w:sz w:val="22"/>
        </w:rPr>
        <w:t>op vraag nr.515</w:t>
      </w:r>
      <w:r w:rsidR="007E161B">
        <w:rPr>
          <w:sz w:val="22"/>
        </w:rPr>
        <w:t xml:space="preserve">van </w:t>
      </w:r>
      <w:r w:rsidR="0017627F">
        <w:rPr>
          <w:sz w:val="22"/>
        </w:rPr>
        <w:t>13 maart 2014</w:t>
      </w:r>
      <w:r w:rsidR="00037F08">
        <w:rPr>
          <w:sz w:val="22"/>
        </w:rPr>
        <w:t xml:space="preserve"> </w:t>
      </w:r>
    </w:p>
    <w:p w:rsidR="007E161B" w:rsidRDefault="007E161B" w:rsidP="00E07C92">
      <w:pPr>
        <w:jc w:val="both"/>
        <w:rPr>
          <w:b/>
          <w:sz w:val="22"/>
        </w:rPr>
      </w:pPr>
      <w:r>
        <w:rPr>
          <w:sz w:val="22"/>
        </w:rPr>
        <w:t xml:space="preserve">van </w:t>
      </w:r>
      <w:proofErr w:type="spellStart"/>
      <w:r w:rsidR="0017627F">
        <w:rPr>
          <w:b/>
          <w:smallCaps/>
          <w:sz w:val="22"/>
        </w:rPr>
        <w:t>bart</w:t>
      </w:r>
      <w:proofErr w:type="spellEnd"/>
      <w:r w:rsidR="0017627F">
        <w:rPr>
          <w:b/>
          <w:smallCaps/>
          <w:sz w:val="22"/>
        </w:rPr>
        <w:t xml:space="preserve"> </w:t>
      </w:r>
      <w:proofErr w:type="spellStart"/>
      <w:r w:rsidR="0017627F">
        <w:rPr>
          <w:b/>
          <w:smallCaps/>
          <w:sz w:val="22"/>
        </w:rPr>
        <w:t>martens</w:t>
      </w:r>
      <w:proofErr w:type="spellEnd"/>
    </w:p>
    <w:p w:rsidR="007E161B" w:rsidRDefault="007E161B" w:rsidP="00E07C92">
      <w:pPr>
        <w:pBdr>
          <w:bottom w:val="single" w:sz="4" w:space="1" w:color="auto"/>
        </w:pBdr>
        <w:jc w:val="both"/>
        <w:rPr>
          <w:sz w:val="22"/>
        </w:rPr>
      </w:pPr>
    </w:p>
    <w:p w:rsidR="007E161B" w:rsidRDefault="007E161B" w:rsidP="00E07C92">
      <w:pPr>
        <w:pStyle w:val="StandaardSV"/>
      </w:pPr>
    </w:p>
    <w:p w:rsidR="00E95BC8" w:rsidRDefault="00E95BC8" w:rsidP="00342A61">
      <w:pPr>
        <w:pStyle w:val="StandaardSV"/>
      </w:pPr>
    </w:p>
    <w:p w:rsidR="00786BF1" w:rsidRDefault="00342A61" w:rsidP="00342A61">
      <w:pPr>
        <w:pStyle w:val="StandaardSV"/>
        <w:ind w:left="426" w:hanging="426"/>
      </w:pPr>
      <w:r>
        <w:t xml:space="preserve">1+2. </w:t>
      </w:r>
      <w:r w:rsidR="00227C2C">
        <w:t xml:space="preserve">De </w:t>
      </w:r>
      <w:r w:rsidR="00786BF1">
        <w:t>ruimte</w:t>
      </w:r>
      <w:r w:rsidR="00227C2C">
        <w:t>begroting</w:t>
      </w:r>
      <w:r w:rsidR="00786BF1">
        <w:t xml:space="preserve"> uit het RSV</w:t>
      </w:r>
      <w:r w:rsidR="00227C2C">
        <w:t xml:space="preserve"> legt streefcijfers vast voor de toe- en afnamen van de oppervla</w:t>
      </w:r>
      <w:r w:rsidR="00227C2C">
        <w:t>k</w:t>
      </w:r>
      <w:r w:rsidR="00227C2C">
        <w:t>ten van de verschi</w:t>
      </w:r>
      <w:r w:rsidR="00786BF1">
        <w:t xml:space="preserve">llende bestemmingscategorieën. </w:t>
      </w:r>
      <w:r w:rsidR="00227C2C">
        <w:t>De “ruimteboekhouding RSV” is het monit</w:t>
      </w:r>
      <w:r w:rsidR="00227C2C">
        <w:t>o</w:t>
      </w:r>
      <w:r w:rsidR="00227C2C">
        <w:t>ringsinstrument waarmee de</w:t>
      </w:r>
      <w:r w:rsidR="00786BF1">
        <w:t>ze</w:t>
      </w:r>
      <w:r w:rsidR="00227C2C">
        <w:t xml:space="preserve"> </w:t>
      </w:r>
      <w:r w:rsidR="00786BF1">
        <w:t>evolutie</w:t>
      </w:r>
      <w:r w:rsidR="00227C2C">
        <w:t xml:space="preserve"> berekend wordt. Het is een beleidsindicator van gepland landg</w:t>
      </w:r>
      <w:r w:rsidR="00227C2C">
        <w:t>e</w:t>
      </w:r>
      <w:r w:rsidR="00227C2C">
        <w:t xml:space="preserve">bruik, bijgevolg geeft die geen informatie over het feitelijke ruimtegebruik weer. </w:t>
      </w:r>
    </w:p>
    <w:p w:rsidR="00786BF1" w:rsidRDefault="00786BF1" w:rsidP="00227C2C">
      <w:pPr>
        <w:pStyle w:val="StandaardSV"/>
      </w:pPr>
    </w:p>
    <w:p w:rsidR="00786BF1" w:rsidRDefault="00227C2C" w:rsidP="00342A61">
      <w:pPr>
        <w:pStyle w:val="StandaardSV"/>
        <w:ind w:left="426"/>
      </w:pPr>
      <w:r>
        <w:t>Deze indicator wordt halfjaarlijks berekend, telkens voor toestand 1 januari en voor toestand 1 j</w:t>
      </w:r>
      <w:r>
        <w:t>u</w:t>
      </w:r>
      <w:r>
        <w:t xml:space="preserve">li van het kalenderjaar. Het </w:t>
      </w:r>
      <w:r w:rsidR="00C64E8A">
        <w:t xml:space="preserve">berekend </w:t>
      </w:r>
      <w:r>
        <w:t xml:space="preserve">resultaat komt telkens enkele maanden na de </w:t>
      </w:r>
      <w:r w:rsidR="000F0E85">
        <w:t>toestandsd</w:t>
      </w:r>
      <w:r w:rsidR="000F0E85">
        <w:t>a</w:t>
      </w:r>
      <w:r w:rsidR="000F0E85">
        <w:t>tum</w:t>
      </w:r>
      <w:r>
        <w:t xml:space="preserve"> ter beschikking, om</w:t>
      </w:r>
      <w:r w:rsidR="00C64E8A">
        <w:t xml:space="preserve">wille van de </w:t>
      </w:r>
      <w:r>
        <w:t>tijd</w:t>
      </w:r>
      <w:r w:rsidR="00C64E8A">
        <w:t xml:space="preserve"> die het</w:t>
      </w:r>
      <w:r>
        <w:t xml:space="preserve"> vergt om al de betrokken gemeentelijke en pr</w:t>
      </w:r>
      <w:r>
        <w:t>o</w:t>
      </w:r>
      <w:r>
        <w:t>vinciale plannen in een geschikt formaat te verzamelen, in te kijken en te interpreteren.</w:t>
      </w:r>
      <w:r w:rsidR="00786BF1">
        <w:t xml:space="preserve"> </w:t>
      </w:r>
      <w:r w:rsidR="006547D0">
        <w:t>De ein</w:t>
      </w:r>
      <w:r w:rsidR="006547D0">
        <w:t>d</w:t>
      </w:r>
      <w:r w:rsidR="006547D0">
        <w:t>afwerking van de ber</w:t>
      </w:r>
      <w:r w:rsidR="006547D0">
        <w:t>e</w:t>
      </w:r>
      <w:r w:rsidR="006547D0">
        <w:t xml:space="preserve">kening van toestand 1/1/2014 wordt tegen eind april verwacht. </w:t>
      </w:r>
    </w:p>
    <w:p w:rsidR="00786BF1" w:rsidRDefault="00786BF1" w:rsidP="00227C2C">
      <w:pPr>
        <w:pStyle w:val="StandaardSV"/>
      </w:pPr>
    </w:p>
    <w:p w:rsidR="00227C2C" w:rsidRDefault="00227C2C" w:rsidP="00342A61">
      <w:pPr>
        <w:pStyle w:val="StandaardSV"/>
        <w:ind w:left="426"/>
      </w:pPr>
      <w:r>
        <w:t xml:space="preserve">De </w:t>
      </w:r>
      <w:r w:rsidR="00EF7AF5">
        <w:t>recentste</w:t>
      </w:r>
      <w:r>
        <w:t xml:space="preserve"> berekende indicator geeft</w:t>
      </w:r>
      <w:r w:rsidR="006547D0">
        <w:t xml:space="preserve"> bijgevol</w:t>
      </w:r>
      <w:r w:rsidR="00786BF1">
        <w:t>g de situatie op 1/7/2013 weer:</w:t>
      </w:r>
    </w:p>
    <w:p w:rsidR="000F0E85" w:rsidRDefault="000F0E85" w:rsidP="00227C2C">
      <w:pPr>
        <w:pStyle w:val="StandaardSV"/>
      </w:pPr>
    </w:p>
    <w:tbl>
      <w:tblPr>
        <w:tblpPr w:leftFromText="141" w:rightFromText="141" w:bottomFromText="200" w:vertAnchor="text" w:horzAnchor="margin" w:tblpY="88"/>
        <w:tblW w:w="8859" w:type="dxa"/>
        <w:shd w:val="clear" w:color="auto" w:fill="000000"/>
        <w:tblCellMar>
          <w:left w:w="0" w:type="dxa"/>
          <w:right w:w="0" w:type="dxa"/>
        </w:tblCellMar>
        <w:tblLook w:val="04A0" w:firstRow="1" w:lastRow="0" w:firstColumn="1" w:lastColumn="0" w:noHBand="0" w:noVBand="1"/>
      </w:tblPr>
      <w:tblGrid>
        <w:gridCol w:w="1488"/>
        <w:gridCol w:w="1276"/>
        <w:gridCol w:w="1134"/>
        <w:gridCol w:w="1134"/>
        <w:gridCol w:w="1134"/>
        <w:gridCol w:w="1275"/>
        <w:gridCol w:w="1418"/>
      </w:tblGrid>
      <w:tr w:rsidR="000F0E85" w:rsidRPr="000F0E85" w:rsidTr="003F228F">
        <w:trPr>
          <w:trHeight w:val="255"/>
        </w:trPr>
        <w:tc>
          <w:tcPr>
            <w:tcW w:w="1488" w:type="dxa"/>
            <w:tcBorders>
              <w:top w:val="nil"/>
              <w:left w:val="nil"/>
              <w:bottom w:val="single" w:sz="8" w:space="0" w:color="auto"/>
              <w:right w:val="nil"/>
            </w:tcBorders>
            <w:shd w:val="clear" w:color="auto" w:fill="000000"/>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b/>
                <w:kern w:val="2"/>
                <w:sz w:val="20"/>
                <w:lang w:eastAsia="en-US"/>
              </w:rPr>
            </w:pPr>
            <w:r w:rsidRPr="000F0E85">
              <w:rPr>
                <w:b/>
                <w:sz w:val="20"/>
              </w:rPr>
              <w:t>bestemmings-categorie</w:t>
            </w:r>
          </w:p>
        </w:tc>
        <w:tc>
          <w:tcPr>
            <w:tcW w:w="1276" w:type="dxa"/>
            <w:tcBorders>
              <w:top w:val="nil"/>
              <w:left w:val="nil"/>
              <w:bottom w:val="single" w:sz="8" w:space="0" w:color="auto"/>
              <w:right w:val="nil"/>
            </w:tcBorders>
            <w:shd w:val="clear" w:color="auto" w:fill="000000"/>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b/>
                <w:kern w:val="2"/>
                <w:sz w:val="20"/>
                <w:lang w:eastAsia="en-US"/>
              </w:rPr>
            </w:pPr>
            <w:r w:rsidRPr="000F0E85">
              <w:rPr>
                <w:b/>
                <w:sz w:val="20"/>
              </w:rPr>
              <w:t>totaal 1/1/1994</w:t>
            </w:r>
          </w:p>
        </w:tc>
        <w:tc>
          <w:tcPr>
            <w:tcW w:w="1134" w:type="dxa"/>
            <w:tcBorders>
              <w:top w:val="nil"/>
              <w:left w:val="nil"/>
              <w:bottom w:val="single" w:sz="8" w:space="0" w:color="auto"/>
              <w:right w:val="nil"/>
            </w:tcBorders>
            <w:shd w:val="clear" w:color="auto" w:fill="000000"/>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b/>
                <w:kern w:val="2"/>
                <w:sz w:val="20"/>
                <w:lang w:eastAsia="en-US"/>
              </w:rPr>
            </w:pPr>
            <w:r w:rsidRPr="000F0E85">
              <w:rPr>
                <w:b/>
                <w:sz w:val="20"/>
              </w:rPr>
              <w:t>totaal 1/1/2007</w:t>
            </w:r>
          </w:p>
        </w:tc>
        <w:tc>
          <w:tcPr>
            <w:tcW w:w="1134" w:type="dxa"/>
            <w:tcBorders>
              <w:top w:val="nil"/>
              <w:left w:val="nil"/>
              <w:bottom w:val="single" w:sz="8" w:space="0" w:color="auto"/>
              <w:right w:val="nil"/>
            </w:tcBorders>
            <w:shd w:val="clear" w:color="auto" w:fill="000000"/>
            <w:tcMar>
              <w:top w:w="0" w:type="dxa"/>
              <w:left w:w="70" w:type="dxa"/>
              <w:bottom w:w="0" w:type="dxa"/>
              <w:right w:w="70" w:type="dxa"/>
            </w:tcMar>
            <w:hideMark/>
          </w:tcPr>
          <w:p w:rsidR="000F0E85" w:rsidRPr="000F0E85" w:rsidRDefault="0075603B" w:rsidP="000F0E85">
            <w:pPr>
              <w:suppressAutoHyphens/>
              <w:spacing w:after="60" w:line="300" w:lineRule="atLeast"/>
              <w:jc w:val="both"/>
              <w:rPr>
                <w:rFonts w:eastAsia="Calibri"/>
                <w:b/>
                <w:kern w:val="2"/>
                <w:sz w:val="20"/>
                <w:lang w:eastAsia="en-US"/>
              </w:rPr>
            </w:pPr>
            <w:r>
              <w:rPr>
                <w:b/>
                <w:sz w:val="20"/>
              </w:rPr>
              <w:t>totaal 1/7</w:t>
            </w:r>
            <w:r w:rsidR="000F0E85" w:rsidRPr="000F0E85">
              <w:rPr>
                <w:b/>
                <w:sz w:val="20"/>
              </w:rPr>
              <w:t>/2013</w:t>
            </w:r>
          </w:p>
        </w:tc>
        <w:tc>
          <w:tcPr>
            <w:tcW w:w="1134" w:type="dxa"/>
            <w:tcBorders>
              <w:top w:val="nil"/>
              <w:left w:val="nil"/>
              <w:bottom w:val="single" w:sz="8" w:space="0" w:color="auto"/>
              <w:right w:val="nil"/>
            </w:tcBorders>
            <w:shd w:val="clear" w:color="auto" w:fill="000000"/>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b/>
                <w:kern w:val="2"/>
                <w:sz w:val="20"/>
                <w:lang w:eastAsia="en-US"/>
              </w:rPr>
            </w:pPr>
            <w:r w:rsidRPr="000F0E85">
              <w:rPr>
                <w:b/>
                <w:sz w:val="20"/>
              </w:rPr>
              <w:t xml:space="preserve">saldo 1/1/1994 </w:t>
            </w:r>
            <w:r w:rsidR="0075603B">
              <w:rPr>
                <w:b/>
                <w:sz w:val="20"/>
              </w:rPr>
              <w:t>-1/7</w:t>
            </w:r>
            <w:r w:rsidRPr="000F0E85">
              <w:rPr>
                <w:b/>
                <w:sz w:val="20"/>
              </w:rPr>
              <w:t>/2013</w:t>
            </w:r>
          </w:p>
        </w:tc>
        <w:tc>
          <w:tcPr>
            <w:tcW w:w="1275" w:type="dxa"/>
            <w:tcBorders>
              <w:top w:val="nil"/>
              <w:left w:val="nil"/>
              <w:bottom w:val="single" w:sz="8" w:space="0" w:color="auto"/>
              <w:right w:val="nil"/>
            </w:tcBorders>
            <w:shd w:val="clear" w:color="auto" w:fill="000000"/>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b/>
                <w:kern w:val="2"/>
                <w:sz w:val="20"/>
                <w:lang w:eastAsia="en-US"/>
              </w:rPr>
            </w:pPr>
            <w:r w:rsidRPr="000F0E85">
              <w:rPr>
                <w:b/>
                <w:sz w:val="20"/>
              </w:rPr>
              <w:t xml:space="preserve">streefcijfer RSV </w:t>
            </w:r>
          </w:p>
        </w:tc>
        <w:tc>
          <w:tcPr>
            <w:tcW w:w="1418" w:type="dxa"/>
            <w:tcBorders>
              <w:top w:val="nil"/>
              <w:left w:val="nil"/>
              <w:bottom w:val="single" w:sz="8" w:space="0" w:color="auto"/>
              <w:right w:val="nil"/>
            </w:tcBorders>
            <w:shd w:val="clear" w:color="auto" w:fill="000000"/>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b/>
                <w:kern w:val="2"/>
                <w:sz w:val="20"/>
                <w:lang w:eastAsia="en-US"/>
              </w:rPr>
            </w:pPr>
            <w:r w:rsidRPr="000F0E85">
              <w:rPr>
                <w:b/>
                <w:sz w:val="20"/>
              </w:rPr>
              <w:t>evolutie van saldo  richting streefcijfer</w:t>
            </w:r>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Wonen</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227.500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227.400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3D4E7F">
            <w:pPr>
              <w:suppressAutoHyphens/>
              <w:spacing w:after="60" w:line="300" w:lineRule="atLeast"/>
              <w:jc w:val="right"/>
              <w:rPr>
                <w:kern w:val="2"/>
                <w:sz w:val="20"/>
                <w:lang w:eastAsia="ar-SA"/>
              </w:rPr>
            </w:pPr>
            <w:r w:rsidRPr="000F0E85">
              <w:rPr>
                <w:sz w:val="20"/>
              </w:rPr>
              <w:t>227.</w:t>
            </w:r>
            <w:r w:rsidR="003D4E7F" w:rsidRPr="003D4E7F">
              <w:rPr>
                <w:sz w:val="20"/>
              </w:rPr>
              <w:t>6</w:t>
            </w:r>
            <w:r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10</w:t>
            </w:r>
            <w:r w:rsidR="000F0E85" w:rsidRPr="000F0E85">
              <w:rPr>
                <w:sz w:val="20"/>
              </w:rPr>
              <w:t>0</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227.500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kern w:val="2"/>
                <w:sz w:val="20"/>
                <w:lang w:eastAsia="en-US"/>
              </w:rPr>
            </w:pPr>
            <w:proofErr w:type="spellStart"/>
            <w:r w:rsidRPr="000F0E85">
              <w:rPr>
                <w:sz w:val="20"/>
              </w:rPr>
              <w:t>nvt</w:t>
            </w:r>
            <w:proofErr w:type="spellEnd"/>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Recreatie</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18.300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19.200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3D4E7F" w:rsidP="000F0E85">
            <w:pPr>
              <w:suppressAutoHyphens/>
              <w:spacing w:after="60" w:line="300" w:lineRule="atLeast"/>
              <w:jc w:val="right"/>
              <w:rPr>
                <w:kern w:val="2"/>
                <w:sz w:val="20"/>
                <w:lang w:eastAsia="ar-SA"/>
              </w:rPr>
            </w:pPr>
            <w:r w:rsidRPr="003D4E7F">
              <w:rPr>
                <w:sz w:val="20"/>
              </w:rPr>
              <w:t>20.3</w:t>
            </w:r>
            <w:r w:rsidR="000F0E85"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2.000</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21.000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both"/>
              <w:rPr>
                <w:rFonts w:eastAsia="Calibri"/>
                <w:kern w:val="2"/>
                <w:sz w:val="20"/>
                <w:lang w:eastAsia="en-US"/>
              </w:rPr>
            </w:pPr>
            <w:r w:rsidRPr="0075603B">
              <w:rPr>
                <w:rFonts w:eastAsia="Calibri"/>
                <w:sz w:val="20"/>
                <w:lang w:eastAsia="en-US"/>
              </w:rPr>
              <w:t>74</w:t>
            </w:r>
            <w:r w:rsidR="000F0E85" w:rsidRPr="000F0E85">
              <w:rPr>
                <w:rFonts w:eastAsia="Calibri"/>
                <w:sz w:val="20"/>
                <w:lang w:eastAsia="en-US"/>
              </w:rPr>
              <w:t>%</w:t>
            </w:r>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Natuur</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111.100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122.500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3D4E7F" w:rsidP="003D4E7F">
            <w:pPr>
              <w:suppressAutoHyphens/>
              <w:spacing w:after="60" w:line="300" w:lineRule="atLeast"/>
              <w:jc w:val="right"/>
              <w:rPr>
                <w:kern w:val="2"/>
                <w:sz w:val="20"/>
                <w:lang w:eastAsia="ar-SA"/>
              </w:rPr>
            </w:pPr>
            <w:r w:rsidRPr="003D4E7F">
              <w:rPr>
                <w:sz w:val="20"/>
              </w:rPr>
              <w:t>127</w:t>
            </w:r>
            <w:r w:rsidR="000F0E85" w:rsidRPr="000F0E85">
              <w:rPr>
                <w:sz w:val="20"/>
              </w:rPr>
              <w:t>.</w:t>
            </w:r>
            <w:r w:rsidRPr="003D4E7F">
              <w:rPr>
                <w:sz w:val="20"/>
              </w:rPr>
              <w:t>2</w:t>
            </w:r>
            <w:r w:rsidR="000F0E85"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Pr>
                <w:sz w:val="20"/>
              </w:rPr>
              <w:t>16.100</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150.000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both"/>
              <w:rPr>
                <w:rFonts w:eastAsia="Calibri"/>
                <w:kern w:val="2"/>
                <w:sz w:val="20"/>
                <w:lang w:eastAsia="en-US"/>
              </w:rPr>
            </w:pPr>
            <w:r w:rsidRPr="0075603B">
              <w:rPr>
                <w:rFonts w:eastAsia="Calibri"/>
                <w:sz w:val="20"/>
                <w:lang w:eastAsia="en-US"/>
              </w:rPr>
              <w:t>41</w:t>
            </w:r>
            <w:r w:rsidR="000F0E85" w:rsidRPr="000F0E85">
              <w:rPr>
                <w:rFonts w:eastAsia="Calibri"/>
                <w:sz w:val="20"/>
                <w:lang w:eastAsia="en-US"/>
              </w:rPr>
              <w:t>%</w:t>
            </w:r>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Overig groen</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35.300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34.300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3D4E7F" w:rsidP="000F0E85">
            <w:pPr>
              <w:suppressAutoHyphens/>
              <w:spacing w:after="60" w:line="300" w:lineRule="atLeast"/>
              <w:jc w:val="right"/>
              <w:rPr>
                <w:kern w:val="2"/>
                <w:sz w:val="20"/>
                <w:lang w:eastAsia="ar-SA"/>
              </w:rPr>
            </w:pPr>
            <w:r w:rsidRPr="003D4E7F">
              <w:rPr>
                <w:sz w:val="20"/>
              </w:rPr>
              <w:t>33.8</w:t>
            </w:r>
            <w:r w:rsidR="000F0E85"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-1.500</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34.000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kern w:val="2"/>
                <w:sz w:val="20"/>
                <w:lang w:eastAsia="en-US"/>
              </w:rPr>
            </w:pPr>
            <w:proofErr w:type="spellStart"/>
            <w:r w:rsidRPr="000F0E85">
              <w:rPr>
                <w:sz w:val="20"/>
              </w:rPr>
              <w:t>nvt</w:t>
            </w:r>
            <w:proofErr w:type="spellEnd"/>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Bos</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42.300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44.300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3D4E7F" w:rsidP="000F0E85">
            <w:pPr>
              <w:suppressAutoHyphens/>
              <w:spacing w:after="60" w:line="300" w:lineRule="atLeast"/>
              <w:jc w:val="right"/>
              <w:rPr>
                <w:kern w:val="2"/>
                <w:sz w:val="20"/>
                <w:lang w:eastAsia="ar-SA"/>
              </w:rPr>
            </w:pPr>
            <w:r w:rsidRPr="003D4E7F">
              <w:rPr>
                <w:sz w:val="20"/>
              </w:rPr>
              <w:t>44.8</w:t>
            </w:r>
            <w:r w:rsidR="000F0E85"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2.5</w:t>
            </w:r>
            <w:r w:rsidR="000F0E85" w:rsidRPr="000F0E85">
              <w:rPr>
                <w:sz w:val="20"/>
              </w:rPr>
              <w:t>00</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53.000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both"/>
              <w:rPr>
                <w:rFonts w:eastAsia="Calibri"/>
                <w:kern w:val="2"/>
                <w:sz w:val="20"/>
                <w:lang w:eastAsia="en-US"/>
              </w:rPr>
            </w:pPr>
            <w:r w:rsidRPr="0075603B">
              <w:rPr>
                <w:rFonts w:eastAsia="Calibri"/>
                <w:sz w:val="20"/>
                <w:lang w:eastAsia="en-US"/>
              </w:rPr>
              <w:t>23</w:t>
            </w:r>
            <w:r w:rsidR="000F0E85" w:rsidRPr="000F0E85">
              <w:rPr>
                <w:rFonts w:eastAsia="Calibri"/>
                <w:sz w:val="20"/>
                <w:lang w:eastAsia="en-US"/>
              </w:rPr>
              <w:t>%</w:t>
            </w:r>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Landbouw</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807.600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794.500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3D4E7F" w:rsidP="000F0E85">
            <w:pPr>
              <w:suppressAutoHyphens/>
              <w:spacing w:after="60" w:line="300" w:lineRule="atLeast"/>
              <w:jc w:val="right"/>
              <w:rPr>
                <w:kern w:val="2"/>
                <w:sz w:val="20"/>
                <w:lang w:eastAsia="ar-SA"/>
              </w:rPr>
            </w:pPr>
            <w:r w:rsidRPr="003D4E7F">
              <w:rPr>
                <w:sz w:val="20"/>
              </w:rPr>
              <w:t>787.0</w:t>
            </w:r>
            <w:r w:rsidR="000F0E85"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-20.6</w:t>
            </w:r>
            <w:r w:rsidR="000F0E85" w:rsidRPr="000F0E85">
              <w:rPr>
                <w:sz w:val="20"/>
              </w:rPr>
              <w:t>00</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750.000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rFonts w:eastAsia="Calibri"/>
                <w:sz w:val="20"/>
                <w:lang w:eastAsia="en-US"/>
              </w:rPr>
              <w:t>36%</w:t>
            </w:r>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Industrie - buiten poorten</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39.100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42.400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45.200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6.1</w:t>
            </w:r>
            <w:r w:rsidR="000F0E85" w:rsidRPr="000F0E85">
              <w:rPr>
                <w:sz w:val="20"/>
              </w:rPr>
              <w:t>00</w:t>
            </w:r>
          </w:p>
        </w:tc>
        <w:tc>
          <w:tcPr>
            <w:tcW w:w="1275"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66.000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both"/>
              <w:rPr>
                <w:rFonts w:eastAsia="Calibri"/>
                <w:kern w:val="2"/>
                <w:sz w:val="20"/>
                <w:lang w:eastAsia="en-US"/>
              </w:rPr>
            </w:pPr>
            <w:r w:rsidRPr="0075603B">
              <w:rPr>
                <w:rFonts w:eastAsia="Calibri"/>
                <w:sz w:val="20"/>
                <w:lang w:eastAsia="en-US"/>
              </w:rPr>
              <w:t>62</w:t>
            </w:r>
            <w:r w:rsidR="000F0E85" w:rsidRPr="000F0E85">
              <w:rPr>
                <w:rFonts w:eastAsia="Calibri"/>
                <w:sz w:val="20"/>
                <w:lang w:eastAsia="en-US"/>
              </w:rPr>
              <w:t>%</w:t>
            </w:r>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Industrie - poorten</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17.200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17.100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17.3</w:t>
            </w:r>
            <w:r w:rsidR="000F0E85"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100</w:t>
            </w:r>
          </w:p>
        </w:tc>
        <w:tc>
          <w:tcPr>
            <w:tcW w:w="0" w:type="auto"/>
            <w:vMerge/>
            <w:tcBorders>
              <w:top w:val="nil"/>
              <w:left w:val="nil"/>
              <w:bottom w:val="single" w:sz="8" w:space="0" w:color="auto"/>
              <w:right w:val="single" w:sz="8" w:space="0" w:color="auto"/>
            </w:tcBorders>
            <w:shd w:val="clear" w:color="auto" w:fill="000000"/>
            <w:vAlign w:val="center"/>
            <w:hideMark/>
          </w:tcPr>
          <w:p w:rsidR="000F0E85" w:rsidRPr="000F0E85" w:rsidRDefault="000F0E85" w:rsidP="000F0E85">
            <w:pPr>
              <w:rPr>
                <w:rFonts w:eastAsia="Calibri"/>
                <w:kern w:val="2"/>
                <w:sz w:val="20"/>
                <w:lang w:eastAsia="en-US"/>
              </w:rPr>
            </w:pP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kern w:val="2"/>
                <w:sz w:val="20"/>
                <w:lang w:eastAsia="en-US"/>
              </w:rPr>
            </w:pPr>
            <w:proofErr w:type="spellStart"/>
            <w:r w:rsidRPr="000F0E85">
              <w:rPr>
                <w:sz w:val="20"/>
              </w:rPr>
              <w:t>nvt</w:t>
            </w:r>
            <w:proofErr w:type="spellEnd"/>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Overige</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60.200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kern w:val="2"/>
                <w:sz w:val="20"/>
                <w:lang w:eastAsia="ar-SA"/>
              </w:rPr>
            </w:pPr>
            <w:r w:rsidRPr="000F0E85">
              <w:rPr>
                <w:sz w:val="20"/>
              </w:rPr>
              <w:t>57.800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56.4</w:t>
            </w:r>
            <w:r w:rsidR="000F0E85"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kern w:val="2"/>
                <w:sz w:val="20"/>
                <w:lang w:eastAsia="ar-SA"/>
              </w:rPr>
            </w:pPr>
            <w:r w:rsidRPr="0075603B">
              <w:rPr>
                <w:sz w:val="20"/>
              </w:rPr>
              <w:t>-38</w:t>
            </w:r>
            <w:r w:rsidR="000F0E85" w:rsidRPr="000F0E85">
              <w:rPr>
                <w:sz w:val="20"/>
              </w:rPr>
              <w:t>00</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58.000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0F0E85" w:rsidP="000F0E85">
            <w:pPr>
              <w:suppressAutoHyphens/>
              <w:spacing w:after="60" w:line="300" w:lineRule="atLeast"/>
              <w:jc w:val="both"/>
              <w:rPr>
                <w:rFonts w:eastAsia="Calibri"/>
                <w:kern w:val="2"/>
                <w:sz w:val="20"/>
                <w:lang w:eastAsia="en-US"/>
              </w:rPr>
            </w:pPr>
            <w:proofErr w:type="spellStart"/>
            <w:r w:rsidRPr="000F0E85">
              <w:rPr>
                <w:sz w:val="20"/>
              </w:rPr>
              <w:t>nvt</w:t>
            </w:r>
            <w:proofErr w:type="spellEnd"/>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F0E85" w:rsidRPr="000F0E85" w:rsidRDefault="000F0E85" w:rsidP="000F0E85">
            <w:pPr>
              <w:suppressAutoHyphens/>
              <w:spacing w:after="60" w:line="300" w:lineRule="atLeast"/>
              <w:jc w:val="both"/>
              <w:rPr>
                <w:rFonts w:eastAsia="Calibri"/>
                <w:kern w:val="2"/>
                <w:sz w:val="20"/>
                <w:lang w:eastAsia="en-US"/>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0F0E85" w:rsidRPr="000F0E85" w:rsidRDefault="000F0E85" w:rsidP="000F0E85">
            <w:pPr>
              <w:suppressAutoHyphens/>
              <w:spacing w:after="60" w:line="300" w:lineRule="atLeast"/>
              <w:jc w:val="right"/>
              <w:rPr>
                <w:rFonts w:eastAsia="Calibri"/>
                <w:kern w:val="2"/>
                <w:sz w:val="20"/>
                <w:lang w:eastAsia="en-US"/>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0F0E85" w:rsidRPr="000F0E85" w:rsidRDefault="000F0E85" w:rsidP="000F0E85">
            <w:pPr>
              <w:suppressAutoHyphens/>
              <w:spacing w:after="60" w:line="300" w:lineRule="atLeast"/>
              <w:jc w:val="right"/>
              <w:rPr>
                <w:rFonts w:eastAsia="Calibri"/>
                <w:kern w:val="2"/>
                <w:sz w:val="20"/>
                <w:lang w:eastAsia="en-US"/>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0F0E85" w:rsidRPr="000F0E85" w:rsidRDefault="000F0E85" w:rsidP="000F0E85">
            <w:pPr>
              <w:suppressAutoHyphens/>
              <w:spacing w:after="60" w:line="300" w:lineRule="atLeast"/>
              <w:jc w:val="right"/>
              <w:rPr>
                <w:rFonts w:eastAsia="Calibri"/>
                <w:color w:val="C00000"/>
                <w:kern w:val="2"/>
                <w:sz w:val="20"/>
                <w:lang w:eastAsia="en-US"/>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0F0E85" w:rsidRPr="000F0E85" w:rsidRDefault="000F0E85" w:rsidP="000F0E85">
            <w:pPr>
              <w:suppressAutoHyphens/>
              <w:spacing w:after="60" w:line="300" w:lineRule="atLeast"/>
              <w:jc w:val="right"/>
              <w:rPr>
                <w:rFonts w:eastAsia="Calibri"/>
                <w:color w:val="C00000"/>
                <w:kern w:val="2"/>
                <w:sz w:val="20"/>
                <w:lang w:eastAsia="en-US"/>
              </w:rPr>
            </w:pP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F0E85" w:rsidRPr="000F0E85" w:rsidRDefault="000F0E85" w:rsidP="000F0E85">
            <w:pPr>
              <w:suppressAutoHyphens/>
              <w:spacing w:after="60" w:line="300" w:lineRule="atLeast"/>
              <w:jc w:val="right"/>
              <w:rPr>
                <w:rFonts w:eastAsia="Calibri"/>
                <w:kern w:val="2"/>
                <w:sz w:val="20"/>
                <w:lang w:eastAsia="en-US"/>
              </w:rPr>
            </w:pP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0F0E85" w:rsidRPr="000F0E85" w:rsidRDefault="000F0E85" w:rsidP="000F0E85">
            <w:pPr>
              <w:suppressAutoHyphens/>
              <w:spacing w:after="60" w:line="300" w:lineRule="atLeast"/>
              <w:jc w:val="both"/>
              <w:rPr>
                <w:rFonts w:eastAsia="Calibri"/>
                <w:kern w:val="2"/>
                <w:sz w:val="20"/>
                <w:lang w:eastAsia="en-US"/>
              </w:rPr>
            </w:pPr>
          </w:p>
        </w:tc>
      </w:tr>
      <w:tr w:rsidR="000F0E85" w:rsidRPr="000F0E85" w:rsidTr="003F228F">
        <w:trPr>
          <w:trHeight w:val="255"/>
        </w:trPr>
        <w:tc>
          <w:tcPr>
            <w:tcW w:w="14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F0E85" w:rsidRPr="000F0E85" w:rsidRDefault="000F0E85" w:rsidP="000F0E85">
            <w:pPr>
              <w:suppressAutoHyphens/>
              <w:spacing w:after="60" w:line="300" w:lineRule="atLeast"/>
              <w:jc w:val="both"/>
              <w:rPr>
                <w:rFonts w:eastAsia="Calibri"/>
                <w:kern w:val="2"/>
                <w:sz w:val="20"/>
                <w:lang w:eastAsia="en-US"/>
              </w:rPr>
            </w:pPr>
            <w:r w:rsidRPr="000F0E85">
              <w:rPr>
                <w:sz w:val="20"/>
              </w:rPr>
              <w:t>Totaal</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1.358.600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0F0E85" w:rsidRPr="000F0E85" w:rsidRDefault="000F0E85" w:rsidP="000F0E85">
            <w:pPr>
              <w:suppressAutoHyphens/>
              <w:spacing w:after="60" w:line="300" w:lineRule="atLeast"/>
              <w:jc w:val="right"/>
              <w:rPr>
                <w:rFonts w:eastAsia="Calibri"/>
                <w:kern w:val="2"/>
                <w:sz w:val="20"/>
                <w:lang w:eastAsia="en-US"/>
              </w:rPr>
            </w:pPr>
            <w:r w:rsidRPr="000F0E85">
              <w:rPr>
                <w:sz w:val="20"/>
              </w:rPr>
              <w:t>1.359.500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0F0E85" w:rsidRPr="000F0E85" w:rsidRDefault="0075603B" w:rsidP="000F0E85">
            <w:pPr>
              <w:suppressAutoHyphens/>
              <w:spacing w:after="60" w:line="300" w:lineRule="atLeast"/>
              <w:jc w:val="right"/>
              <w:rPr>
                <w:rFonts w:eastAsia="Calibri"/>
                <w:kern w:val="2"/>
                <w:sz w:val="20"/>
                <w:lang w:eastAsia="en-US"/>
              </w:rPr>
            </w:pPr>
            <w:r w:rsidRPr="0075603B">
              <w:rPr>
                <w:sz w:val="20"/>
              </w:rPr>
              <w:t>1.359.6</w:t>
            </w:r>
            <w:r w:rsidR="000F0E85" w:rsidRPr="000F0E85">
              <w:rPr>
                <w:sz w:val="20"/>
              </w:rPr>
              <w:t>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F0E85" w:rsidRPr="000F0E85" w:rsidRDefault="0075603B" w:rsidP="000F0E85">
            <w:pPr>
              <w:suppressAutoHyphens/>
              <w:spacing w:after="60" w:line="300" w:lineRule="atLeast"/>
              <w:jc w:val="right"/>
              <w:rPr>
                <w:rFonts w:eastAsia="Calibri"/>
                <w:kern w:val="2"/>
                <w:sz w:val="20"/>
                <w:lang w:eastAsia="en-US"/>
              </w:rPr>
            </w:pPr>
            <w:r w:rsidRPr="0075603B">
              <w:rPr>
                <w:sz w:val="20"/>
              </w:rPr>
              <w:t>+10</w:t>
            </w:r>
            <w:r w:rsidR="000F0E85" w:rsidRPr="000F0E85">
              <w:rPr>
                <w:sz w:val="20"/>
              </w:rPr>
              <w:t>00</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F0E85" w:rsidRPr="000F0E85" w:rsidRDefault="006A3F69" w:rsidP="000F0E85">
            <w:pPr>
              <w:suppressAutoHyphens/>
              <w:spacing w:after="60" w:line="300" w:lineRule="atLeast"/>
              <w:jc w:val="right"/>
              <w:rPr>
                <w:rFonts w:eastAsia="Calibri"/>
                <w:kern w:val="2"/>
                <w:sz w:val="20"/>
                <w:lang w:eastAsia="en-US"/>
              </w:rPr>
            </w:pPr>
            <w:r w:rsidRPr="000F0E85">
              <w:rPr>
                <w:sz w:val="20"/>
              </w:rPr>
              <w:t>1.359.500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0F0E85" w:rsidRPr="000F0E85" w:rsidRDefault="000F0E85" w:rsidP="000F0E85">
            <w:pPr>
              <w:suppressAutoHyphens/>
              <w:spacing w:after="60" w:line="300" w:lineRule="atLeast"/>
              <w:jc w:val="both"/>
              <w:rPr>
                <w:rFonts w:eastAsia="Calibri"/>
                <w:kern w:val="2"/>
                <w:sz w:val="20"/>
                <w:lang w:eastAsia="en-US"/>
              </w:rPr>
            </w:pPr>
          </w:p>
        </w:tc>
      </w:tr>
    </w:tbl>
    <w:p w:rsidR="000F0E85" w:rsidRDefault="000F0E85" w:rsidP="00227C2C">
      <w:pPr>
        <w:pStyle w:val="StandaardSV"/>
      </w:pPr>
    </w:p>
    <w:p w:rsidR="003D4E7F" w:rsidRDefault="003D4E7F" w:rsidP="00342A61">
      <w:pPr>
        <w:ind w:left="426"/>
        <w:jc w:val="both"/>
        <w:rPr>
          <w:sz w:val="22"/>
          <w:lang w:val="nl-BE"/>
        </w:rPr>
      </w:pPr>
      <w:r w:rsidRPr="003D4E7F">
        <w:rPr>
          <w:sz w:val="22"/>
          <w:lang w:val="nl-BE"/>
        </w:rPr>
        <w:t>Het totaalcijfer van Vlaanderen geeft de totale oppervlakte weer waarvoor een ruimtelijk vero</w:t>
      </w:r>
      <w:r w:rsidRPr="003D4E7F">
        <w:rPr>
          <w:sz w:val="22"/>
          <w:lang w:val="nl-BE"/>
        </w:rPr>
        <w:t>r</w:t>
      </w:r>
      <w:r w:rsidRPr="003D4E7F">
        <w:rPr>
          <w:sz w:val="22"/>
          <w:lang w:val="nl-BE"/>
        </w:rPr>
        <w:t xml:space="preserve">dend plan bestaat (gewestplan, APA, BPA, gewestelijke, provinciale en gemeentelijke RUP). Een verrekening in de ruimteboekhouding RSV gebeurt pas na de definitieve goedkeuring van een plan. </w:t>
      </w:r>
      <w:r w:rsidR="006547D0">
        <w:rPr>
          <w:sz w:val="22"/>
          <w:lang w:val="nl-BE"/>
        </w:rPr>
        <w:t>De</w:t>
      </w:r>
      <w:r>
        <w:rPr>
          <w:sz w:val="22"/>
          <w:lang w:val="nl-BE"/>
        </w:rPr>
        <w:t xml:space="preserve"> pla</w:t>
      </w:r>
      <w:r>
        <w:rPr>
          <w:sz w:val="22"/>
          <w:lang w:val="nl-BE"/>
        </w:rPr>
        <w:t>n</w:t>
      </w:r>
      <w:r>
        <w:rPr>
          <w:sz w:val="22"/>
          <w:lang w:val="nl-BE"/>
        </w:rPr>
        <w:t>ningsprocessen die na 01/07</w:t>
      </w:r>
      <w:r w:rsidRPr="003D4E7F">
        <w:rPr>
          <w:sz w:val="22"/>
          <w:lang w:val="nl-BE"/>
        </w:rPr>
        <w:t xml:space="preserve">/2013 afgerond zijn, zijn bijgevolg nog niet zichtbaar. </w:t>
      </w:r>
    </w:p>
    <w:p w:rsidR="006547D0" w:rsidRPr="003D4E7F" w:rsidRDefault="006547D0" w:rsidP="003D4E7F">
      <w:pPr>
        <w:jc w:val="both"/>
        <w:rPr>
          <w:i/>
          <w:color w:val="1F497D"/>
          <w:sz w:val="22"/>
          <w:lang w:val="nl-BE"/>
        </w:rPr>
      </w:pPr>
    </w:p>
    <w:p w:rsidR="000F0E85" w:rsidRPr="003D4E7F" w:rsidRDefault="000F0E85" w:rsidP="00227C2C">
      <w:pPr>
        <w:pStyle w:val="StandaardSV"/>
        <w:rPr>
          <w:lang w:val="nl-BE"/>
        </w:rPr>
      </w:pPr>
    </w:p>
    <w:p w:rsidR="00850537" w:rsidRPr="00850537" w:rsidRDefault="00850537" w:rsidP="00342A61">
      <w:pPr>
        <w:ind w:left="426"/>
        <w:jc w:val="both"/>
        <w:rPr>
          <w:sz w:val="22"/>
          <w:lang w:val="nl-BE"/>
        </w:rPr>
      </w:pPr>
      <w:r>
        <w:rPr>
          <w:sz w:val="22"/>
          <w:lang w:val="nl-BE"/>
        </w:rPr>
        <w:lastRenderedPageBreak/>
        <w:t>Opsplitsing per provincie</w:t>
      </w:r>
      <w:r w:rsidRPr="00850537">
        <w:rPr>
          <w:sz w:val="22"/>
          <w:lang w:val="nl-BE"/>
        </w:rPr>
        <w:t xml:space="preserve"> van de </w:t>
      </w:r>
      <w:r>
        <w:rPr>
          <w:sz w:val="22"/>
          <w:lang w:val="nl-BE"/>
        </w:rPr>
        <w:t xml:space="preserve">oppervlaktewijzigingen </w:t>
      </w:r>
      <w:r w:rsidRPr="00850537">
        <w:rPr>
          <w:sz w:val="22"/>
          <w:lang w:val="nl-BE"/>
        </w:rPr>
        <w:t>per bestemmingscategorie geeft voor toe</w:t>
      </w:r>
      <w:r>
        <w:rPr>
          <w:sz w:val="22"/>
          <w:lang w:val="nl-BE"/>
        </w:rPr>
        <w:t>stand 1/7</w:t>
      </w:r>
      <w:r w:rsidRPr="00850537">
        <w:rPr>
          <w:sz w:val="22"/>
          <w:lang w:val="nl-BE"/>
        </w:rPr>
        <w:t>/2013 t.o.v. de nulmeting van 1/1/1994  het volgende resultaat (</w:t>
      </w:r>
      <w:proofErr w:type="spellStart"/>
      <w:r w:rsidRPr="00850537">
        <w:rPr>
          <w:sz w:val="22"/>
          <w:lang w:val="nl-BE"/>
        </w:rPr>
        <w:t>opp</w:t>
      </w:r>
      <w:proofErr w:type="spellEnd"/>
      <w:r w:rsidRPr="00850537">
        <w:rPr>
          <w:sz w:val="22"/>
          <w:lang w:val="nl-BE"/>
        </w:rPr>
        <w:t xml:space="preserve"> in ha):</w:t>
      </w:r>
    </w:p>
    <w:p w:rsidR="00850537" w:rsidRPr="00850537" w:rsidRDefault="00850537" w:rsidP="00850537">
      <w:pPr>
        <w:jc w:val="both"/>
        <w:rPr>
          <w:sz w:val="22"/>
          <w:lang w:val="nl-B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1418"/>
        <w:gridCol w:w="1559"/>
        <w:gridCol w:w="1304"/>
        <w:gridCol w:w="1248"/>
      </w:tblGrid>
      <w:tr w:rsidR="00850537" w:rsidRPr="00850537" w:rsidTr="00786BF1">
        <w:tc>
          <w:tcPr>
            <w:tcW w:w="1951" w:type="dxa"/>
            <w:shd w:val="clear" w:color="auto" w:fill="auto"/>
          </w:tcPr>
          <w:p w:rsidR="00850537" w:rsidRPr="00850537" w:rsidRDefault="00850537" w:rsidP="00786BF1">
            <w:pPr>
              <w:jc w:val="center"/>
              <w:rPr>
                <w:rFonts w:eastAsia="Calibri"/>
                <w:b/>
                <w:sz w:val="20"/>
                <w:szCs w:val="22"/>
                <w:lang w:val="nl-BE"/>
              </w:rPr>
            </w:pPr>
            <w:r w:rsidRPr="00850537">
              <w:rPr>
                <w:rFonts w:eastAsia="Calibri"/>
                <w:b/>
                <w:sz w:val="20"/>
                <w:szCs w:val="22"/>
                <w:lang w:val="nl-BE"/>
              </w:rPr>
              <w:t>Bestemmings-categorie</w:t>
            </w:r>
          </w:p>
        </w:tc>
        <w:tc>
          <w:tcPr>
            <w:tcW w:w="1559" w:type="dxa"/>
            <w:shd w:val="clear" w:color="auto" w:fill="auto"/>
          </w:tcPr>
          <w:p w:rsidR="00850537" w:rsidRPr="00850537" w:rsidRDefault="00850537" w:rsidP="00786BF1">
            <w:pPr>
              <w:jc w:val="center"/>
              <w:rPr>
                <w:rFonts w:eastAsia="Calibri"/>
                <w:b/>
                <w:sz w:val="20"/>
                <w:szCs w:val="22"/>
                <w:lang w:val="nl-BE"/>
              </w:rPr>
            </w:pPr>
            <w:r w:rsidRPr="00850537">
              <w:rPr>
                <w:rFonts w:eastAsia="Calibri"/>
                <w:b/>
                <w:sz w:val="20"/>
                <w:szCs w:val="22"/>
                <w:lang w:val="nl-BE"/>
              </w:rPr>
              <w:t>West-Vlaanderen</w:t>
            </w:r>
          </w:p>
        </w:tc>
        <w:tc>
          <w:tcPr>
            <w:tcW w:w="1418" w:type="dxa"/>
            <w:shd w:val="clear" w:color="auto" w:fill="auto"/>
          </w:tcPr>
          <w:p w:rsidR="00850537" w:rsidRPr="00850537" w:rsidRDefault="00850537" w:rsidP="00786BF1">
            <w:pPr>
              <w:jc w:val="center"/>
              <w:rPr>
                <w:rFonts w:eastAsia="Calibri"/>
                <w:b/>
                <w:sz w:val="20"/>
                <w:szCs w:val="22"/>
                <w:lang w:val="nl-BE"/>
              </w:rPr>
            </w:pPr>
            <w:r w:rsidRPr="00850537">
              <w:rPr>
                <w:rFonts w:eastAsia="Calibri"/>
                <w:b/>
                <w:sz w:val="20"/>
                <w:szCs w:val="22"/>
                <w:lang w:val="nl-BE"/>
              </w:rPr>
              <w:t>Oost-Vlaanderen</w:t>
            </w:r>
          </w:p>
        </w:tc>
        <w:tc>
          <w:tcPr>
            <w:tcW w:w="1559" w:type="dxa"/>
            <w:shd w:val="clear" w:color="auto" w:fill="auto"/>
          </w:tcPr>
          <w:p w:rsidR="00850537" w:rsidRPr="00850537" w:rsidRDefault="00850537" w:rsidP="00786BF1">
            <w:pPr>
              <w:jc w:val="center"/>
              <w:rPr>
                <w:rFonts w:eastAsia="Calibri"/>
                <w:b/>
                <w:sz w:val="20"/>
                <w:szCs w:val="22"/>
                <w:lang w:val="nl-BE"/>
              </w:rPr>
            </w:pPr>
            <w:r w:rsidRPr="00850537">
              <w:rPr>
                <w:rFonts w:eastAsia="Calibri"/>
                <w:b/>
                <w:sz w:val="20"/>
                <w:szCs w:val="22"/>
                <w:lang w:val="nl-BE"/>
              </w:rPr>
              <w:t>Antwerpen</w:t>
            </w:r>
          </w:p>
        </w:tc>
        <w:tc>
          <w:tcPr>
            <w:tcW w:w="1304" w:type="dxa"/>
            <w:shd w:val="clear" w:color="auto" w:fill="auto"/>
          </w:tcPr>
          <w:p w:rsidR="00850537" w:rsidRPr="00850537" w:rsidRDefault="00850537" w:rsidP="00786BF1">
            <w:pPr>
              <w:jc w:val="center"/>
              <w:rPr>
                <w:rFonts w:eastAsia="Calibri"/>
                <w:b/>
                <w:sz w:val="20"/>
                <w:szCs w:val="22"/>
                <w:lang w:val="nl-BE"/>
              </w:rPr>
            </w:pPr>
            <w:r w:rsidRPr="00850537">
              <w:rPr>
                <w:rFonts w:eastAsia="Calibri"/>
                <w:b/>
                <w:sz w:val="20"/>
                <w:szCs w:val="22"/>
                <w:lang w:val="nl-BE"/>
              </w:rPr>
              <w:t>Vlaams-Brabant</w:t>
            </w:r>
          </w:p>
        </w:tc>
        <w:tc>
          <w:tcPr>
            <w:tcW w:w="1248" w:type="dxa"/>
            <w:shd w:val="clear" w:color="auto" w:fill="auto"/>
          </w:tcPr>
          <w:p w:rsidR="00850537" w:rsidRPr="00850537" w:rsidRDefault="00850537" w:rsidP="00786BF1">
            <w:pPr>
              <w:jc w:val="center"/>
              <w:rPr>
                <w:rFonts w:eastAsia="Calibri"/>
                <w:b/>
                <w:sz w:val="20"/>
                <w:szCs w:val="22"/>
                <w:lang w:val="nl-BE"/>
              </w:rPr>
            </w:pPr>
            <w:r w:rsidRPr="00850537">
              <w:rPr>
                <w:rFonts w:eastAsia="Calibri"/>
                <w:b/>
                <w:sz w:val="20"/>
                <w:szCs w:val="22"/>
                <w:lang w:val="nl-BE"/>
              </w:rPr>
              <w:t>Limburg</w:t>
            </w:r>
          </w:p>
        </w:tc>
      </w:tr>
      <w:tr w:rsidR="00850537" w:rsidRPr="00850537" w:rsidTr="00786BF1">
        <w:tc>
          <w:tcPr>
            <w:tcW w:w="1951" w:type="dxa"/>
            <w:shd w:val="clear" w:color="auto" w:fill="auto"/>
          </w:tcPr>
          <w:p w:rsidR="00850537" w:rsidRPr="00850537" w:rsidRDefault="00850537" w:rsidP="00850537">
            <w:pPr>
              <w:rPr>
                <w:rFonts w:eastAsia="Calibri"/>
                <w:sz w:val="20"/>
                <w:szCs w:val="22"/>
              </w:rPr>
            </w:pPr>
            <w:r w:rsidRPr="00850537">
              <w:rPr>
                <w:rFonts w:eastAsia="Calibri"/>
                <w:sz w:val="20"/>
                <w:szCs w:val="22"/>
              </w:rPr>
              <w:t>Wonen</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100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200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-50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-150</w:t>
            </w:r>
          </w:p>
        </w:tc>
      </w:tr>
      <w:tr w:rsidR="00850537" w:rsidRPr="00850537" w:rsidTr="00786BF1">
        <w:tc>
          <w:tcPr>
            <w:tcW w:w="1951" w:type="dxa"/>
            <w:shd w:val="clear" w:color="auto" w:fill="auto"/>
          </w:tcPr>
          <w:p w:rsidR="00850537" w:rsidRPr="00850537" w:rsidRDefault="00850537" w:rsidP="00850537">
            <w:pPr>
              <w:rPr>
                <w:rFonts w:eastAsia="Calibri"/>
                <w:sz w:val="20"/>
                <w:szCs w:val="22"/>
              </w:rPr>
            </w:pPr>
            <w:r w:rsidRPr="00850537">
              <w:rPr>
                <w:rFonts w:eastAsia="Calibri"/>
                <w:sz w:val="20"/>
                <w:szCs w:val="22"/>
              </w:rPr>
              <w:t>Recreatie</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700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100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100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600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450</w:t>
            </w:r>
          </w:p>
        </w:tc>
      </w:tr>
      <w:tr w:rsidR="00850537" w:rsidRPr="00850537" w:rsidTr="00786BF1">
        <w:tc>
          <w:tcPr>
            <w:tcW w:w="1951" w:type="dxa"/>
            <w:shd w:val="clear" w:color="auto" w:fill="auto"/>
          </w:tcPr>
          <w:p w:rsidR="00850537" w:rsidRPr="00850537" w:rsidRDefault="00850537" w:rsidP="00850537">
            <w:pPr>
              <w:rPr>
                <w:rFonts w:eastAsia="Calibri"/>
                <w:sz w:val="20"/>
                <w:szCs w:val="22"/>
              </w:rPr>
            </w:pPr>
            <w:r w:rsidRPr="00850537">
              <w:rPr>
                <w:rFonts w:eastAsia="Calibri"/>
                <w:sz w:val="20"/>
                <w:szCs w:val="22"/>
              </w:rPr>
              <w:t>Natuur</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2600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4700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2850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1100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4900</w:t>
            </w:r>
          </w:p>
        </w:tc>
      </w:tr>
      <w:tr w:rsidR="00850537" w:rsidRPr="00850537" w:rsidTr="00786BF1">
        <w:tc>
          <w:tcPr>
            <w:tcW w:w="1951" w:type="dxa"/>
            <w:shd w:val="clear" w:color="auto" w:fill="auto"/>
          </w:tcPr>
          <w:p w:rsidR="00850537" w:rsidRPr="00850537" w:rsidRDefault="00850537" w:rsidP="00850537">
            <w:pPr>
              <w:rPr>
                <w:rFonts w:eastAsia="Calibri"/>
                <w:sz w:val="20"/>
                <w:szCs w:val="22"/>
              </w:rPr>
            </w:pPr>
            <w:r w:rsidRPr="00850537">
              <w:rPr>
                <w:rFonts w:eastAsia="Calibri"/>
                <w:sz w:val="20"/>
                <w:szCs w:val="22"/>
              </w:rPr>
              <w:t>Overig groen</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100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-1250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-700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200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100</w:t>
            </w:r>
          </w:p>
        </w:tc>
      </w:tr>
      <w:tr w:rsidR="00850537" w:rsidRPr="00850537" w:rsidTr="00786BF1">
        <w:tc>
          <w:tcPr>
            <w:tcW w:w="1951" w:type="dxa"/>
            <w:shd w:val="clear" w:color="auto" w:fill="auto"/>
          </w:tcPr>
          <w:p w:rsidR="00850537" w:rsidRPr="00850537" w:rsidRDefault="00850537" w:rsidP="00850537">
            <w:pPr>
              <w:rPr>
                <w:rFonts w:eastAsia="Calibri"/>
                <w:sz w:val="20"/>
                <w:szCs w:val="22"/>
              </w:rPr>
            </w:pPr>
            <w:r w:rsidRPr="00850537">
              <w:rPr>
                <w:rFonts w:eastAsia="Calibri"/>
                <w:sz w:val="20"/>
                <w:szCs w:val="22"/>
              </w:rPr>
              <w:t>Bos</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950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550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150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200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550</w:t>
            </w:r>
          </w:p>
        </w:tc>
      </w:tr>
      <w:tr w:rsidR="00850537" w:rsidRPr="00850537" w:rsidTr="00786BF1">
        <w:tc>
          <w:tcPr>
            <w:tcW w:w="1951" w:type="dxa"/>
            <w:shd w:val="clear" w:color="auto" w:fill="auto"/>
          </w:tcPr>
          <w:p w:rsidR="00850537" w:rsidRPr="00850537" w:rsidRDefault="00850537" w:rsidP="00850537">
            <w:pPr>
              <w:rPr>
                <w:rFonts w:eastAsia="Calibri"/>
                <w:sz w:val="20"/>
                <w:szCs w:val="22"/>
              </w:rPr>
            </w:pPr>
            <w:r w:rsidRPr="00850537">
              <w:rPr>
                <w:rFonts w:eastAsia="Calibri"/>
                <w:sz w:val="20"/>
                <w:szCs w:val="22"/>
              </w:rPr>
              <w:t>Landbouw</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-6600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-4500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-2700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-2300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-4500</w:t>
            </w:r>
          </w:p>
        </w:tc>
      </w:tr>
      <w:tr w:rsidR="00850537" w:rsidRPr="00850537" w:rsidTr="00786BF1">
        <w:tc>
          <w:tcPr>
            <w:tcW w:w="1951" w:type="dxa"/>
            <w:shd w:val="clear" w:color="auto" w:fill="auto"/>
          </w:tcPr>
          <w:p w:rsidR="00850537" w:rsidRPr="00850537" w:rsidRDefault="00850537" w:rsidP="00850537">
            <w:pPr>
              <w:rPr>
                <w:rFonts w:eastAsia="Calibri"/>
                <w:sz w:val="20"/>
                <w:szCs w:val="22"/>
              </w:rPr>
            </w:pPr>
            <w:r w:rsidRPr="00850537">
              <w:rPr>
                <w:rFonts w:eastAsia="Calibri"/>
                <w:sz w:val="20"/>
                <w:szCs w:val="22"/>
              </w:rPr>
              <w:t>Industrie - bu</w:t>
            </w:r>
            <w:r w:rsidRPr="00850537">
              <w:rPr>
                <w:rFonts w:eastAsia="Calibri"/>
                <w:sz w:val="20"/>
                <w:szCs w:val="22"/>
              </w:rPr>
              <w:t>i</w:t>
            </w:r>
            <w:r w:rsidRPr="00850537">
              <w:rPr>
                <w:rFonts w:eastAsia="Calibri"/>
                <w:sz w:val="20"/>
                <w:szCs w:val="22"/>
              </w:rPr>
              <w:t>ten poorten</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2500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1300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1350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750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200</w:t>
            </w:r>
          </w:p>
        </w:tc>
      </w:tr>
      <w:tr w:rsidR="00850537" w:rsidRPr="00850537" w:rsidTr="00786BF1">
        <w:tc>
          <w:tcPr>
            <w:tcW w:w="1951" w:type="dxa"/>
            <w:shd w:val="clear" w:color="auto" w:fill="auto"/>
          </w:tcPr>
          <w:p w:rsidR="00850537" w:rsidRPr="00850537" w:rsidRDefault="00850537" w:rsidP="00850537">
            <w:pPr>
              <w:rPr>
                <w:rFonts w:eastAsia="Calibri"/>
                <w:sz w:val="20"/>
                <w:szCs w:val="22"/>
              </w:rPr>
            </w:pPr>
            <w:r w:rsidRPr="00850537">
              <w:rPr>
                <w:rFonts w:eastAsia="Calibri"/>
                <w:sz w:val="20"/>
                <w:szCs w:val="22"/>
              </w:rPr>
              <w:t>Industrie - poo</w:t>
            </w:r>
            <w:r w:rsidRPr="00850537">
              <w:rPr>
                <w:rFonts w:eastAsia="Calibri"/>
                <w:sz w:val="20"/>
                <w:szCs w:val="22"/>
              </w:rPr>
              <w:t>r</w:t>
            </w:r>
            <w:r w:rsidRPr="00850537">
              <w:rPr>
                <w:rFonts w:eastAsia="Calibri"/>
                <w:sz w:val="20"/>
                <w:szCs w:val="22"/>
              </w:rPr>
              <w:t>ten</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450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-1050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750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0</w:t>
            </w:r>
          </w:p>
        </w:tc>
      </w:tr>
      <w:tr w:rsidR="00850537" w:rsidRPr="00850537" w:rsidTr="00786BF1">
        <w:tc>
          <w:tcPr>
            <w:tcW w:w="1951" w:type="dxa"/>
            <w:shd w:val="clear" w:color="auto" w:fill="auto"/>
          </w:tcPr>
          <w:p w:rsidR="00850537" w:rsidRPr="00850537" w:rsidRDefault="00850537" w:rsidP="003F228F">
            <w:pPr>
              <w:jc w:val="both"/>
              <w:rPr>
                <w:rFonts w:eastAsia="Calibri"/>
                <w:sz w:val="20"/>
                <w:szCs w:val="22"/>
                <w:lang w:val="nl-BE"/>
              </w:rPr>
            </w:pPr>
            <w:r w:rsidRPr="00850537">
              <w:rPr>
                <w:rFonts w:eastAsia="Calibri"/>
                <w:sz w:val="20"/>
                <w:szCs w:val="22"/>
                <w:lang w:val="nl-BE"/>
              </w:rPr>
              <w:t>Overige</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100</w:t>
            </w:r>
          </w:p>
        </w:tc>
        <w:tc>
          <w:tcPr>
            <w:tcW w:w="141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150</w:t>
            </w:r>
          </w:p>
        </w:tc>
        <w:tc>
          <w:tcPr>
            <w:tcW w:w="1559"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-2000</w:t>
            </w:r>
          </w:p>
        </w:tc>
        <w:tc>
          <w:tcPr>
            <w:tcW w:w="1304"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-500</w:t>
            </w:r>
          </w:p>
        </w:tc>
        <w:tc>
          <w:tcPr>
            <w:tcW w:w="1248" w:type="dxa"/>
            <w:shd w:val="clear" w:color="auto" w:fill="auto"/>
            <w:vAlign w:val="bottom"/>
          </w:tcPr>
          <w:p w:rsidR="00850537" w:rsidRPr="003F228F" w:rsidRDefault="00850537" w:rsidP="003F228F">
            <w:pPr>
              <w:jc w:val="right"/>
              <w:rPr>
                <w:rFonts w:eastAsia="Calibri"/>
                <w:color w:val="000000"/>
                <w:sz w:val="20"/>
              </w:rPr>
            </w:pPr>
            <w:r w:rsidRPr="003F228F">
              <w:rPr>
                <w:rFonts w:eastAsia="Calibri"/>
                <w:color w:val="000000"/>
                <w:sz w:val="20"/>
              </w:rPr>
              <w:t>-1550</w:t>
            </w:r>
          </w:p>
        </w:tc>
      </w:tr>
    </w:tbl>
    <w:p w:rsidR="00850537" w:rsidRPr="00850537" w:rsidRDefault="00850537" w:rsidP="00850537">
      <w:pPr>
        <w:jc w:val="both"/>
        <w:rPr>
          <w:sz w:val="22"/>
          <w:lang w:val="nl-BE"/>
        </w:rPr>
      </w:pPr>
    </w:p>
    <w:p w:rsidR="000F0E85" w:rsidRDefault="000F0E85" w:rsidP="00227C2C">
      <w:pPr>
        <w:pStyle w:val="StandaardSV"/>
      </w:pPr>
    </w:p>
    <w:p w:rsidR="000F0E85" w:rsidRDefault="000F0E85" w:rsidP="00227C2C">
      <w:pPr>
        <w:pStyle w:val="StandaardSV"/>
      </w:pPr>
    </w:p>
    <w:p w:rsidR="00C64E8A" w:rsidRPr="00342A61" w:rsidRDefault="00342A61" w:rsidP="00342A61">
      <w:pPr>
        <w:pStyle w:val="StandaardSV"/>
        <w:ind w:left="426" w:hanging="426"/>
        <w:rPr>
          <w:i/>
        </w:rPr>
      </w:pPr>
      <w:r>
        <w:t xml:space="preserve">3. </w:t>
      </w:r>
      <w:r>
        <w:tab/>
      </w:r>
      <w:r w:rsidR="00C64E8A" w:rsidRPr="00C64E8A">
        <w:rPr>
          <w:szCs w:val="22"/>
        </w:rPr>
        <w:t>De werkwijze voor de verdere afbakening van de gebieden van de natuurlijke en agrarische stru</w:t>
      </w:r>
      <w:r w:rsidR="00C64E8A" w:rsidRPr="00C64E8A">
        <w:rPr>
          <w:szCs w:val="22"/>
        </w:rPr>
        <w:t>c</w:t>
      </w:r>
      <w:r w:rsidR="00C64E8A" w:rsidRPr="00C64E8A">
        <w:rPr>
          <w:szCs w:val="22"/>
        </w:rPr>
        <w:t xml:space="preserve">tuur in uitvoering van het Ruimtelijke Structuurplan Vlaanderen is vastgelegd in het plan van aanpak dat de Vlaamse Regering in 2010 goedkeurde. </w:t>
      </w:r>
      <w:r w:rsidR="00711D75">
        <w:rPr>
          <w:szCs w:val="22"/>
        </w:rPr>
        <w:t>Hierbij</w:t>
      </w:r>
      <w:r w:rsidR="00C64E8A" w:rsidRPr="00C64E8A">
        <w:rPr>
          <w:szCs w:val="22"/>
        </w:rPr>
        <w:t xml:space="preserve"> wordt ingezet op een breed voo</w:t>
      </w:r>
      <w:r w:rsidR="00C64E8A" w:rsidRPr="00C64E8A">
        <w:rPr>
          <w:szCs w:val="22"/>
        </w:rPr>
        <w:t>r</w:t>
      </w:r>
      <w:r w:rsidR="00C64E8A" w:rsidRPr="00C64E8A">
        <w:rPr>
          <w:szCs w:val="22"/>
        </w:rPr>
        <w:t>overleg met alle betrokken actoren en besturen. Binnen deze gebiedsgerichte planningsprocessen wordt maximaal ingezet op een afstemming van de instrumenten inzake bestemming, inrichting en beheer om te garanderen dat de vastgelegde bestemmingen ook e</w:t>
      </w:r>
      <w:r w:rsidR="00C64E8A" w:rsidRPr="00C64E8A">
        <w:rPr>
          <w:szCs w:val="22"/>
        </w:rPr>
        <w:t>f</w:t>
      </w:r>
      <w:r w:rsidR="00C64E8A" w:rsidRPr="00C64E8A">
        <w:rPr>
          <w:szCs w:val="22"/>
        </w:rPr>
        <w:t xml:space="preserve">fectief gerealiseerd worden. </w:t>
      </w:r>
    </w:p>
    <w:p w:rsidR="00711D75" w:rsidRPr="00C64E8A" w:rsidRDefault="00711D75" w:rsidP="00711D75">
      <w:pPr>
        <w:jc w:val="both"/>
        <w:rPr>
          <w:sz w:val="22"/>
          <w:szCs w:val="22"/>
        </w:rPr>
      </w:pPr>
    </w:p>
    <w:p w:rsidR="00C64E8A" w:rsidRPr="00C64E8A" w:rsidRDefault="00C64E8A" w:rsidP="00342A61">
      <w:pPr>
        <w:ind w:left="426"/>
        <w:jc w:val="both"/>
        <w:rPr>
          <w:sz w:val="22"/>
          <w:szCs w:val="22"/>
        </w:rPr>
      </w:pPr>
      <w:r w:rsidRPr="00C64E8A">
        <w:rPr>
          <w:sz w:val="22"/>
          <w:szCs w:val="22"/>
        </w:rPr>
        <w:t>Een gebiedsgericht planningsproces kan maar opgenomen worden op het ‘gebiedsgericht pr</w:t>
      </w:r>
      <w:r w:rsidRPr="00C64E8A">
        <w:rPr>
          <w:sz w:val="22"/>
          <w:szCs w:val="22"/>
        </w:rPr>
        <w:t>o</w:t>
      </w:r>
      <w:r w:rsidRPr="00C64E8A">
        <w:rPr>
          <w:sz w:val="22"/>
          <w:szCs w:val="22"/>
        </w:rPr>
        <w:t>gramma AGNAS’ nadat het gebied geagendeerd wordt binnen het coördinatieplatform waarin de verschillende beleidsdomeinen, -niveaus en middenveldorganisaties betrokken zijn. In die age</w:t>
      </w:r>
      <w:r w:rsidRPr="00C64E8A">
        <w:rPr>
          <w:sz w:val="22"/>
          <w:szCs w:val="22"/>
        </w:rPr>
        <w:t>n</w:t>
      </w:r>
      <w:r w:rsidRPr="00C64E8A">
        <w:rPr>
          <w:sz w:val="22"/>
          <w:szCs w:val="22"/>
        </w:rPr>
        <w:t>deringsfase moet duidelijkheid gecreëerd worden over de partners die zich voor dat gebied eng</w:t>
      </w:r>
      <w:r w:rsidRPr="00C64E8A">
        <w:rPr>
          <w:sz w:val="22"/>
          <w:szCs w:val="22"/>
        </w:rPr>
        <w:t>a</w:t>
      </w:r>
      <w:r w:rsidRPr="00C64E8A">
        <w:rPr>
          <w:sz w:val="22"/>
          <w:szCs w:val="22"/>
        </w:rPr>
        <w:t>geren om effectief te investeren in de inrichting van de bijkomende gebieden voor natuur- of b</w:t>
      </w:r>
      <w:r w:rsidRPr="00C64E8A">
        <w:rPr>
          <w:sz w:val="22"/>
          <w:szCs w:val="22"/>
        </w:rPr>
        <w:t>o</w:t>
      </w:r>
      <w:r w:rsidRPr="00C64E8A">
        <w:rPr>
          <w:sz w:val="22"/>
          <w:szCs w:val="22"/>
        </w:rPr>
        <w:t>sontwikkeling of waterberging. Deze engagementen zijn cruciaal om deze gebiedsgerichte pla</w:t>
      </w:r>
      <w:r w:rsidRPr="00C64E8A">
        <w:rPr>
          <w:sz w:val="22"/>
          <w:szCs w:val="22"/>
        </w:rPr>
        <w:t>n</w:t>
      </w:r>
      <w:r w:rsidRPr="00C64E8A">
        <w:rPr>
          <w:sz w:val="22"/>
          <w:szCs w:val="22"/>
        </w:rPr>
        <w:t>ningsproce</w:t>
      </w:r>
      <w:r w:rsidRPr="00C64E8A">
        <w:rPr>
          <w:sz w:val="22"/>
          <w:szCs w:val="22"/>
        </w:rPr>
        <w:t>s</w:t>
      </w:r>
      <w:r w:rsidRPr="00C64E8A">
        <w:rPr>
          <w:sz w:val="22"/>
          <w:szCs w:val="22"/>
        </w:rPr>
        <w:t>sen met succes te kunnen afronden.</w:t>
      </w:r>
    </w:p>
    <w:p w:rsidR="00C64E8A" w:rsidRPr="00C64E8A" w:rsidRDefault="00C64E8A" w:rsidP="00C64E8A">
      <w:pPr>
        <w:rPr>
          <w:sz w:val="22"/>
          <w:szCs w:val="22"/>
        </w:rPr>
      </w:pPr>
    </w:p>
    <w:p w:rsidR="00C64E8A" w:rsidRPr="00C64E8A" w:rsidRDefault="00C64E8A" w:rsidP="00342A61">
      <w:pPr>
        <w:ind w:left="426"/>
        <w:jc w:val="both"/>
        <w:rPr>
          <w:sz w:val="22"/>
          <w:szCs w:val="22"/>
        </w:rPr>
      </w:pPr>
      <w:r w:rsidRPr="00C64E8A">
        <w:rPr>
          <w:sz w:val="22"/>
          <w:szCs w:val="22"/>
        </w:rPr>
        <w:t>Sinds 2009 werden volgende overlegprocessen voor de opmaak van gewestelijke ruimtelijke ui</w:t>
      </w:r>
      <w:r w:rsidRPr="00C64E8A">
        <w:rPr>
          <w:sz w:val="22"/>
          <w:szCs w:val="22"/>
        </w:rPr>
        <w:t>t</w:t>
      </w:r>
      <w:r w:rsidRPr="00C64E8A">
        <w:rPr>
          <w:sz w:val="22"/>
          <w:szCs w:val="22"/>
        </w:rPr>
        <w:t>voeringsplannen</w:t>
      </w:r>
      <w:r w:rsidR="000F439C">
        <w:rPr>
          <w:sz w:val="22"/>
          <w:szCs w:val="22"/>
        </w:rPr>
        <w:t xml:space="preserve">, </w:t>
      </w:r>
      <w:r w:rsidRPr="00C64E8A">
        <w:rPr>
          <w:sz w:val="22"/>
          <w:szCs w:val="22"/>
        </w:rPr>
        <w:t xml:space="preserve">waarbinnen gebieden van de natuurlijke en agrarische structuur afgebakend </w:t>
      </w:r>
      <w:r>
        <w:rPr>
          <w:sz w:val="22"/>
          <w:szCs w:val="22"/>
        </w:rPr>
        <w:t xml:space="preserve">werden, </w:t>
      </w:r>
      <w:r w:rsidRPr="00C64E8A">
        <w:rPr>
          <w:sz w:val="22"/>
          <w:szCs w:val="22"/>
        </w:rPr>
        <w:t>afgerond en de ruimtelijke uitvoeringsplannen definitief vastgesteld:</w:t>
      </w:r>
    </w:p>
    <w:p w:rsidR="00C64E8A" w:rsidRPr="00C64E8A" w:rsidRDefault="00C64E8A" w:rsidP="00342A61">
      <w:pPr>
        <w:ind w:left="426"/>
        <w:rPr>
          <w:sz w:val="22"/>
          <w:szCs w:val="22"/>
        </w:rPr>
      </w:pPr>
    </w:p>
    <w:p w:rsidR="00C64E8A" w:rsidRPr="00C64E8A" w:rsidRDefault="00C64E8A" w:rsidP="00342A61">
      <w:pPr>
        <w:numPr>
          <w:ilvl w:val="0"/>
          <w:numId w:val="19"/>
        </w:numPr>
        <w:ind w:left="426"/>
        <w:contextualSpacing/>
        <w:rPr>
          <w:sz w:val="22"/>
          <w:szCs w:val="22"/>
        </w:rPr>
      </w:pPr>
      <w:r w:rsidRPr="00C64E8A">
        <w:rPr>
          <w:sz w:val="22"/>
          <w:szCs w:val="22"/>
        </w:rPr>
        <w:t>RUP Cluster Dijlemonding</w:t>
      </w:r>
    </w:p>
    <w:p w:rsidR="00C64E8A" w:rsidRPr="00C64E8A" w:rsidRDefault="00C64E8A" w:rsidP="00342A61">
      <w:pPr>
        <w:numPr>
          <w:ilvl w:val="0"/>
          <w:numId w:val="19"/>
        </w:numPr>
        <w:ind w:left="426"/>
        <w:contextualSpacing/>
        <w:rPr>
          <w:sz w:val="22"/>
          <w:szCs w:val="22"/>
        </w:rPr>
      </w:pPr>
      <w:r w:rsidRPr="00C64E8A">
        <w:rPr>
          <w:sz w:val="22"/>
          <w:szCs w:val="22"/>
        </w:rPr>
        <w:t>RUP Afbakening Vlaamse Strategisch Gebied rond Brussel en aansluitende openruimtegebieden</w:t>
      </w:r>
    </w:p>
    <w:p w:rsidR="00C64E8A" w:rsidRPr="00C64E8A" w:rsidRDefault="00C64E8A" w:rsidP="00342A61">
      <w:pPr>
        <w:numPr>
          <w:ilvl w:val="0"/>
          <w:numId w:val="19"/>
        </w:numPr>
        <w:ind w:left="426"/>
        <w:contextualSpacing/>
        <w:rPr>
          <w:sz w:val="22"/>
          <w:szCs w:val="22"/>
        </w:rPr>
      </w:pPr>
      <w:r w:rsidRPr="00C64E8A">
        <w:rPr>
          <w:sz w:val="22"/>
          <w:szCs w:val="22"/>
        </w:rPr>
        <w:t xml:space="preserve">RUP Herstructurering Vissenakker, </w:t>
      </w:r>
      <w:proofErr w:type="spellStart"/>
      <w:r w:rsidRPr="00C64E8A">
        <w:rPr>
          <w:sz w:val="22"/>
          <w:szCs w:val="22"/>
        </w:rPr>
        <w:t>Kinrooi</w:t>
      </w:r>
      <w:proofErr w:type="spellEnd"/>
    </w:p>
    <w:p w:rsidR="00711D75" w:rsidRPr="00711D75" w:rsidRDefault="00711D75" w:rsidP="00342A61">
      <w:pPr>
        <w:numPr>
          <w:ilvl w:val="0"/>
          <w:numId w:val="19"/>
        </w:numPr>
        <w:ind w:left="426"/>
        <w:contextualSpacing/>
        <w:rPr>
          <w:sz w:val="22"/>
          <w:szCs w:val="22"/>
        </w:rPr>
      </w:pPr>
      <w:r w:rsidRPr="00711D75">
        <w:rPr>
          <w:sz w:val="22"/>
          <w:szCs w:val="22"/>
        </w:rPr>
        <w:t>RUP Afbakening zeehavengebied Antwerpen</w:t>
      </w:r>
    </w:p>
    <w:p w:rsidR="00C64E8A" w:rsidRPr="00711D75" w:rsidRDefault="00C64E8A" w:rsidP="00342A61">
      <w:pPr>
        <w:numPr>
          <w:ilvl w:val="0"/>
          <w:numId w:val="19"/>
        </w:numPr>
        <w:ind w:left="426"/>
        <w:contextualSpacing/>
        <w:rPr>
          <w:sz w:val="22"/>
          <w:szCs w:val="22"/>
        </w:rPr>
      </w:pPr>
      <w:r w:rsidRPr="00711D75">
        <w:rPr>
          <w:sz w:val="22"/>
          <w:szCs w:val="22"/>
        </w:rPr>
        <w:t>RUP Erfgoedlandschap Abdij van Westmalle</w:t>
      </w:r>
    </w:p>
    <w:p w:rsidR="00C64E8A" w:rsidRPr="00711D75" w:rsidRDefault="00C64E8A" w:rsidP="00342A61">
      <w:pPr>
        <w:numPr>
          <w:ilvl w:val="0"/>
          <w:numId w:val="19"/>
        </w:numPr>
        <w:ind w:left="426"/>
        <w:contextualSpacing/>
        <w:rPr>
          <w:sz w:val="22"/>
          <w:szCs w:val="22"/>
        </w:rPr>
      </w:pPr>
      <w:r w:rsidRPr="00711D75">
        <w:rPr>
          <w:sz w:val="22"/>
          <w:szCs w:val="22"/>
        </w:rPr>
        <w:t>RUP Zwin en Zwinbosjes</w:t>
      </w:r>
    </w:p>
    <w:p w:rsidR="00711D75" w:rsidRPr="00711D75" w:rsidRDefault="00711D75" w:rsidP="00342A61">
      <w:pPr>
        <w:numPr>
          <w:ilvl w:val="0"/>
          <w:numId w:val="19"/>
        </w:numPr>
        <w:ind w:left="426"/>
        <w:contextualSpacing/>
        <w:rPr>
          <w:sz w:val="22"/>
          <w:szCs w:val="22"/>
        </w:rPr>
      </w:pPr>
      <w:r w:rsidRPr="00711D75">
        <w:rPr>
          <w:sz w:val="22"/>
          <w:szCs w:val="22"/>
        </w:rPr>
        <w:t xml:space="preserve">RUP </w:t>
      </w:r>
      <w:proofErr w:type="spellStart"/>
      <w:r w:rsidRPr="00711D75">
        <w:rPr>
          <w:sz w:val="22"/>
          <w:szCs w:val="22"/>
        </w:rPr>
        <w:t>Poelberg</w:t>
      </w:r>
      <w:proofErr w:type="spellEnd"/>
      <w:r w:rsidRPr="00711D75">
        <w:rPr>
          <w:sz w:val="22"/>
          <w:szCs w:val="22"/>
        </w:rPr>
        <w:t xml:space="preserve"> en </w:t>
      </w:r>
      <w:proofErr w:type="spellStart"/>
      <w:r w:rsidRPr="00711D75">
        <w:rPr>
          <w:sz w:val="22"/>
          <w:szCs w:val="22"/>
        </w:rPr>
        <w:t>Meikensbossen</w:t>
      </w:r>
      <w:proofErr w:type="spellEnd"/>
      <w:r w:rsidRPr="00711D75">
        <w:rPr>
          <w:sz w:val="22"/>
          <w:szCs w:val="22"/>
        </w:rPr>
        <w:t xml:space="preserve"> </w:t>
      </w:r>
    </w:p>
    <w:p w:rsidR="00C64E8A" w:rsidRPr="008C509A" w:rsidRDefault="00C64E8A" w:rsidP="00342A61">
      <w:pPr>
        <w:numPr>
          <w:ilvl w:val="0"/>
          <w:numId w:val="19"/>
        </w:numPr>
        <w:ind w:left="426"/>
        <w:contextualSpacing/>
        <w:rPr>
          <w:sz w:val="22"/>
          <w:szCs w:val="22"/>
        </w:rPr>
      </w:pPr>
      <w:r w:rsidRPr="008C509A">
        <w:rPr>
          <w:sz w:val="22"/>
          <w:szCs w:val="22"/>
        </w:rPr>
        <w:t xml:space="preserve">RUP </w:t>
      </w:r>
      <w:proofErr w:type="spellStart"/>
      <w:r w:rsidRPr="008C509A">
        <w:rPr>
          <w:sz w:val="22"/>
          <w:szCs w:val="22"/>
        </w:rPr>
        <w:t>Heverleebos-Meer</w:t>
      </w:r>
      <w:r w:rsidR="008C509A" w:rsidRPr="008C509A">
        <w:rPr>
          <w:sz w:val="22"/>
          <w:szCs w:val="22"/>
        </w:rPr>
        <w:t>daalwoud</w:t>
      </w:r>
      <w:proofErr w:type="spellEnd"/>
      <w:r w:rsidR="008C509A" w:rsidRPr="008C509A">
        <w:rPr>
          <w:sz w:val="22"/>
          <w:szCs w:val="22"/>
        </w:rPr>
        <w:t xml:space="preserve"> (principieel definitieve</w:t>
      </w:r>
      <w:r w:rsidRPr="008C509A">
        <w:rPr>
          <w:sz w:val="22"/>
          <w:szCs w:val="22"/>
        </w:rPr>
        <w:t xml:space="preserve"> vast</w:t>
      </w:r>
      <w:r w:rsidR="008C509A" w:rsidRPr="008C509A">
        <w:rPr>
          <w:sz w:val="22"/>
          <w:szCs w:val="22"/>
        </w:rPr>
        <w:t xml:space="preserve">stelling </w:t>
      </w:r>
      <w:r w:rsidR="00740794">
        <w:rPr>
          <w:sz w:val="22"/>
          <w:szCs w:val="22"/>
        </w:rPr>
        <w:t xml:space="preserve">voorzien op </w:t>
      </w:r>
      <w:r w:rsidR="00711D75">
        <w:rPr>
          <w:sz w:val="22"/>
          <w:szCs w:val="22"/>
        </w:rPr>
        <w:t>4/4</w:t>
      </w:r>
      <w:r w:rsidRPr="008C509A">
        <w:rPr>
          <w:sz w:val="22"/>
          <w:szCs w:val="22"/>
        </w:rPr>
        <w:t>/</w:t>
      </w:r>
      <w:r w:rsidR="00711D75">
        <w:rPr>
          <w:sz w:val="22"/>
          <w:szCs w:val="22"/>
        </w:rPr>
        <w:t>20</w:t>
      </w:r>
      <w:r w:rsidRPr="008C509A">
        <w:rPr>
          <w:sz w:val="22"/>
          <w:szCs w:val="22"/>
        </w:rPr>
        <w:t>14)</w:t>
      </w:r>
      <w:r w:rsidR="00740794">
        <w:rPr>
          <w:sz w:val="22"/>
          <w:szCs w:val="22"/>
        </w:rPr>
        <w:t>.</w:t>
      </w:r>
    </w:p>
    <w:p w:rsidR="00C64E8A" w:rsidRPr="00C64E8A" w:rsidRDefault="00C64E8A" w:rsidP="00C64E8A">
      <w:pPr>
        <w:rPr>
          <w:sz w:val="22"/>
          <w:szCs w:val="22"/>
        </w:rPr>
      </w:pPr>
    </w:p>
    <w:p w:rsidR="00C64E8A" w:rsidRPr="00C64E8A" w:rsidRDefault="00C64E8A" w:rsidP="00342A61">
      <w:pPr>
        <w:ind w:left="360"/>
        <w:jc w:val="both"/>
        <w:rPr>
          <w:sz w:val="22"/>
          <w:szCs w:val="22"/>
        </w:rPr>
      </w:pPr>
      <w:r w:rsidRPr="00C64E8A">
        <w:rPr>
          <w:sz w:val="22"/>
          <w:szCs w:val="22"/>
        </w:rPr>
        <w:t xml:space="preserve">Voor volgende gebieden werden de overlegprocessen afgerond en </w:t>
      </w:r>
      <w:r w:rsidR="00815A8A">
        <w:rPr>
          <w:sz w:val="22"/>
          <w:szCs w:val="22"/>
        </w:rPr>
        <w:t xml:space="preserve">kunnen </w:t>
      </w:r>
      <w:r w:rsidRPr="00C64E8A">
        <w:rPr>
          <w:sz w:val="22"/>
          <w:szCs w:val="22"/>
        </w:rPr>
        <w:t xml:space="preserve">de </w:t>
      </w:r>
      <w:r w:rsidR="00815A8A">
        <w:rPr>
          <w:sz w:val="22"/>
          <w:szCs w:val="22"/>
        </w:rPr>
        <w:t xml:space="preserve">ontwerpen van </w:t>
      </w:r>
      <w:r w:rsidRPr="00C64E8A">
        <w:rPr>
          <w:sz w:val="22"/>
          <w:szCs w:val="22"/>
        </w:rPr>
        <w:t>rui</w:t>
      </w:r>
      <w:r w:rsidRPr="00C64E8A">
        <w:rPr>
          <w:sz w:val="22"/>
          <w:szCs w:val="22"/>
        </w:rPr>
        <w:t>m</w:t>
      </w:r>
      <w:r w:rsidRPr="00C64E8A">
        <w:rPr>
          <w:sz w:val="22"/>
          <w:szCs w:val="22"/>
        </w:rPr>
        <w:t xml:space="preserve">telijke uitvoeringsplannen </w:t>
      </w:r>
      <w:r w:rsidR="00815A8A">
        <w:rPr>
          <w:sz w:val="22"/>
          <w:szCs w:val="22"/>
        </w:rPr>
        <w:t xml:space="preserve">eerstdaags </w:t>
      </w:r>
      <w:r w:rsidRPr="00C64E8A">
        <w:rPr>
          <w:sz w:val="22"/>
          <w:szCs w:val="22"/>
        </w:rPr>
        <w:t xml:space="preserve">voorlopig </w:t>
      </w:r>
      <w:r w:rsidR="00815A8A">
        <w:rPr>
          <w:sz w:val="22"/>
          <w:szCs w:val="22"/>
        </w:rPr>
        <w:t xml:space="preserve">worden </w:t>
      </w:r>
      <w:r w:rsidRPr="00C64E8A">
        <w:rPr>
          <w:sz w:val="22"/>
          <w:szCs w:val="22"/>
        </w:rPr>
        <w:t>vastgesteld:</w:t>
      </w:r>
    </w:p>
    <w:p w:rsidR="00C64E8A" w:rsidRPr="00C64E8A" w:rsidRDefault="00C64E8A" w:rsidP="00C64E8A">
      <w:pPr>
        <w:rPr>
          <w:sz w:val="22"/>
          <w:szCs w:val="22"/>
        </w:rPr>
      </w:pPr>
    </w:p>
    <w:p w:rsidR="00E149EF" w:rsidRPr="008C509A" w:rsidRDefault="00C64E8A" w:rsidP="00E149EF">
      <w:pPr>
        <w:numPr>
          <w:ilvl w:val="0"/>
          <w:numId w:val="21"/>
        </w:numPr>
        <w:contextualSpacing/>
        <w:rPr>
          <w:sz w:val="22"/>
          <w:szCs w:val="22"/>
        </w:rPr>
      </w:pPr>
      <w:r w:rsidRPr="008C509A">
        <w:rPr>
          <w:sz w:val="22"/>
          <w:szCs w:val="22"/>
        </w:rPr>
        <w:t xml:space="preserve">RUP Zwinpolder </w:t>
      </w:r>
    </w:p>
    <w:p w:rsidR="00815A8A" w:rsidRDefault="00C64E8A" w:rsidP="00815A8A">
      <w:pPr>
        <w:numPr>
          <w:ilvl w:val="0"/>
          <w:numId w:val="21"/>
        </w:numPr>
        <w:contextualSpacing/>
        <w:rPr>
          <w:sz w:val="22"/>
          <w:szCs w:val="22"/>
        </w:rPr>
      </w:pPr>
      <w:r w:rsidRPr="00815A8A">
        <w:rPr>
          <w:sz w:val="22"/>
          <w:szCs w:val="22"/>
        </w:rPr>
        <w:t xml:space="preserve">RUP </w:t>
      </w:r>
      <w:proofErr w:type="spellStart"/>
      <w:r w:rsidRPr="00815A8A">
        <w:rPr>
          <w:sz w:val="22"/>
          <w:szCs w:val="22"/>
        </w:rPr>
        <w:t>Bouvelobos</w:t>
      </w:r>
      <w:proofErr w:type="spellEnd"/>
      <w:r w:rsidRPr="00815A8A">
        <w:rPr>
          <w:sz w:val="22"/>
          <w:szCs w:val="22"/>
        </w:rPr>
        <w:t xml:space="preserve">, </w:t>
      </w:r>
      <w:proofErr w:type="spellStart"/>
      <w:r w:rsidRPr="00815A8A">
        <w:rPr>
          <w:sz w:val="22"/>
          <w:szCs w:val="22"/>
        </w:rPr>
        <w:t>Hemsrodebos</w:t>
      </w:r>
      <w:proofErr w:type="spellEnd"/>
      <w:r w:rsidRPr="00815A8A">
        <w:rPr>
          <w:sz w:val="22"/>
          <w:szCs w:val="22"/>
        </w:rPr>
        <w:t xml:space="preserve"> en </w:t>
      </w:r>
      <w:proofErr w:type="spellStart"/>
      <w:r w:rsidRPr="00815A8A">
        <w:rPr>
          <w:sz w:val="22"/>
          <w:szCs w:val="22"/>
        </w:rPr>
        <w:t>steilrand</w:t>
      </w:r>
      <w:proofErr w:type="spellEnd"/>
      <w:r w:rsidRPr="00815A8A">
        <w:rPr>
          <w:sz w:val="22"/>
          <w:szCs w:val="22"/>
        </w:rPr>
        <w:t xml:space="preserve"> van </w:t>
      </w:r>
      <w:proofErr w:type="spellStart"/>
      <w:r w:rsidRPr="00815A8A">
        <w:rPr>
          <w:sz w:val="22"/>
          <w:szCs w:val="22"/>
        </w:rPr>
        <w:t>Moregem</w:t>
      </w:r>
      <w:proofErr w:type="spellEnd"/>
      <w:r w:rsidR="00815A8A" w:rsidRPr="00815A8A">
        <w:rPr>
          <w:sz w:val="22"/>
          <w:szCs w:val="22"/>
        </w:rPr>
        <w:t>.</w:t>
      </w:r>
    </w:p>
    <w:p w:rsidR="00C64E8A" w:rsidRDefault="00C64E8A" w:rsidP="00C64E8A">
      <w:pPr>
        <w:rPr>
          <w:sz w:val="22"/>
          <w:szCs w:val="22"/>
        </w:rPr>
      </w:pPr>
    </w:p>
    <w:p w:rsidR="00815A8A" w:rsidRPr="00C64E8A" w:rsidRDefault="00815A8A" w:rsidP="00C64E8A">
      <w:pPr>
        <w:rPr>
          <w:sz w:val="22"/>
          <w:szCs w:val="22"/>
        </w:rPr>
      </w:pPr>
    </w:p>
    <w:p w:rsidR="00C64E8A" w:rsidRPr="00C64E8A" w:rsidRDefault="00C64E8A" w:rsidP="00342A61">
      <w:pPr>
        <w:ind w:left="426" w:hanging="66"/>
        <w:jc w:val="both"/>
        <w:rPr>
          <w:sz w:val="22"/>
          <w:szCs w:val="22"/>
        </w:rPr>
      </w:pPr>
      <w:r w:rsidRPr="00C64E8A">
        <w:rPr>
          <w:sz w:val="22"/>
          <w:szCs w:val="22"/>
        </w:rPr>
        <w:t xml:space="preserve">Voor volgende gebieden werden gebiedsgerichte planningsprocessen opgestart en zijn er concrete RUP-voorstellen in bespreking met de actoren, voorbereidende onderzoeken (plan-MER, </w:t>
      </w:r>
      <w:proofErr w:type="spellStart"/>
      <w:r w:rsidRPr="00C64E8A">
        <w:rPr>
          <w:sz w:val="22"/>
          <w:szCs w:val="22"/>
        </w:rPr>
        <w:t>lan</w:t>
      </w:r>
      <w:r w:rsidRPr="00C64E8A">
        <w:rPr>
          <w:sz w:val="22"/>
          <w:szCs w:val="22"/>
        </w:rPr>
        <w:t>d</w:t>
      </w:r>
      <w:r w:rsidRPr="00C64E8A">
        <w:rPr>
          <w:sz w:val="22"/>
          <w:szCs w:val="22"/>
        </w:rPr>
        <w:lastRenderedPageBreak/>
        <w:t>bouweffectenrapporten</w:t>
      </w:r>
      <w:proofErr w:type="spellEnd"/>
      <w:r w:rsidRPr="00C64E8A">
        <w:rPr>
          <w:sz w:val="22"/>
          <w:szCs w:val="22"/>
        </w:rPr>
        <w:t>, maatschappelijke kosten-batenstudies, landinrichting, ruilverkaveling, natuuri</w:t>
      </w:r>
      <w:r w:rsidRPr="00C64E8A">
        <w:rPr>
          <w:sz w:val="22"/>
          <w:szCs w:val="22"/>
        </w:rPr>
        <w:t>n</w:t>
      </w:r>
      <w:r w:rsidRPr="00C64E8A">
        <w:rPr>
          <w:sz w:val="22"/>
          <w:szCs w:val="22"/>
        </w:rPr>
        <w:t>richting…) lopend of is de start van een gebiedsgericht planningsproces in voorbereiding nadat het gebied opgenomen is op het gebiedsgericht programma 2014:</w:t>
      </w:r>
    </w:p>
    <w:p w:rsidR="00C64E8A" w:rsidRPr="00C64E8A" w:rsidRDefault="00C64E8A" w:rsidP="00C64E8A">
      <w:pPr>
        <w:rPr>
          <w:sz w:val="22"/>
          <w:szCs w:val="22"/>
        </w:rPr>
      </w:pPr>
    </w:p>
    <w:p w:rsidR="00C64E8A" w:rsidRPr="00C64E8A" w:rsidRDefault="00C64E8A" w:rsidP="00C64E8A">
      <w:pPr>
        <w:numPr>
          <w:ilvl w:val="0"/>
          <w:numId w:val="20"/>
        </w:numPr>
        <w:contextualSpacing/>
        <w:rPr>
          <w:sz w:val="22"/>
          <w:szCs w:val="22"/>
        </w:rPr>
      </w:pPr>
      <w:r w:rsidRPr="00C64E8A">
        <w:rPr>
          <w:sz w:val="22"/>
          <w:szCs w:val="22"/>
        </w:rPr>
        <w:t xml:space="preserve">RUP Vallei van de Kleine </w:t>
      </w:r>
      <w:proofErr w:type="spellStart"/>
      <w:r w:rsidRPr="00C64E8A">
        <w:rPr>
          <w:sz w:val="22"/>
          <w:szCs w:val="22"/>
        </w:rPr>
        <w:t>Nete</w:t>
      </w:r>
      <w:proofErr w:type="spellEnd"/>
      <w:r w:rsidRPr="00C64E8A">
        <w:rPr>
          <w:sz w:val="22"/>
          <w:szCs w:val="22"/>
        </w:rPr>
        <w:t xml:space="preserve"> en Aa van N19 tot </w:t>
      </w:r>
      <w:proofErr w:type="spellStart"/>
      <w:r w:rsidRPr="00C64E8A">
        <w:rPr>
          <w:sz w:val="22"/>
          <w:szCs w:val="22"/>
        </w:rPr>
        <w:t>Grobbendonk</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Vallei van de Kleine </w:t>
      </w:r>
      <w:proofErr w:type="spellStart"/>
      <w:r w:rsidRPr="00C64E8A">
        <w:rPr>
          <w:sz w:val="22"/>
          <w:szCs w:val="22"/>
        </w:rPr>
        <w:t>Nete</w:t>
      </w:r>
      <w:proofErr w:type="spellEnd"/>
      <w:r w:rsidRPr="00C64E8A">
        <w:rPr>
          <w:sz w:val="22"/>
          <w:szCs w:val="22"/>
        </w:rPr>
        <w:t xml:space="preserve"> en </w:t>
      </w:r>
      <w:proofErr w:type="spellStart"/>
      <w:r w:rsidRPr="00C64E8A">
        <w:rPr>
          <w:sz w:val="22"/>
          <w:szCs w:val="22"/>
        </w:rPr>
        <w:t>Nete</w:t>
      </w:r>
      <w:proofErr w:type="spellEnd"/>
      <w:r w:rsidRPr="00C64E8A">
        <w:rPr>
          <w:sz w:val="22"/>
          <w:szCs w:val="22"/>
        </w:rPr>
        <w:t xml:space="preserve"> van </w:t>
      </w:r>
      <w:proofErr w:type="spellStart"/>
      <w:r w:rsidRPr="00C64E8A">
        <w:rPr>
          <w:sz w:val="22"/>
          <w:szCs w:val="22"/>
        </w:rPr>
        <w:t>Grobbendonk</w:t>
      </w:r>
      <w:proofErr w:type="spellEnd"/>
      <w:r w:rsidRPr="00C64E8A">
        <w:rPr>
          <w:sz w:val="22"/>
          <w:szCs w:val="22"/>
        </w:rPr>
        <w:t xml:space="preserve"> tot Lier</w:t>
      </w:r>
    </w:p>
    <w:p w:rsidR="00C64E8A" w:rsidRPr="00C64E8A" w:rsidRDefault="00C64E8A" w:rsidP="00C64E8A">
      <w:pPr>
        <w:numPr>
          <w:ilvl w:val="0"/>
          <w:numId w:val="20"/>
        </w:numPr>
        <w:contextualSpacing/>
        <w:rPr>
          <w:sz w:val="22"/>
          <w:szCs w:val="22"/>
        </w:rPr>
      </w:pPr>
      <w:r w:rsidRPr="00C64E8A">
        <w:rPr>
          <w:sz w:val="22"/>
          <w:szCs w:val="22"/>
        </w:rPr>
        <w:t xml:space="preserve">RUP Vallei van de Grote </w:t>
      </w:r>
      <w:proofErr w:type="spellStart"/>
      <w:r w:rsidRPr="00C64E8A">
        <w:rPr>
          <w:sz w:val="22"/>
          <w:szCs w:val="22"/>
        </w:rPr>
        <w:t>Nete</w:t>
      </w:r>
      <w:proofErr w:type="spellEnd"/>
      <w:r w:rsidRPr="00C64E8A">
        <w:rPr>
          <w:sz w:val="22"/>
          <w:szCs w:val="22"/>
        </w:rPr>
        <w:t xml:space="preserve"> van </w:t>
      </w:r>
      <w:proofErr w:type="spellStart"/>
      <w:r w:rsidRPr="00C64E8A">
        <w:rPr>
          <w:sz w:val="22"/>
          <w:szCs w:val="22"/>
        </w:rPr>
        <w:t>Zammels</w:t>
      </w:r>
      <w:proofErr w:type="spellEnd"/>
      <w:r w:rsidRPr="00C64E8A">
        <w:rPr>
          <w:sz w:val="22"/>
          <w:szCs w:val="22"/>
        </w:rPr>
        <w:t xml:space="preserve"> Broek tot Heist-op-den-Berg</w:t>
      </w:r>
    </w:p>
    <w:p w:rsidR="00C64E8A" w:rsidRPr="00C64E8A" w:rsidRDefault="00C64E8A" w:rsidP="00C64E8A">
      <w:pPr>
        <w:numPr>
          <w:ilvl w:val="0"/>
          <w:numId w:val="20"/>
        </w:numPr>
        <w:contextualSpacing/>
        <w:rPr>
          <w:sz w:val="22"/>
          <w:szCs w:val="22"/>
        </w:rPr>
      </w:pPr>
      <w:r w:rsidRPr="00C64E8A">
        <w:rPr>
          <w:sz w:val="22"/>
          <w:szCs w:val="22"/>
        </w:rPr>
        <w:t>RUP Gasthuisvelden-Donderheide</w:t>
      </w:r>
    </w:p>
    <w:p w:rsidR="00C64E8A" w:rsidRPr="00C64E8A" w:rsidRDefault="00C64E8A" w:rsidP="00C64E8A">
      <w:pPr>
        <w:numPr>
          <w:ilvl w:val="0"/>
          <w:numId w:val="20"/>
        </w:numPr>
        <w:contextualSpacing/>
        <w:rPr>
          <w:sz w:val="22"/>
          <w:szCs w:val="22"/>
        </w:rPr>
      </w:pPr>
      <w:r w:rsidRPr="00C64E8A">
        <w:rPr>
          <w:sz w:val="22"/>
          <w:szCs w:val="22"/>
        </w:rPr>
        <w:t>RUP Kempische Kleiputten</w:t>
      </w:r>
    </w:p>
    <w:p w:rsidR="00C64E8A" w:rsidRPr="00C64E8A" w:rsidRDefault="00C64E8A" w:rsidP="00C64E8A">
      <w:pPr>
        <w:numPr>
          <w:ilvl w:val="0"/>
          <w:numId w:val="20"/>
        </w:numPr>
        <w:contextualSpacing/>
        <w:rPr>
          <w:sz w:val="22"/>
          <w:szCs w:val="22"/>
        </w:rPr>
      </w:pPr>
      <w:r w:rsidRPr="00C64E8A">
        <w:rPr>
          <w:sz w:val="22"/>
          <w:szCs w:val="22"/>
        </w:rPr>
        <w:t>RUP Herbestemming militair vliegveld Malle</w:t>
      </w:r>
    </w:p>
    <w:p w:rsidR="00C64E8A" w:rsidRPr="00C64E8A" w:rsidRDefault="00C64E8A" w:rsidP="00C64E8A">
      <w:pPr>
        <w:numPr>
          <w:ilvl w:val="0"/>
          <w:numId w:val="20"/>
        </w:numPr>
        <w:contextualSpacing/>
        <w:rPr>
          <w:sz w:val="22"/>
          <w:szCs w:val="22"/>
        </w:rPr>
      </w:pPr>
      <w:r w:rsidRPr="00C64E8A">
        <w:rPr>
          <w:sz w:val="22"/>
          <w:szCs w:val="22"/>
        </w:rPr>
        <w:t>RUP De Liereman</w:t>
      </w:r>
    </w:p>
    <w:p w:rsidR="00C64E8A" w:rsidRPr="00C64E8A" w:rsidRDefault="00C64E8A" w:rsidP="00C64E8A">
      <w:pPr>
        <w:numPr>
          <w:ilvl w:val="0"/>
          <w:numId w:val="20"/>
        </w:numPr>
        <w:contextualSpacing/>
        <w:rPr>
          <w:sz w:val="22"/>
          <w:szCs w:val="22"/>
        </w:rPr>
      </w:pPr>
      <w:r w:rsidRPr="00C64E8A">
        <w:rPr>
          <w:sz w:val="22"/>
          <w:szCs w:val="22"/>
        </w:rPr>
        <w:t xml:space="preserve">RUP </w:t>
      </w:r>
      <w:proofErr w:type="spellStart"/>
      <w:r w:rsidRPr="00C64E8A">
        <w:rPr>
          <w:sz w:val="22"/>
          <w:szCs w:val="22"/>
        </w:rPr>
        <w:t>Postel</w:t>
      </w:r>
      <w:proofErr w:type="spellEnd"/>
    </w:p>
    <w:p w:rsidR="00C64E8A" w:rsidRPr="00C64E8A" w:rsidRDefault="00C64E8A" w:rsidP="00C64E8A">
      <w:pPr>
        <w:numPr>
          <w:ilvl w:val="0"/>
          <w:numId w:val="20"/>
        </w:numPr>
        <w:contextualSpacing/>
        <w:rPr>
          <w:sz w:val="22"/>
          <w:szCs w:val="22"/>
        </w:rPr>
      </w:pPr>
      <w:r w:rsidRPr="00C64E8A">
        <w:rPr>
          <w:sz w:val="22"/>
          <w:szCs w:val="22"/>
        </w:rPr>
        <w:t>RUP Randstedelijke open ruimte Aartselaar-</w:t>
      </w:r>
      <w:proofErr w:type="spellStart"/>
      <w:r w:rsidRPr="00C64E8A">
        <w:rPr>
          <w:sz w:val="22"/>
          <w:szCs w:val="22"/>
        </w:rPr>
        <w:t>Kontich</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w:t>
      </w:r>
      <w:proofErr w:type="spellStart"/>
      <w:r w:rsidRPr="00C64E8A">
        <w:rPr>
          <w:sz w:val="22"/>
          <w:szCs w:val="22"/>
        </w:rPr>
        <w:t>Dijlevallei</w:t>
      </w:r>
      <w:proofErr w:type="spellEnd"/>
      <w:r w:rsidRPr="00C64E8A">
        <w:rPr>
          <w:sz w:val="22"/>
          <w:szCs w:val="22"/>
        </w:rPr>
        <w:t xml:space="preserve"> </w:t>
      </w:r>
      <w:proofErr w:type="spellStart"/>
      <w:r w:rsidRPr="00C64E8A">
        <w:rPr>
          <w:sz w:val="22"/>
          <w:szCs w:val="22"/>
        </w:rPr>
        <w:t>Werchter-Hever</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Demervallei van Diest tot </w:t>
      </w:r>
      <w:proofErr w:type="spellStart"/>
      <w:r w:rsidRPr="00C64E8A">
        <w:rPr>
          <w:sz w:val="22"/>
          <w:szCs w:val="22"/>
        </w:rPr>
        <w:t>Werchter</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Vallei van de </w:t>
      </w:r>
      <w:proofErr w:type="spellStart"/>
      <w:r w:rsidRPr="00C64E8A">
        <w:rPr>
          <w:sz w:val="22"/>
          <w:szCs w:val="22"/>
        </w:rPr>
        <w:t>Nederaalbeek</w:t>
      </w:r>
      <w:proofErr w:type="spellEnd"/>
      <w:r w:rsidRPr="00C64E8A">
        <w:rPr>
          <w:sz w:val="22"/>
          <w:szCs w:val="22"/>
        </w:rPr>
        <w:t xml:space="preserve"> in </w:t>
      </w:r>
      <w:proofErr w:type="spellStart"/>
      <w:r w:rsidRPr="00C64E8A">
        <w:rPr>
          <w:sz w:val="22"/>
          <w:szCs w:val="22"/>
        </w:rPr>
        <w:t>Maarkedal</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Moervaartvallei </w:t>
      </w:r>
      <w:proofErr w:type="spellStart"/>
      <w:r w:rsidRPr="00C64E8A">
        <w:rPr>
          <w:sz w:val="22"/>
          <w:szCs w:val="22"/>
        </w:rPr>
        <w:t>Mendonk-Wachtebeke</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w:t>
      </w:r>
      <w:proofErr w:type="spellStart"/>
      <w:r w:rsidRPr="00C64E8A">
        <w:rPr>
          <w:sz w:val="22"/>
          <w:szCs w:val="22"/>
        </w:rPr>
        <w:t>Vinderhoutse</w:t>
      </w:r>
      <w:proofErr w:type="spellEnd"/>
      <w:r w:rsidRPr="00C64E8A">
        <w:rPr>
          <w:sz w:val="22"/>
          <w:szCs w:val="22"/>
        </w:rPr>
        <w:t xml:space="preserve"> bossen en vallei van de Oude Kale</w:t>
      </w:r>
    </w:p>
    <w:p w:rsidR="00C64E8A" w:rsidRPr="00C64E8A" w:rsidRDefault="00C64E8A" w:rsidP="00C64E8A">
      <w:pPr>
        <w:numPr>
          <w:ilvl w:val="0"/>
          <w:numId w:val="20"/>
        </w:numPr>
        <w:contextualSpacing/>
        <w:rPr>
          <w:sz w:val="22"/>
          <w:szCs w:val="22"/>
        </w:rPr>
      </w:pPr>
      <w:r w:rsidRPr="00C64E8A">
        <w:rPr>
          <w:sz w:val="22"/>
          <w:szCs w:val="22"/>
        </w:rPr>
        <w:t xml:space="preserve">RUP </w:t>
      </w:r>
      <w:proofErr w:type="spellStart"/>
      <w:r w:rsidRPr="00C64E8A">
        <w:rPr>
          <w:sz w:val="22"/>
          <w:szCs w:val="22"/>
        </w:rPr>
        <w:t>Maldegemveld</w:t>
      </w:r>
      <w:proofErr w:type="spellEnd"/>
    </w:p>
    <w:p w:rsidR="00C64E8A" w:rsidRPr="00C64E8A" w:rsidRDefault="00C64E8A" w:rsidP="00C64E8A">
      <w:pPr>
        <w:numPr>
          <w:ilvl w:val="0"/>
          <w:numId w:val="20"/>
        </w:numPr>
        <w:contextualSpacing/>
        <w:rPr>
          <w:sz w:val="22"/>
          <w:szCs w:val="22"/>
        </w:rPr>
      </w:pPr>
      <w:r w:rsidRPr="00C64E8A">
        <w:rPr>
          <w:sz w:val="22"/>
          <w:szCs w:val="22"/>
        </w:rPr>
        <w:t>RUP Landbouwgebieden en beekvalleien Sint-Lievens-</w:t>
      </w:r>
      <w:proofErr w:type="spellStart"/>
      <w:r w:rsidRPr="00C64E8A">
        <w:rPr>
          <w:sz w:val="22"/>
          <w:szCs w:val="22"/>
        </w:rPr>
        <w:t>Houtem</w:t>
      </w:r>
      <w:proofErr w:type="spellEnd"/>
      <w:r w:rsidRPr="00C64E8A">
        <w:rPr>
          <w:sz w:val="22"/>
          <w:szCs w:val="22"/>
        </w:rPr>
        <w:t xml:space="preserve"> en </w:t>
      </w:r>
      <w:proofErr w:type="spellStart"/>
      <w:r w:rsidRPr="00C64E8A">
        <w:rPr>
          <w:sz w:val="22"/>
          <w:szCs w:val="22"/>
        </w:rPr>
        <w:t>Kottembos</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w:t>
      </w:r>
      <w:proofErr w:type="spellStart"/>
      <w:r w:rsidRPr="00C64E8A">
        <w:rPr>
          <w:sz w:val="22"/>
          <w:szCs w:val="22"/>
        </w:rPr>
        <w:t>Zeeschelde</w:t>
      </w:r>
      <w:proofErr w:type="spellEnd"/>
      <w:r w:rsidRPr="00C64E8A">
        <w:rPr>
          <w:sz w:val="22"/>
          <w:szCs w:val="22"/>
        </w:rPr>
        <w:t xml:space="preserve"> </w:t>
      </w:r>
      <w:proofErr w:type="spellStart"/>
      <w:r w:rsidRPr="00C64E8A">
        <w:rPr>
          <w:sz w:val="22"/>
          <w:szCs w:val="22"/>
        </w:rPr>
        <w:t>Gentbrugge</w:t>
      </w:r>
      <w:proofErr w:type="spellEnd"/>
      <w:r w:rsidRPr="00C64E8A">
        <w:rPr>
          <w:sz w:val="22"/>
          <w:szCs w:val="22"/>
        </w:rPr>
        <w:t>-Melle en Bastenakkers-Ham</w:t>
      </w:r>
    </w:p>
    <w:p w:rsidR="00C64E8A" w:rsidRPr="00C64E8A" w:rsidRDefault="00C64E8A" w:rsidP="00C64E8A">
      <w:pPr>
        <w:numPr>
          <w:ilvl w:val="0"/>
          <w:numId w:val="20"/>
        </w:numPr>
        <w:contextualSpacing/>
        <w:rPr>
          <w:sz w:val="22"/>
          <w:szCs w:val="22"/>
        </w:rPr>
      </w:pPr>
      <w:r w:rsidRPr="00C64E8A">
        <w:rPr>
          <w:sz w:val="22"/>
          <w:szCs w:val="22"/>
        </w:rPr>
        <w:t>RUP Vlaamse Ardennen van Kluisbergen tot Koppenberg</w:t>
      </w:r>
    </w:p>
    <w:p w:rsidR="00C64E8A" w:rsidRPr="00C64E8A" w:rsidRDefault="00C64E8A" w:rsidP="00C64E8A">
      <w:pPr>
        <w:numPr>
          <w:ilvl w:val="0"/>
          <w:numId w:val="20"/>
        </w:numPr>
        <w:contextualSpacing/>
        <w:rPr>
          <w:sz w:val="22"/>
          <w:szCs w:val="22"/>
        </w:rPr>
      </w:pPr>
      <w:r w:rsidRPr="00C64E8A">
        <w:rPr>
          <w:sz w:val="22"/>
          <w:szCs w:val="22"/>
        </w:rPr>
        <w:t xml:space="preserve">RUP </w:t>
      </w:r>
      <w:proofErr w:type="spellStart"/>
      <w:r w:rsidRPr="00C64E8A">
        <w:rPr>
          <w:sz w:val="22"/>
          <w:szCs w:val="22"/>
        </w:rPr>
        <w:t>Fondatie-Heernisse</w:t>
      </w:r>
      <w:proofErr w:type="spellEnd"/>
    </w:p>
    <w:p w:rsidR="00C64E8A" w:rsidRPr="00C64E8A" w:rsidRDefault="00C64E8A" w:rsidP="00C64E8A">
      <w:pPr>
        <w:numPr>
          <w:ilvl w:val="0"/>
          <w:numId w:val="20"/>
        </w:numPr>
        <w:contextualSpacing/>
        <w:rPr>
          <w:sz w:val="22"/>
          <w:szCs w:val="22"/>
        </w:rPr>
      </w:pPr>
      <w:r w:rsidRPr="00C64E8A">
        <w:rPr>
          <w:sz w:val="22"/>
          <w:szCs w:val="22"/>
        </w:rPr>
        <w:t>RUP Ieperboog-zuid</w:t>
      </w:r>
    </w:p>
    <w:p w:rsidR="00C64E8A" w:rsidRPr="00C64E8A" w:rsidRDefault="00C64E8A" w:rsidP="00C64E8A">
      <w:pPr>
        <w:numPr>
          <w:ilvl w:val="0"/>
          <w:numId w:val="20"/>
        </w:numPr>
        <w:contextualSpacing/>
        <w:rPr>
          <w:sz w:val="22"/>
          <w:szCs w:val="22"/>
        </w:rPr>
      </w:pPr>
      <w:r w:rsidRPr="00C64E8A">
        <w:rPr>
          <w:sz w:val="22"/>
          <w:szCs w:val="22"/>
        </w:rPr>
        <w:t xml:space="preserve">RUP Kustpolders tussen Oudenburg en </w:t>
      </w:r>
      <w:proofErr w:type="spellStart"/>
      <w:r w:rsidRPr="00C64E8A">
        <w:rPr>
          <w:sz w:val="22"/>
          <w:szCs w:val="22"/>
        </w:rPr>
        <w:t>Jabbeke</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Leievallei van </w:t>
      </w:r>
      <w:proofErr w:type="spellStart"/>
      <w:r w:rsidRPr="00C64E8A">
        <w:rPr>
          <w:sz w:val="22"/>
          <w:szCs w:val="22"/>
        </w:rPr>
        <w:t>Bavikhove</w:t>
      </w:r>
      <w:proofErr w:type="spellEnd"/>
      <w:r w:rsidRPr="00C64E8A">
        <w:rPr>
          <w:sz w:val="22"/>
          <w:szCs w:val="22"/>
        </w:rPr>
        <w:t xml:space="preserve"> tot Deinze</w:t>
      </w:r>
    </w:p>
    <w:p w:rsidR="00C64E8A" w:rsidRPr="00C64E8A" w:rsidRDefault="00C64E8A" w:rsidP="00C64E8A">
      <w:pPr>
        <w:numPr>
          <w:ilvl w:val="0"/>
          <w:numId w:val="20"/>
        </w:numPr>
        <w:contextualSpacing/>
        <w:rPr>
          <w:sz w:val="22"/>
          <w:szCs w:val="22"/>
        </w:rPr>
      </w:pPr>
      <w:r w:rsidRPr="00C64E8A">
        <w:rPr>
          <w:sz w:val="22"/>
          <w:szCs w:val="22"/>
        </w:rPr>
        <w:t xml:space="preserve">RUP De </w:t>
      </w:r>
      <w:proofErr w:type="spellStart"/>
      <w:r w:rsidRPr="00C64E8A">
        <w:rPr>
          <w:sz w:val="22"/>
          <w:szCs w:val="22"/>
        </w:rPr>
        <w:t>Gavers</w:t>
      </w:r>
      <w:proofErr w:type="spellEnd"/>
    </w:p>
    <w:p w:rsidR="00C64E8A" w:rsidRPr="00C64E8A" w:rsidRDefault="00C64E8A" w:rsidP="00C64E8A">
      <w:pPr>
        <w:numPr>
          <w:ilvl w:val="0"/>
          <w:numId w:val="20"/>
        </w:numPr>
        <w:contextualSpacing/>
        <w:rPr>
          <w:sz w:val="22"/>
          <w:szCs w:val="22"/>
        </w:rPr>
      </w:pPr>
      <w:r w:rsidRPr="00C64E8A">
        <w:rPr>
          <w:sz w:val="22"/>
          <w:szCs w:val="22"/>
        </w:rPr>
        <w:t xml:space="preserve">RUP Landbouwgebieden en beekvalleien tussen </w:t>
      </w:r>
      <w:proofErr w:type="spellStart"/>
      <w:r w:rsidRPr="00C64E8A">
        <w:rPr>
          <w:sz w:val="22"/>
          <w:szCs w:val="22"/>
        </w:rPr>
        <w:t>Helchteren</w:t>
      </w:r>
      <w:proofErr w:type="spellEnd"/>
      <w:r w:rsidRPr="00C64E8A">
        <w:rPr>
          <w:sz w:val="22"/>
          <w:szCs w:val="22"/>
        </w:rPr>
        <w:t>, Peer en Meeuwen</w:t>
      </w:r>
    </w:p>
    <w:p w:rsidR="00C64E8A" w:rsidRPr="00C64E8A" w:rsidRDefault="00C64E8A" w:rsidP="00C64E8A">
      <w:pPr>
        <w:numPr>
          <w:ilvl w:val="0"/>
          <w:numId w:val="20"/>
        </w:numPr>
        <w:contextualSpacing/>
        <w:rPr>
          <w:sz w:val="22"/>
          <w:szCs w:val="22"/>
        </w:rPr>
      </w:pPr>
      <w:r w:rsidRPr="00C64E8A">
        <w:rPr>
          <w:sz w:val="22"/>
          <w:szCs w:val="22"/>
        </w:rPr>
        <w:t xml:space="preserve">RUP </w:t>
      </w:r>
      <w:proofErr w:type="spellStart"/>
      <w:r w:rsidRPr="00C64E8A">
        <w:rPr>
          <w:sz w:val="22"/>
          <w:szCs w:val="22"/>
        </w:rPr>
        <w:t>Gerkenberg</w:t>
      </w:r>
      <w:proofErr w:type="spellEnd"/>
      <w:r w:rsidRPr="00C64E8A">
        <w:rPr>
          <w:sz w:val="22"/>
          <w:szCs w:val="22"/>
        </w:rPr>
        <w:t>-Herenbossen</w:t>
      </w:r>
    </w:p>
    <w:p w:rsidR="00C64E8A" w:rsidRPr="00C64E8A" w:rsidRDefault="00C64E8A" w:rsidP="00C64E8A">
      <w:pPr>
        <w:numPr>
          <w:ilvl w:val="0"/>
          <w:numId w:val="20"/>
        </w:numPr>
        <w:contextualSpacing/>
        <w:rPr>
          <w:sz w:val="22"/>
          <w:szCs w:val="22"/>
        </w:rPr>
      </w:pPr>
      <w:r w:rsidRPr="00C64E8A">
        <w:rPr>
          <w:sz w:val="22"/>
          <w:szCs w:val="22"/>
        </w:rPr>
        <w:t xml:space="preserve">RUP Vallei van de </w:t>
      </w:r>
      <w:proofErr w:type="spellStart"/>
      <w:r w:rsidRPr="00C64E8A">
        <w:rPr>
          <w:sz w:val="22"/>
          <w:szCs w:val="22"/>
        </w:rPr>
        <w:t>Kelsbeek</w:t>
      </w:r>
      <w:proofErr w:type="spellEnd"/>
      <w:r w:rsidRPr="00C64E8A">
        <w:rPr>
          <w:sz w:val="22"/>
          <w:szCs w:val="22"/>
        </w:rPr>
        <w:t xml:space="preserve"> en Nieuwenhoven</w:t>
      </w:r>
    </w:p>
    <w:p w:rsidR="00C64E8A" w:rsidRPr="00C64E8A" w:rsidRDefault="00C64E8A" w:rsidP="00C64E8A">
      <w:pPr>
        <w:numPr>
          <w:ilvl w:val="0"/>
          <w:numId w:val="20"/>
        </w:numPr>
        <w:contextualSpacing/>
        <w:rPr>
          <w:sz w:val="22"/>
          <w:szCs w:val="22"/>
        </w:rPr>
      </w:pPr>
      <w:r w:rsidRPr="00C64E8A">
        <w:rPr>
          <w:sz w:val="22"/>
          <w:szCs w:val="22"/>
        </w:rPr>
        <w:t xml:space="preserve">RUP Projectgrindwinning </w:t>
      </w:r>
      <w:proofErr w:type="spellStart"/>
      <w:r w:rsidRPr="00C64E8A">
        <w:rPr>
          <w:sz w:val="22"/>
          <w:szCs w:val="22"/>
        </w:rPr>
        <w:t>Elerweerd</w:t>
      </w:r>
      <w:proofErr w:type="spellEnd"/>
    </w:p>
    <w:p w:rsidR="00C64E8A" w:rsidRPr="00C64E8A" w:rsidRDefault="00C64E8A" w:rsidP="00C64E8A">
      <w:pPr>
        <w:rPr>
          <w:sz w:val="22"/>
          <w:szCs w:val="22"/>
        </w:rPr>
      </w:pPr>
    </w:p>
    <w:p w:rsidR="00C64E8A" w:rsidRPr="00C64E8A" w:rsidRDefault="00C64E8A" w:rsidP="00342A61">
      <w:pPr>
        <w:ind w:left="426" w:hanging="66"/>
        <w:jc w:val="both"/>
        <w:rPr>
          <w:sz w:val="22"/>
          <w:szCs w:val="22"/>
        </w:rPr>
      </w:pPr>
      <w:r w:rsidRPr="00C64E8A">
        <w:rPr>
          <w:sz w:val="22"/>
          <w:szCs w:val="22"/>
        </w:rPr>
        <w:t>In functie van de beschikbare mensen en middelen worden deze gebiedsgerichte processen ste</w:t>
      </w:r>
      <w:r w:rsidRPr="00C64E8A">
        <w:rPr>
          <w:sz w:val="22"/>
          <w:szCs w:val="22"/>
        </w:rPr>
        <w:t>l</w:t>
      </w:r>
      <w:bookmarkStart w:id="0" w:name="_GoBack"/>
      <w:bookmarkEnd w:id="0"/>
      <w:r w:rsidRPr="00C64E8A">
        <w:rPr>
          <w:sz w:val="22"/>
          <w:szCs w:val="22"/>
        </w:rPr>
        <w:t>selmatig verder gezet en afgerond wanneer er voldoende maatschappelijk draagvlak gevonden wordt en duidelijkheid over de in te zetten instrumenten inzake inrichting en flankerend beleid.</w:t>
      </w:r>
    </w:p>
    <w:p w:rsidR="00C64E8A" w:rsidRPr="00C64E8A" w:rsidRDefault="00C64E8A" w:rsidP="00C64E8A">
      <w:pPr>
        <w:rPr>
          <w:sz w:val="22"/>
          <w:szCs w:val="22"/>
        </w:rPr>
      </w:pPr>
    </w:p>
    <w:p w:rsidR="00C64E8A" w:rsidRPr="00C64E8A" w:rsidRDefault="00C64E8A" w:rsidP="00342A61">
      <w:pPr>
        <w:ind w:left="426" w:hanging="66"/>
        <w:jc w:val="both"/>
        <w:rPr>
          <w:sz w:val="22"/>
          <w:szCs w:val="22"/>
        </w:rPr>
      </w:pPr>
      <w:r w:rsidRPr="00C64E8A">
        <w:rPr>
          <w:sz w:val="22"/>
          <w:szCs w:val="22"/>
        </w:rPr>
        <w:t xml:space="preserve">Voor meer specifieke informatie over de lopende overlegprocessen wordt verwezen naar </w:t>
      </w:r>
      <w:hyperlink r:id="rId9" w:history="1">
        <w:r w:rsidRPr="00C64E8A">
          <w:rPr>
            <w:color w:val="0000FF"/>
            <w:sz w:val="22"/>
            <w:szCs w:val="22"/>
            <w:u w:val="single"/>
          </w:rPr>
          <w:t>www.vlaanderen.be/agnas</w:t>
        </w:r>
      </w:hyperlink>
      <w:r w:rsidRPr="00C64E8A">
        <w:rPr>
          <w:sz w:val="22"/>
          <w:szCs w:val="22"/>
        </w:rPr>
        <w:t xml:space="preserve">. </w:t>
      </w:r>
    </w:p>
    <w:p w:rsidR="000241E8" w:rsidRPr="00846D39" w:rsidRDefault="000241E8" w:rsidP="0021330B">
      <w:pPr>
        <w:pStyle w:val="StandaardSV"/>
      </w:pPr>
    </w:p>
    <w:sectPr w:rsidR="000241E8" w:rsidRPr="00846D3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1827BE8"/>
    <w:multiLevelType w:val="hybridMultilevel"/>
    <w:tmpl w:val="A0E4ED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61B6EE7"/>
    <w:multiLevelType w:val="hybridMultilevel"/>
    <w:tmpl w:val="C99C16E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8D157EE"/>
    <w:multiLevelType w:val="hybridMultilevel"/>
    <w:tmpl w:val="AE96515A"/>
    <w:lvl w:ilvl="0" w:tplc="BCB4F51C">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F0D2529"/>
    <w:multiLevelType w:val="hybridMultilevel"/>
    <w:tmpl w:val="92FEB6E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4A127BB"/>
    <w:multiLevelType w:val="hybridMultilevel"/>
    <w:tmpl w:val="D8445D6E"/>
    <w:lvl w:ilvl="0" w:tplc="BCB4F51C">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DC23FDF"/>
    <w:multiLevelType w:val="hybridMultilevel"/>
    <w:tmpl w:val="2AE86F0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2E942059"/>
    <w:multiLevelType w:val="hybridMultilevel"/>
    <w:tmpl w:val="4E7E8F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74B3D1A"/>
    <w:multiLevelType w:val="hybridMultilevel"/>
    <w:tmpl w:val="90884B8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49AB6204"/>
    <w:multiLevelType w:val="hybridMultilevel"/>
    <w:tmpl w:val="1C88FF3C"/>
    <w:lvl w:ilvl="0" w:tplc="29642F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B25205E"/>
    <w:multiLevelType w:val="hybridMultilevel"/>
    <w:tmpl w:val="DED409BA"/>
    <w:lvl w:ilvl="0" w:tplc="BCB4F51C">
      <w:start w:val="1"/>
      <w:numFmt w:val="bullet"/>
      <w:lvlText w:val="-"/>
      <w:lvlJc w:val="left"/>
      <w:pPr>
        <w:ind w:left="1800" w:hanging="360"/>
      </w:pPr>
      <w:rPr>
        <w:rFonts w:ascii="Arial" w:hAnsi="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nsid w:val="4C7F7B70"/>
    <w:multiLevelType w:val="hybridMultilevel"/>
    <w:tmpl w:val="71DEE8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6CA420F6"/>
    <w:multiLevelType w:val="hybridMultilevel"/>
    <w:tmpl w:val="DA42CCE4"/>
    <w:lvl w:ilvl="0" w:tplc="0813000F">
      <w:start w:val="1"/>
      <w:numFmt w:val="decimal"/>
      <w:lvlText w:val="%1."/>
      <w:lvlJc w:val="left"/>
      <w:pPr>
        <w:ind w:left="720" w:hanging="360"/>
      </w:pPr>
    </w:lvl>
    <w:lvl w:ilvl="1" w:tplc="F61AD3CC">
      <w:start w:val="1"/>
      <w:numFmt w:val="lowerLetter"/>
      <w:lvlText w:val="%2)"/>
      <w:lvlJc w:val="left"/>
      <w:pPr>
        <w:ind w:left="1785" w:hanging="70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CDC13AE"/>
    <w:multiLevelType w:val="hybridMultilevel"/>
    <w:tmpl w:val="1856EF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711B6F10"/>
    <w:multiLevelType w:val="hybridMultilevel"/>
    <w:tmpl w:val="10D876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7F110567"/>
    <w:multiLevelType w:val="hybridMultilevel"/>
    <w:tmpl w:val="ECD2F4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0"/>
  </w:num>
  <w:num w:numId="4">
    <w:abstractNumId w:val="15"/>
  </w:num>
  <w:num w:numId="5">
    <w:abstractNumId w:val="10"/>
  </w:num>
  <w:num w:numId="6">
    <w:abstractNumId w:val="5"/>
  </w:num>
  <w:num w:numId="7">
    <w:abstractNumId w:val="8"/>
  </w:num>
  <w:num w:numId="8">
    <w:abstractNumId w:val="17"/>
  </w:num>
  <w:num w:numId="9">
    <w:abstractNumId w:val="12"/>
  </w:num>
  <w:num w:numId="10">
    <w:abstractNumId w:val="4"/>
  </w:num>
  <w:num w:numId="11">
    <w:abstractNumId w:val="2"/>
  </w:num>
  <w:num w:numId="12">
    <w:abstractNumId w:val="19"/>
  </w:num>
  <w:num w:numId="13">
    <w:abstractNumId w:val="9"/>
  </w:num>
  <w:num w:numId="14">
    <w:abstractNumId w:val="18"/>
  </w:num>
  <w:num w:numId="15">
    <w:abstractNumId w:val="14"/>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CB5"/>
    <w:rsid w:val="000241E8"/>
    <w:rsid w:val="00037F08"/>
    <w:rsid w:val="000576B9"/>
    <w:rsid w:val="000A7DA9"/>
    <w:rsid w:val="000B7131"/>
    <w:rsid w:val="000F0E85"/>
    <w:rsid w:val="000F439C"/>
    <w:rsid w:val="0017627F"/>
    <w:rsid w:val="001D1CB5"/>
    <w:rsid w:val="0021330B"/>
    <w:rsid w:val="00217E8E"/>
    <w:rsid w:val="00226D1E"/>
    <w:rsid w:val="00227C2C"/>
    <w:rsid w:val="00281681"/>
    <w:rsid w:val="002C12F4"/>
    <w:rsid w:val="002D3319"/>
    <w:rsid w:val="002F1335"/>
    <w:rsid w:val="00342A61"/>
    <w:rsid w:val="003D4E7F"/>
    <w:rsid w:val="003F228F"/>
    <w:rsid w:val="00437A5A"/>
    <w:rsid w:val="005A3E9A"/>
    <w:rsid w:val="005F6D01"/>
    <w:rsid w:val="006547D0"/>
    <w:rsid w:val="006A3F69"/>
    <w:rsid w:val="006E7BC2"/>
    <w:rsid w:val="00711D75"/>
    <w:rsid w:val="0072391E"/>
    <w:rsid w:val="007319D1"/>
    <w:rsid w:val="00740794"/>
    <w:rsid w:val="007419A6"/>
    <w:rsid w:val="0075603B"/>
    <w:rsid w:val="00786BF1"/>
    <w:rsid w:val="007C7AD4"/>
    <w:rsid w:val="007E161B"/>
    <w:rsid w:val="00815A8A"/>
    <w:rsid w:val="00834057"/>
    <w:rsid w:val="00850537"/>
    <w:rsid w:val="008603C2"/>
    <w:rsid w:val="008C509A"/>
    <w:rsid w:val="0091795F"/>
    <w:rsid w:val="00A14FC5"/>
    <w:rsid w:val="00A9609C"/>
    <w:rsid w:val="00AE556D"/>
    <w:rsid w:val="00AE7591"/>
    <w:rsid w:val="00BC7D59"/>
    <w:rsid w:val="00C503DD"/>
    <w:rsid w:val="00C64E8A"/>
    <w:rsid w:val="00C717C5"/>
    <w:rsid w:val="00CC57E8"/>
    <w:rsid w:val="00D13E36"/>
    <w:rsid w:val="00D2542B"/>
    <w:rsid w:val="00D37541"/>
    <w:rsid w:val="00D43242"/>
    <w:rsid w:val="00E07C92"/>
    <w:rsid w:val="00E149EF"/>
    <w:rsid w:val="00E95956"/>
    <w:rsid w:val="00E95BC8"/>
    <w:rsid w:val="00EE7C2B"/>
    <w:rsid w:val="00EF68D2"/>
    <w:rsid w:val="00EF7AF5"/>
    <w:rsid w:val="00FA1C46"/>
    <w:rsid w:val="00FC3A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styleId="Hyperlink">
    <w:name w:val="Hyperlink"/>
    <w:rsid w:val="00281681"/>
    <w:rPr>
      <w:color w:val="0000FF"/>
      <w:u w:val="single"/>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72391E"/>
    <w:pPr>
      <w:ind w:left="708"/>
    </w:pPr>
    <w:rPr>
      <w:szCs w:val="24"/>
    </w:rPr>
  </w:style>
  <w:style w:type="table" w:styleId="Tabelraster">
    <w:name w:val="Table Grid"/>
    <w:basedOn w:val="Standaardtabel"/>
    <w:uiPriority w:val="59"/>
    <w:rsid w:val="008505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rsid w:val="002D3319"/>
    <w:rPr>
      <w:sz w:val="16"/>
      <w:szCs w:val="16"/>
    </w:rPr>
  </w:style>
  <w:style w:type="paragraph" w:styleId="Tekstopmerking">
    <w:name w:val="annotation text"/>
    <w:basedOn w:val="Standaard"/>
    <w:link w:val="TekstopmerkingChar"/>
    <w:rsid w:val="002D3319"/>
    <w:rPr>
      <w:sz w:val="20"/>
    </w:rPr>
  </w:style>
  <w:style w:type="character" w:customStyle="1" w:styleId="TekstopmerkingChar">
    <w:name w:val="Tekst opmerking Char"/>
    <w:link w:val="Tekstopmerking"/>
    <w:rsid w:val="002D3319"/>
    <w:rPr>
      <w:lang w:val="nl-NL" w:eastAsia="nl-NL"/>
    </w:rPr>
  </w:style>
  <w:style w:type="paragraph" w:styleId="Onderwerpvanopmerking">
    <w:name w:val="annotation subject"/>
    <w:basedOn w:val="Tekstopmerking"/>
    <w:next w:val="Tekstopmerking"/>
    <w:link w:val="OnderwerpvanopmerkingChar"/>
    <w:rsid w:val="002D3319"/>
    <w:rPr>
      <w:b/>
      <w:bCs/>
    </w:rPr>
  </w:style>
  <w:style w:type="character" w:customStyle="1" w:styleId="OnderwerpvanopmerkingChar">
    <w:name w:val="Onderwerp van opmerking Char"/>
    <w:link w:val="Onderwerpvanopmerking"/>
    <w:rsid w:val="002D3319"/>
    <w:rPr>
      <w:b/>
      <w:bCs/>
      <w:lang w:val="nl-NL" w:eastAsia="nl-NL"/>
    </w:rPr>
  </w:style>
  <w:style w:type="paragraph" w:styleId="Ballontekst">
    <w:name w:val="Balloon Text"/>
    <w:basedOn w:val="Standaard"/>
    <w:link w:val="BallontekstChar"/>
    <w:rsid w:val="002D3319"/>
    <w:rPr>
      <w:rFonts w:ascii="Tahoma" w:hAnsi="Tahoma" w:cs="Tahoma"/>
      <w:sz w:val="16"/>
      <w:szCs w:val="16"/>
    </w:rPr>
  </w:style>
  <w:style w:type="character" w:customStyle="1" w:styleId="BallontekstChar">
    <w:name w:val="Ballontekst Char"/>
    <w:link w:val="Ballontekst"/>
    <w:rsid w:val="002D331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vlaanderen.be/agna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ntwoord op Schriftelijke Vraag" ma:contentTypeID="0x010100E5E0931E1CB83A468B4B8E7FF64947DC00F0FA620FBCC1C7489F494BA802E7FE92" ma:contentTypeVersion="" ma:contentTypeDescription="Antwoord op schriftelijke vraag van Philippe Muyters." ma:contentTypeScope="" ma:versionID="c2836134e4134aafad0f3e232c4917ec">
  <xsd:schema xmlns:xsd="http://www.w3.org/2001/XMLSchema" xmlns:xs="http://www.w3.org/2001/XMLSchema" xmlns:p="http://schemas.microsoft.com/office/2006/metadata/properties" targetNamespace="http://schemas.microsoft.com/office/2006/metadata/properties" ma:root="true" ma:fieldsID="ec48c7e54ecd3c8e4355cbb98930ff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ED88D-713E-442C-A8AA-2A99B43C8BCA}">
  <ds:schemaRefs>
    <ds:schemaRef ds:uri="http://schemas.microsoft.com/sharepoint/v3/contenttype/forms"/>
  </ds:schemaRefs>
</ds:datastoreItem>
</file>

<file path=customXml/itemProps2.xml><?xml version="1.0" encoding="utf-8"?>
<ds:datastoreItem xmlns:ds="http://schemas.openxmlformats.org/officeDocument/2006/customXml" ds:itemID="{92424ED0-B231-4C9A-848A-F75A5078517A}">
  <ds:schemaRefs>
    <ds:schemaRef ds:uri="http://schemas.microsoft.com/office/2006/metadata/longProperties"/>
  </ds:schemaRefs>
</ds:datastoreItem>
</file>

<file path=customXml/itemProps3.xml><?xml version="1.0" encoding="utf-8"?>
<ds:datastoreItem xmlns:ds="http://schemas.openxmlformats.org/officeDocument/2006/customXml" ds:itemID="{AA78DCF2-8B81-4BC1-9EDC-2ACCE0CF4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07F070-9ADF-477D-A46B-E7B0035EC3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5692</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Ruimtebalans  -  Stand van zaken</vt:lpstr>
    </vt:vector>
  </TitlesOfParts>
  <Company>Vlaams Parlement</Company>
  <LinksUpToDate>false</LinksUpToDate>
  <CharactersWithSpaces>6713</CharactersWithSpaces>
  <SharedDoc>false</SharedDoc>
  <HLinks>
    <vt:vector size="6" baseType="variant">
      <vt:variant>
        <vt:i4>6619246</vt:i4>
      </vt:variant>
      <vt:variant>
        <vt:i4>0</vt:i4>
      </vt:variant>
      <vt:variant>
        <vt:i4>0</vt:i4>
      </vt:variant>
      <vt:variant>
        <vt:i4>5</vt:i4>
      </vt:variant>
      <vt:variant>
        <vt:lpwstr>http://www.vlaanderen.be/agnas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Ruimtebalans  -  Stand van zaken</dc:title>
  <dc:subject/>
  <dc:creator>Isabelle Cauwel</dc:creator>
  <cp:keywords/>
  <cp:lastModifiedBy>Vlaams Parlement</cp:lastModifiedBy>
  <cp:revision>2</cp:revision>
  <cp:lastPrinted>2014-04-07T09:51:00Z</cp:lastPrinted>
  <dcterms:created xsi:type="dcterms:W3CDTF">2014-04-07T09:51:00Z</dcterms:created>
  <dcterms:modified xsi:type="dcterms:W3CDTF">2014-04-07T09:51:00Z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ReceivedDate">
    <vt:lpwstr>2014-03-19T00:00:00Z</vt:lpwstr>
  </property>
  <property fmtid="{D5CDD505-2E9C-101B-9397-08002B2CF9AE}" pid="3" name="PostVakInQuestionReasonGP">
    <vt:lpwstr/>
  </property>
  <property fmtid="{D5CDD505-2E9C-101B-9397-08002B2CF9AE}" pid="4" name="PostVakInQuestionReason">
    <vt:lpwstr/>
  </property>
  <property fmtid="{D5CDD505-2E9C-101B-9397-08002B2CF9AE}" pid="5" name="PostVakInCategorie">
    <vt:lpwstr/>
  </property>
  <property fmtid="{D5CDD505-2E9C-101B-9397-08002B2CF9AE}" pid="6" name="PostVakInKenmerkAfzender">
    <vt:lpwstr>515</vt:lpwstr>
  </property>
  <property fmtid="{D5CDD505-2E9C-101B-9397-08002B2CF9AE}" pid="7" name="PostVakInEigenDossierNummer">
    <vt:lpwstr/>
  </property>
  <property fmtid="{D5CDD505-2E9C-101B-9397-08002B2CF9AE}" pid="8" name="StafApprovalNeeded">
    <vt:lpwstr>1</vt:lpwstr>
  </property>
  <property fmtid="{D5CDD505-2E9C-101B-9397-08002B2CF9AE}" pid="9" name="Kabinet">
    <vt:lpwstr>1</vt:lpwstr>
  </property>
  <property fmtid="{D5CDD505-2E9C-101B-9397-08002B2CF9AE}" pid="10" name="ValidationRequired">
    <vt:lpwstr>0</vt:lpwstr>
  </property>
  <property fmtid="{D5CDD505-2E9C-101B-9397-08002B2CF9AE}" pid="11" name="PostVakInSendingDate">
    <vt:lpwstr>2014-03-19T00:00:00Z</vt:lpwstr>
  </property>
  <property fmtid="{D5CDD505-2E9C-101B-9397-08002B2CF9AE}" pid="12" name="PostVakInQuestionType">
    <vt:lpwstr/>
  </property>
  <property fmtid="{D5CDD505-2E9C-101B-9397-08002B2CF9AE}" pid="13" name="PriorPost">
    <vt:lpwstr>0</vt:lpwstr>
  </property>
  <property fmtid="{D5CDD505-2E9C-101B-9397-08002B2CF9AE}" pid="14" name="SignedPost">
    <vt:lpwstr>0</vt:lpwstr>
  </property>
  <property fmtid="{D5CDD505-2E9C-101B-9397-08002B2CF9AE}" pid="15" name="PostVakInDescription">
    <vt:lpwstr/>
  </property>
  <property fmtid="{D5CDD505-2E9C-101B-9397-08002B2CF9AE}" pid="16" name="ResponsibleEntity">
    <vt:lpwstr/>
  </property>
  <property fmtid="{D5CDD505-2E9C-101B-9397-08002B2CF9AE}" pid="17" name="PostVakInDocType">
    <vt:lpwstr>Parlementaire vraag</vt:lpwstr>
  </property>
  <property fmtid="{D5CDD505-2E9C-101B-9397-08002B2CF9AE}" pid="18" name="PostvakAntwoordNodig">
    <vt:lpwstr>1</vt:lpwstr>
  </property>
  <property fmtid="{D5CDD505-2E9C-101B-9397-08002B2CF9AE}" pid="19" name="CGKPID">
    <vt:lpwstr>92CD2BA349774DCE9DB335079E32FF89</vt:lpwstr>
  </property>
  <property fmtid="{D5CDD505-2E9C-101B-9397-08002B2CF9AE}" pid="20" name="PostStukID">
    <vt:lpwstr>00000879</vt:lpwstr>
  </property>
  <property fmtid="{D5CDD505-2E9C-101B-9397-08002B2CF9AE}" pid="21" name="ContentTypeId">
    <vt:lpwstr>0x0101005A117FCB219D43A0B0B5D2BB3CEEE45E00CC82117F1E650841AE98F7DECD8600D8</vt:lpwstr>
  </property>
  <property fmtid="{D5CDD505-2E9C-101B-9397-08002B2CF9AE}" pid="22" name="PVSendingDate">
    <vt:lpwstr>2014-03-19T00:00:00Z</vt:lpwstr>
  </property>
  <property fmtid="{D5CDD505-2E9C-101B-9397-08002B2CF9AE}" pid="23" name="PVSignedPost">
    <vt:lpwstr>0</vt:lpwstr>
  </property>
  <property fmtid="{D5CDD505-2E9C-101B-9397-08002B2CF9AE}" pid="24" name="PVRemark">
    <vt:lpwstr/>
  </property>
  <property fmtid="{D5CDD505-2E9C-101B-9397-08002B2CF9AE}" pid="25" name="PVPriorPost">
    <vt:lpwstr>0</vt:lpwstr>
  </property>
  <property fmtid="{D5CDD505-2E9C-101B-9397-08002B2CF9AE}" pid="26" name="PVCategorie">
    <vt:lpwstr/>
  </property>
  <property fmtid="{D5CDD505-2E9C-101B-9397-08002B2CF9AE}" pid="27" name="PVDossierNummer">
    <vt:lpwstr/>
  </property>
  <property fmtid="{D5CDD505-2E9C-101B-9397-08002B2CF9AE}" pid="28" name="PVPostStukID">
    <vt:lpwstr>00000879</vt:lpwstr>
  </property>
  <property fmtid="{D5CDD505-2E9C-101B-9397-08002B2CF9AE}" pid="29" name="PVKenmerkAfzender">
    <vt:lpwstr>515</vt:lpwstr>
  </property>
  <property fmtid="{D5CDD505-2E9C-101B-9397-08002B2CF9AE}" pid="30" name="PVPVInTypeDocument">
    <vt:lpwstr>Bijlage</vt:lpwstr>
  </property>
  <property fmtid="{D5CDD505-2E9C-101B-9397-08002B2CF9AE}" pid="31" name="PVReceivdDate">
    <vt:lpwstr>2014-03-19T00:00:00Z</vt:lpwstr>
  </property>
  <property fmtid="{D5CDD505-2E9C-101B-9397-08002B2CF9AE}" pid="32" name="PVKabinet">
    <vt:lpwstr>Muyters</vt:lpwstr>
  </property>
  <property fmtid="{D5CDD505-2E9C-101B-9397-08002B2CF9AE}" pid="33" name="PVFinaalAntwoordStatus">
    <vt:lpwstr>Nagelezen door Staf</vt:lpwstr>
  </property>
  <property fmtid="{D5CDD505-2E9C-101B-9397-08002B2CF9AE}" pid="34" name="PVFinaalAntwoordDatumGoedkeuringAfdelingshoofd">
    <vt:lpwstr>2014-03-24T15:45:07Z</vt:lpwstr>
  </property>
  <property fmtid="{D5CDD505-2E9C-101B-9397-08002B2CF9AE}" pid="35" name="display_urn:schemas-microsoft-com:office:office#PVFinaalAntwoodGoedGekeurdDoorAfdelingshoofd">
    <vt:lpwstr>GOEDERTIER, Luc</vt:lpwstr>
  </property>
  <property fmtid="{D5CDD505-2E9C-101B-9397-08002B2CF9AE}" pid="36" name="PVFinaalAntwoodGoedGekeurdDoorAfdelingshoofd">
    <vt:lpwstr>189</vt:lpwstr>
  </property>
  <property fmtid="{D5CDD505-2E9C-101B-9397-08002B2CF9AE}" pid="37" name="PVFinaalAntwoordDatumGoedkeuringStaf">
    <vt:lpwstr>2014-03-25T13:14:46Z</vt:lpwstr>
  </property>
  <property fmtid="{D5CDD505-2E9C-101B-9397-08002B2CF9AE}" pid="38" name="display_urn:schemas-microsoft-com:office:office#PVFinaalAntwoodGoedGekeurdDoorStaf">
    <vt:lpwstr>Verwimp, Emilie</vt:lpwstr>
  </property>
  <property fmtid="{D5CDD505-2E9C-101B-9397-08002B2CF9AE}" pid="39" name="PVFinaalAntwoodGoedGekeurdDoorStaf">
    <vt:lpwstr>17</vt:lpwstr>
  </property>
</Properties>
</file>