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0976E9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B63CC9">
        <w:rPr>
          <w:b w:val="0"/>
        </w:rPr>
        <w:t>503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B63CC9">
        <w:rPr>
          <w:b w:val="0"/>
        </w:rPr>
        <w:t>4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F55F7">
        <w:rPr>
          <w:b w:val="0"/>
        </w:rPr>
      </w:r>
      <w:r w:rsidR="00FF55F7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F55F7">
        <w:rPr>
          <w:b w:val="0"/>
        </w:rPr>
      </w:r>
      <w:r w:rsidR="00FF55F7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7E2FAA">
        <w:rPr>
          <w:rStyle w:val="AntwoordNaamMinisterChar"/>
        </w:rPr>
        <w:t>e</w:t>
      </w:r>
      <w:r w:rsidR="00B63CC9">
        <w:rPr>
          <w:rStyle w:val="AntwoordNaamMinisterChar"/>
        </w:rPr>
        <w:t xml:space="preserve">ls </w:t>
      </w:r>
      <w:r w:rsidR="007E2FAA">
        <w:rPr>
          <w:rStyle w:val="AntwoordNaamMinisterChar"/>
        </w:rPr>
        <w:t>r</w:t>
      </w:r>
      <w:r w:rsidR="00B63CC9">
        <w:rPr>
          <w:rStyle w:val="AntwoordNaamMinisterChar"/>
        </w:rPr>
        <w:t>obeyns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0B3D" w:rsidRPr="004463F2" w:rsidRDefault="00B63CC9" w:rsidP="00FF55F7">
      <w:pPr>
        <w:pStyle w:val="StandaardSV"/>
        <w:numPr>
          <w:ilvl w:val="1"/>
          <w:numId w:val="11"/>
        </w:numPr>
        <w:rPr>
          <w:rStyle w:val="st1"/>
          <w:szCs w:val="22"/>
        </w:rPr>
      </w:pPr>
      <w:r w:rsidRPr="004463F2">
        <w:rPr>
          <w:rStyle w:val="st1"/>
          <w:szCs w:val="22"/>
        </w:rPr>
        <w:lastRenderedPageBreak/>
        <w:t xml:space="preserve">Vooreerst wil ik duidelijk stellen dat er geen wettelijke bepaling bestaat </w:t>
      </w:r>
      <w:r w:rsidR="00BC60AF" w:rsidRPr="004463F2">
        <w:rPr>
          <w:rStyle w:val="st1"/>
          <w:szCs w:val="22"/>
        </w:rPr>
        <w:t xml:space="preserve">die voorziet in een specifieke vrijstelling </w:t>
      </w:r>
      <w:r w:rsidRPr="004463F2">
        <w:rPr>
          <w:rStyle w:val="st1"/>
          <w:szCs w:val="22"/>
        </w:rPr>
        <w:t xml:space="preserve">van verkeersbelasting ten gunste van foornijveraars. </w:t>
      </w:r>
      <w:r w:rsidR="00BC60AF" w:rsidRPr="004463F2">
        <w:rPr>
          <w:rStyle w:val="st1"/>
          <w:szCs w:val="22"/>
        </w:rPr>
        <w:t xml:space="preserve">Een dergelijke </w:t>
      </w:r>
      <w:r w:rsidR="009D0B3D" w:rsidRPr="004463F2">
        <w:rPr>
          <w:rStyle w:val="st1"/>
          <w:szCs w:val="22"/>
        </w:rPr>
        <w:t xml:space="preserve">specifieke </w:t>
      </w:r>
      <w:r w:rsidR="00BC60AF" w:rsidRPr="004463F2">
        <w:rPr>
          <w:rStyle w:val="st1"/>
          <w:szCs w:val="22"/>
        </w:rPr>
        <w:t xml:space="preserve">vrijstelling </w:t>
      </w:r>
      <w:r w:rsidR="009D0B3D" w:rsidRPr="004463F2">
        <w:rPr>
          <w:rStyle w:val="st1"/>
          <w:szCs w:val="22"/>
        </w:rPr>
        <w:t xml:space="preserve">voor deze sector </w:t>
      </w:r>
      <w:r w:rsidR="00BC60AF" w:rsidRPr="004463F2">
        <w:rPr>
          <w:rStyle w:val="st1"/>
          <w:szCs w:val="22"/>
        </w:rPr>
        <w:t>bestond evenmin vóór de overname van de inning van de verkeersbelasting door het Vlaams Gewest. De bevoegdheid inzake vrijstellingen van verkeersbe</w:t>
      </w:r>
      <w:r w:rsidR="009D0B3D" w:rsidRPr="004463F2">
        <w:rPr>
          <w:rStyle w:val="st1"/>
          <w:szCs w:val="22"/>
        </w:rPr>
        <w:t xml:space="preserve">lasting behoort reeds sinds 2002 tot de bevoegdheid van de Gewesten (bijzondere financieringswet). </w:t>
      </w:r>
      <w:r w:rsidR="004463F2" w:rsidRPr="004463F2">
        <w:rPr>
          <w:rStyle w:val="st1"/>
          <w:szCs w:val="22"/>
        </w:rPr>
        <w:t xml:space="preserve"> </w:t>
      </w:r>
      <w:r w:rsidR="004463F2">
        <w:rPr>
          <w:rStyle w:val="st1"/>
          <w:szCs w:val="22"/>
        </w:rPr>
        <w:t>Ook aan de bepalingen</w:t>
      </w:r>
      <w:r w:rsidR="009D0B3D" w:rsidRPr="004463F2">
        <w:rPr>
          <w:rStyle w:val="st1"/>
          <w:szCs w:val="22"/>
        </w:rPr>
        <w:t xml:space="preserve"> </w:t>
      </w:r>
      <w:r w:rsidR="004463F2">
        <w:rPr>
          <w:rStyle w:val="st1"/>
          <w:szCs w:val="22"/>
        </w:rPr>
        <w:t>inzake</w:t>
      </w:r>
      <w:r w:rsidR="009D0B3D" w:rsidRPr="004463F2">
        <w:rPr>
          <w:rStyle w:val="st1"/>
          <w:szCs w:val="22"/>
        </w:rPr>
        <w:t xml:space="preserve"> de vrijstelling voor occasioneel vervoer (de zogenaamde rittenkaart) werden geen wijzigingen aangebracht. </w:t>
      </w:r>
    </w:p>
    <w:p w:rsidR="009D0B3D" w:rsidRDefault="009D0B3D" w:rsidP="009D0B3D">
      <w:pPr>
        <w:pStyle w:val="StandaardSV"/>
        <w:ind w:left="360"/>
        <w:rPr>
          <w:rStyle w:val="st1"/>
          <w:szCs w:val="22"/>
        </w:rPr>
      </w:pPr>
    </w:p>
    <w:p w:rsidR="009D0B3D" w:rsidRPr="00BC60AF" w:rsidRDefault="004463F2" w:rsidP="009D0B3D">
      <w:pPr>
        <w:pStyle w:val="StandaardSV"/>
        <w:ind w:left="360"/>
        <w:rPr>
          <w:rStyle w:val="st1"/>
          <w:szCs w:val="22"/>
        </w:rPr>
      </w:pPr>
      <w:r>
        <w:rPr>
          <w:rStyle w:val="st1"/>
          <w:szCs w:val="22"/>
        </w:rPr>
        <w:t xml:space="preserve">Ter verduidelijking </w:t>
      </w:r>
      <w:r w:rsidR="009D0B3D">
        <w:rPr>
          <w:rStyle w:val="st1"/>
          <w:szCs w:val="22"/>
        </w:rPr>
        <w:t>geef</w:t>
      </w:r>
      <w:r>
        <w:rPr>
          <w:rStyle w:val="st1"/>
          <w:szCs w:val="22"/>
        </w:rPr>
        <w:t xml:space="preserve"> ik</w:t>
      </w:r>
      <w:r w:rsidR="009D0B3D">
        <w:rPr>
          <w:rStyle w:val="st1"/>
          <w:szCs w:val="22"/>
        </w:rPr>
        <w:t xml:space="preserve"> een overz</w:t>
      </w:r>
      <w:r>
        <w:rPr>
          <w:rStyle w:val="st1"/>
          <w:szCs w:val="22"/>
        </w:rPr>
        <w:t>icht van de geldende bepalingen:</w:t>
      </w:r>
      <w:r w:rsidR="009D0B3D">
        <w:rPr>
          <w:rStyle w:val="st1"/>
          <w:szCs w:val="22"/>
        </w:rPr>
        <w:t xml:space="preserve"> </w:t>
      </w:r>
    </w:p>
    <w:p w:rsidR="00B63CC9" w:rsidRPr="00BC60AF" w:rsidRDefault="00B63CC9" w:rsidP="00B63CC9">
      <w:pPr>
        <w:pStyle w:val="StandaardSV"/>
        <w:ind w:left="360"/>
        <w:rPr>
          <w:rStyle w:val="st1"/>
          <w:szCs w:val="22"/>
        </w:rPr>
      </w:pPr>
    </w:p>
    <w:p w:rsidR="00B63CC9" w:rsidRPr="00BC60AF" w:rsidRDefault="00B63CC9" w:rsidP="00B63CC9">
      <w:pPr>
        <w:ind w:left="360"/>
        <w:jc w:val="both"/>
        <w:rPr>
          <w:szCs w:val="22"/>
        </w:rPr>
      </w:pPr>
      <w:r w:rsidRPr="00BC60AF">
        <w:rPr>
          <w:rStyle w:val="st1"/>
          <w:szCs w:val="22"/>
        </w:rPr>
        <w:t>Principieel stelt de wetgeving</w:t>
      </w:r>
      <w:r w:rsidR="009D0B3D">
        <w:rPr>
          <w:rStyle w:val="st1"/>
          <w:szCs w:val="22"/>
        </w:rPr>
        <w:t xml:space="preserve"> inzake verkeersbelasting</w:t>
      </w:r>
      <w:r w:rsidRPr="00BC60AF">
        <w:rPr>
          <w:rStyle w:val="st1"/>
          <w:szCs w:val="22"/>
        </w:rPr>
        <w:t xml:space="preserve"> </w:t>
      </w:r>
      <w:r w:rsidRPr="009D0B3D">
        <w:rPr>
          <w:rStyle w:val="st1"/>
          <w:szCs w:val="22"/>
        </w:rPr>
        <w:t xml:space="preserve">alle voertuigen belastbaar die bestemd zijn voor het vervoer van personen of goederen. </w:t>
      </w:r>
      <w:r w:rsidRPr="00BC60AF">
        <w:rPr>
          <w:szCs w:val="22"/>
        </w:rPr>
        <w:t>Artikel  2.2.1.0.1 van de Vlaamse Codex Fiscaliteit (VCF), voordien artikel 3 van het WIGB, bepaalt: ‘</w:t>
      </w:r>
      <w:r w:rsidRPr="004463F2">
        <w:rPr>
          <w:i/>
          <w:szCs w:val="22"/>
        </w:rPr>
        <w:t>Overeenkomstig artikel 3 van het federale Wetboek van 23 november 1965 van de met inkomstenbelastingen gelijkgestelde belastingen, wordt er een belasting geheven op de stoom- of motorvoertuigen dienende hetzij tot het vervoer van personen, hetzij tot het vervoer van goederen of van om het even welke voorwerpen over de wegen.</w:t>
      </w:r>
      <w:r w:rsidRPr="00BC60AF">
        <w:rPr>
          <w:szCs w:val="22"/>
        </w:rPr>
        <w:t xml:space="preserve">’ </w:t>
      </w:r>
    </w:p>
    <w:p w:rsidR="00B63CC9" w:rsidRPr="00BC60AF" w:rsidRDefault="00B63CC9" w:rsidP="00B63CC9">
      <w:pPr>
        <w:pStyle w:val="StandaardSV"/>
        <w:ind w:left="360"/>
        <w:rPr>
          <w:rStyle w:val="st1"/>
          <w:szCs w:val="22"/>
        </w:rPr>
      </w:pPr>
    </w:p>
    <w:p w:rsidR="00B63CC9" w:rsidRPr="00BC60AF" w:rsidRDefault="004463F2" w:rsidP="00B63CC9">
      <w:pPr>
        <w:ind w:left="360"/>
        <w:jc w:val="both"/>
        <w:rPr>
          <w:szCs w:val="22"/>
        </w:rPr>
      </w:pPr>
      <w:r>
        <w:rPr>
          <w:szCs w:val="22"/>
        </w:rPr>
        <w:t xml:space="preserve">Ook </w:t>
      </w:r>
      <w:r w:rsidR="00B63CC9" w:rsidRPr="00BC60AF">
        <w:rPr>
          <w:szCs w:val="22"/>
        </w:rPr>
        <w:t xml:space="preserve">kermisvoertuigen </w:t>
      </w:r>
      <w:r>
        <w:rPr>
          <w:szCs w:val="22"/>
        </w:rPr>
        <w:t>vallen</w:t>
      </w:r>
      <w:r w:rsidR="00B63CC9" w:rsidRPr="00BC60AF">
        <w:rPr>
          <w:szCs w:val="22"/>
        </w:rPr>
        <w:t xml:space="preserve"> onder deze definitie</w:t>
      </w:r>
      <w:r>
        <w:rPr>
          <w:szCs w:val="22"/>
        </w:rPr>
        <w:t xml:space="preserve">, ze </w:t>
      </w:r>
      <w:r w:rsidR="00B63CC9" w:rsidRPr="00BC60AF">
        <w:rPr>
          <w:szCs w:val="22"/>
        </w:rPr>
        <w:t xml:space="preserve"> </w:t>
      </w:r>
      <w:r w:rsidRPr="00BC60AF">
        <w:rPr>
          <w:szCs w:val="22"/>
        </w:rPr>
        <w:t>vervoeren immers goederen of voorwerpen over de wegen</w:t>
      </w:r>
      <w:r>
        <w:rPr>
          <w:szCs w:val="22"/>
        </w:rPr>
        <w:t>,</w:t>
      </w:r>
      <w:r w:rsidRPr="00BC60AF">
        <w:rPr>
          <w:szCs w:val="22"/>
        </w:rPr>
        <w:t xml:space="preserve"> </w:t>
      </w:r>
      <w:r w:rsidR="00B63CC9" w:rsidRPr="00BC60AF">
        <w:rPr>
          <w:szCs w:val="22"/>
        </w:rPr>
        <w:t>en</w:t>
      </w:r>
      <w:r>
        <w:rPr>
          <w:szCs w:val="22"/>
        </w:rPr>
        <w:t xml:space="preserve"> ze zijn</w:t>
      </w:r>
      <w:r w:rsidR="00B63CC9" w:rsidRPr="00BC60AF">
        <w:rPr>
          <w:szCs w:val="22"/>
        </w:rPr>
        <w:t xml:space="preserve"> dus</w:t>
      </w:r>
      <w:r>
        <w:rPr>
          <w:szCs w:val="22"/>
        </w:rPr>
        <w:t xml:space="preserve"> principieel</w:t>
      </w:r>
      <w:r w:rsidR="00B63CC9" w:rsidRPr="00BC60AF">
        <w:rPr>
          <w:szCs w:val="22"/>
        </w:rPr>
        <w:t xml:space="preserve"> </w:t>
      </w:r>
      <w:r>
        <w:rPr>
          <w:szCs w:val="22"/>
        </w:rPr>
        <w:t>belastbaar</w:t>
      </w:r>
      <w:r w:rsidR="00B63CC9" w:rsidRPr="00BC60AF">
        <w:rPr>
          <w:szCs w:val="22"/>
        </w:rPr>
        <w:t xml:space="preserve"> inzake de ver</w:t>
      </w:r>
      <w:r>
        <w:rPr>
          <w:szCs w:val="22"/>
        </w:rPr>
        <w:t xml:space="preserve">keersbelasting. </w:t>
      </w:r>
      <w:r w:rsidR="00B63CC9" w:rsidRPr="00BC60AF">
        <w:rPr>
          <w:szCs w:val="22"/>
        </w:rPr>
        <w:t xml:space="preserve">Vervolgens moet worden nagegaan of er wettelijke bepalingen bestaan die een vrijstelling van verkeersbelasting toelaten. </w:t>
      </w:r>
      <w:r>
        <w:rPr>
          <w:szCs w:val="22"/>
        </w:rPr>
        <w:t xml:space="preserve">De decreetgever heeft geen </w:t>
      </w:r>
      <w:r w:rsidR="00B63CC9" w:rsidRPr="004463F2">
        <w:rPr>
          <w:szCs w:val="22"/>
        </w:rPr>
        <w:t>algemene vrijstelling</w:t>
      </w:r>
      <w:r w:rsidR="00B63CC9" w:rsidRPr="00BC60AF">
        <w:rPr>
          <w:szCs w:val="22"/>
        </w:rPr>
        <w:t xml:space="preserve"> voor de kermissector</w:t>
      </w:r>
      <w:r>
        <w:rPr>
          <w:szCs w:val="22"/>
        </w:rPr>
        <w:t xml:space="preserve"> voorzien</w:t>
      </w:r>
      <w:r w:rsidR="00B63CC9" w:rsidRPr="00BC60AF">
        <w:rPr>
          <w:szCs w:val="22"/>
        </w:rPr>
        <w:t>.</w:t>
      </w:r>
    </w:p>
    <w:p w:rsidR="00B63CC9" w:rsidRPr="00BC60AF" w:rsidRDefault="00B63CC9" w:rsidP="00B63CC9">
      <w:pPr>
        <w:ind w:left="360"/>
        <w:jc w:val="both"/>
        <w:rPr>
          <w:szCs w:val="22"/>
        </w:rPr>
      </w:pPr>
    </w:p>
    <w:p w:rsidR="00B63CC9" w:rsidRPr="00BC60AF" w:rsidRDefault="00B63CC9" w:rsidP="00B63CC9">
      <w:pPr>
        <w:ind w:left="360"/>
        <w:jc w:val="both"/>
        <w:rPr>
          <w:szCs w:val="22"/>
        </w:rPr>
      </w:pPr>
      <w:r w:rsidRPr="00BC60AF">
        <w:rPr>
          <w:szCs w:val="22"/>
        </w:rPr>
        <w:t xml:space="preserve">Wel bestaat de mogelijkheid om </w:t>
      </w:r>
      <w:r w:rsidRPr="004463F2">
        <w:rPr>
          <w:szCs w:val="22"/>
        </w:rPr>
        <w:t xml:space="preserve">een </w:t>
      </w:r>
      <w:r w:rsidR="009D0B3D" w:rsidRPr="004463F2">
        <w:rPr>
          <w:szCs w:val="22"/>
        </w:rPr>
        <w:t>vrijstelling voor occasioneel vervoer</w:t>
      </w:r>
      <w:r w:rsidR="004463F2">
        <w:rPr>
          <w:szCs w:val="22"/>
        </w:rPr>
        <w:t xml:space="preserve"> door middel van een rittenkaart</w:t>
      </w:r>
      <w:r w:rsidR="009D0B3D">
        <w:rPr>
          <w:szCs w:val="22"/>
        </w:rPr>
        <w:t xml:space="preserve"> </w:t>
      </w:r>
      <w:r w:rsidRPr="00BC60AF">
        <w:rPr>
          <w:szCs w:val="22"/>
        </w:rPr>
        <w:t>aan te vragen</w:t>
      </w:r>
      <w:r w:rsidR="009D0B3D">
        <w:rPr>
          <w:szCs w:val="22"/>
        </w:rPr>
        <w:t xml:space="preserve"> </w:t>
      </w:r>
      <w:r w:rsidR="009D0B3D" w:rsidRPr="009D0B3D">
        <w:rPr>
          <w:szCs w:val="22"/>
        </w:rPr>
        <w:t>(artikel 2.2.6.0.1 § 1, 13 ° VCF en a</w:t>
      </w:r>
      <w:r w:rsidR="009D0B3D">
        <w:rPr>
          <w:szCs w:val="22"/>
        </w:rPr>
        <w:t>rtikel 2.2.6.0.1 , § 2, 2° VCF)</w:t>
      </w:r>
      <w:r w:rsidRPr="00BC60AF">
        <w:rPr>
          <w:szCs w:val="22"/>
        </w:rPr>
        <w:t xml:space="preserve"> voor voertuigen die:</w:t>
      </w:r>
    </w:p>
    <w:p w:rsidR="00B63CC9" w:rsidRPr="00BC60AF" w:rsidRDefault="00B63CC9" w:rsidP="00B63CC9">
      <w:pPr>
        <w:pStyle w:val="Lijstalinea"/>
        <w:numPr>
          <w:ilvl w:val="0"/>
          <w:numId w:val="8"/>
        </w:numPr>
        <w:ind w:left="1080"/>
        <w:contextualSpacing/>
        <w:jc w:val="both"/>
        <w:rPr>
          <w:sz w:val="22"/>
          <w:szCs w:val="22"/>
        </w:rPr>
      </w:pPr>
      <w:r w:rsidRPr="00BC60AF">
        <w:rPr>
          <w:sz w:val="22"/>
          <w:szCs w:val="22"/>
        </w:rPr>
        <w:t>bestemd zijn v</w:t>
      </w:r>
      <w:r w:rsidR="009D0B3D">
        <w:rPr>
          <w:sz w:val="22"/>
          <w:szCs w:val="22"/>
        </w:rPr>
        <w:t>oor het vervoer van goederen,</w:t>
      </w:r>
    </w:p>
    <w:p w:rsidR="009D0B3D" w:rsidRDefault="00B63CC9" w:rsidP="00B63CC9">
      <w:pPr>
        <w:pStyle w:val="Lijstalinea"/>
        <w:numPr>
          <w:ilvl w:val="0"/>
          <w:numId w:val="8"/>
        </w:numPr>
        <w:ind w:left="1080"/>
        <w:contextualSpacing/>
        <w:jc w:val="both"/>
        <w:rPr>
          <w:sz w:val="22"/>
          <w:szCs w:val="22"/>
        </w:rPr>
      </w:pPr>
      <w:r w:rsidRPr="009D0B3D">
        <w:rPr>
          <w:sz w:val="22"/>
          <w:szCs w:val="22"/>
        </w:rPr>
        <w:t xml:space="preserve">slechts af en toe (maximaal 30 dagen) gebruikt worden op de openbare weg </w:t>
      </w:r>
    </w:p>
    <w:p w:rsidR="009D0B3D" w:rsidRDefault="009D0B3D" w:rsidP="00B63CC9">
      <w:pPr>
        <w:pStyle w:val="Lijstalinea"/>
        <w:numPr>
          <w:ilvl w:val="0"/>
          <w:numId w:val="8"/>
        </w:numPr>
        <w:ind w:left="10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B63CC9" w:rsidRPr="009D0B3D">
        <w:rPr>
          <w:sz w:val="22"/>
          <w:szCs w:val="22"/>
        </w:rPr>
        <w:t xml:space="preserve">niet </w:t>
      </w:r>
      <w:r w:rsidRPr="009D0B3D">
        <w:rPr>
          <w:sz w:val="22"/>
          <w:szCs w:val="22"/>
        </w:rPr>
        <w:t>toebehoren aan</w:t>
      </w:r>
      <w:r w:rsidR="00B63CC9" w:rsidRPr="009D0B3D">
        <w:rPr>
          <w:sz w:val="22"/>
          <w:szCs w:val="22"/>
        </w:rPr>
        <w:t xml:space="preserve"> een persoon die het goederenver</w:t>
      </w:r>
      <w:r>
        <w:rPr>
          <w:sz w:val="22"/>
          <w:szCs w:val="22"/>
        </w:rPr>
        <w:t xml:space="preserve">voer als hoofdactiviteit heeft. </w:t>
      </w:r>
    </w:p>
    <w:p w:rsidR="00B63CC9" w:rsidRPr="009D0B3D" w:rsidRDefault="009D0B3D" w:rsidP="00B63CC9">
      <w:pPr>
        <w:pStyle w:val="Lijstalinea"/>
        <w:numPr>
          <w:ilvl w:val="0"/>
          <w:numId w:val="8"/>
        </w:numPr>
        <w:ind w:left="10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B63CC9" w:rsidRPr="009D0B3D">
        <w:rPr>
          <w:sz w:val="22"/>
          <w:szCs w:val="22"/>
        </w:rPr>
        <w:t xml:space="preserve">et vervoer met die voertuigen </w:t>
      </w:r>
      <w:r>
        <w:rPr>
          <w:sz w:val="22"/>
          <w:szCs w:val="22"/>
        </w:rPr>
        <w:t>mag bovendien niet leiden</w:t>
      </w:r>
      <w:r w:rsidR="00B63CC9" w:rsidRPr="009D0B3D">
        <w:rPr>
          <w:sz w:val="22"/>
          <w:szCs w:val="22"/>
        </w:rPr>
        <w:t xml:space="preserve"> tot concurrentievervalsing met de transportsector, in die zin dat het vb. niet mag gaan om bezoldigd vervoer</w:t>
      </w:r>
      <w:r>
        <w:rPr>
          <w:sz w:val="22"/>
          <w:szCs w:val="22"/>
        </w:rPr>
        <w:t xml:space="preserve"> voor rekening van derden</w:t>
      </w:r>
      <w:r w:rsidR="00B63CC9" w:rsidRPr="009D0B3D">
        <w:rPr>
          <w:sz w:val="22"/>
          <w:szCs w:val="22"/>
        </w:rPr>
        <w:t xml:space="preserve">. </w:t>
      </w:r>
    </w:p>
    <w:p w:rsidR="00B63CC9" w:rsidRPr="00BC60AF" w:rsidRDefault="00B63CC9" w:rsidP="00B63CC9">
      <w:pPr>
        <w:pStyle w:val="StandaardSV"/>
        <w:ind w:left="360"/>
        <w:rPr>
          <w:rStyle w:val="st1"/>
          <w:szCs w:val="22"/>
        </w:rPr>
      </w:pPr>
    </w:p>
    <w:p w:rsidR="004463F2" w:rsidRDefault="00B46FB5" w:rsidP="00B63CC9">
      <w:pPr>
        <w:pStyle w:val="StandaardSV"/>
        <w:ind w:left="360"/>
        <w:rPr>
          <w:rStyle w:val="st1"/>
          <w:szCs w:val="22"/>
        </w:rPr>
      </w:pPr>
      <w:r>
        <w:rPr>
          <w:rStyle w:val="st1"/>
          <w:szCs w:val="22"/>
        </w:rPr>
        <w:t>D</w:t>
      </w:r>
      <w:r w:rsidR="004463F2">
        <w:rPr>
          <w:rStyle w:val="st1"/>
          <w:szCs w:val="22"/>
        </w:rPr>
        <w:t xml:space="preserve">e Vlaamse Belastingdienst </w:t>
      </w:r>
      <w:r>
        <w:rPr>
          <w:rStyle w:val="st1"/>
          <w:szCs w:val="22"/>
        </w:rPr>
        <w:t>hanteerde</w:t>
      </w:r>
      <w:r w:rsidR="004463F2">
        <w:rPr>
          <w:rStyle w:val="st1"/>
          <w:szCs w:val="22"/>
        </w:rPr>
        <w:t xml:space="preserve"> sinds januari 2014 een striktere toepas</w:t>
      </w:r>
      <w:r>
        <w:rPr>
          <w:rStyle w:val="st1"/>
          <w:szCs w:val="22"/>
        </w:rPr>
        <w:t>sing</w:t>
      </w:r>
      <w:r w:rsidR="004463F2">
        <w:rPr>
          <w:rStyle w:val="st1"/>
          <w:szCs w:val="22"/>
        </w:rPr>
        <w:t xml:space="preserve"> van deze laatste voorwaarde. Na overleg met vertegenwoordigers van de foornijveraars werd deze striktere interpretatie herzien. </w:t>
      </w:r>
    </w:p>
    <w:p w:rsidR="00B63CC9" w:rsidRPr="00BC60AF" w:rsidRDefault="004463F2" w:rsidP="00B46FB5">
      <w:pPr>
        <w:pStyle w:val="StandaardSV"/>
        <w:ind w:left="360"/>
        <w:rPr>
          <w:szCs w:val="22"/>
        </w:rPr>
      </w:pPr>
      <w:r>
        <w:rPr>
          <w:rStyle w:val="st1"/>
          <w:szCs w:val="22"/>
        </w:rPr>
        <w:t xml:space="preserve"> </w:t>
      </w:r>
    </w:p>
    <w:p w:rsidR="00B63CC9" w:rsidRPr="00BC60AF" w:rsidRDefault="00FF55F7" w:rsidP="00B46FB5">
      <w:pPr>
        <w:ind w:left="426" w:hanging="426"/>
        <w:jc w:val="both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</w:r>
      <w:bookmarkStart w:id="6" w:name="_GoBack"/>
      <w:bookmarkEnd w:id="6"/>
      <w:r w:rsidR="00B46FB5">
        <w:rPr>
          <w:szCs w:val="22"/>
        </w:rPr>
        <w:t xml:space="preserve">Er geldt dus </w:t>
      </w:r>
      <w:r w:rsidR="002E650D">
        <w:rPr>
          <w:szCs w:val="22"/>
        </w:rPr>
        <w:t xml:space="preserve">nog steeds een vrijstelling voor occasioneel vervoer (rittenkaart). </w:t>
      </w:r>
      <w:r w:rsidR="00B63CC9" w:rsidRPr="00BC60AF">
        <w:rPr>
          <w:szCs w:val="22"/>
        </w:rPr>
        <w:t xml:space="preserve">De wettelijke bepalingen sommen geen specifieke categorieën van voertuigen of beroepssectoren op. </w:t>
      </w:r>
      <w:r w:rsidR="002E650D">
        <w:rPr>
          <w:szCs w:val="22"/>
        </w:rPr>
        <w:t>Iedereen die</w:t>
      </w:r>
      <w:r w:rsidR="00B63CC9" w:rsidRPr="00BC60AF">
        <w:rPr>
          <w:szCs w:val="22"/>
        </w:rPr>
        <w:t xml:space="preserve"> aan de wettelijke voorwaarden opgesomd onder punt 1 voldoet, kan een rittenkaart aanvragen. </w:t>
      </w:r>
    </w:p>
    <w:p w:rsidR="00227D8E" w:rsidRPr="00BC60AF" w:rsidRDefault="00227D8E" w:rsidP="00826146">
      <w:pPr>
        <w:ind w:left="360" w:hanging="360"/>
        <w:jc w:val="both"/>
        <w:rPr>
          <w:szCs w:val="22"/>
        </w:rPr>
      </w:pPr>
    </w:p>
    <w:sectPr w:rsidR="00227D8E" w:rsidRPr="00BC60A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39" w:rsidRDefault="00597E39">
      <w:r>
        <w:separator/>
      </w:r>
    </w:p>
  </w:endnote>
  <w:endnote w:type="continuationSeparator" w:id="0">
    <w:p w:rsidR="00597E39" w:rsidRDefault="0059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39" w:rsidRDefault="00597E39">
      <w:r>
        <w:separator/>
      </w:r>
    </w:p>
  </w:footnote>
  <w:footnote w:type="continuationSeparator" w:id="0">
    <w:p w:rsidR="00597E39" w:rsidRDefault="0059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079"/>
    <w:multiLevelType w:val="hybridMultilevel"/>
    <w:tmpl w:val="0EAAD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6D8D"/>
    <w:multiLevelType w:val="multilevel"/>
    <w:tmpl w:val="F3302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A5B4BCB"/>
    <w:multiLevelType w:val="hybridMultilevel"/>
    <w:tmpl w:val="EB7482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C58BD"/>
    <w:multiLevelType w:val="hybridMultilevel"/>
    <w:tmpl w:val="0930E90E"/>
    <w:lvl w:ilvl="0" w:tplc="C87C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37549"/>
    <w:multiLevelType w:val="multilevel"/>
    <w:tmpl w:val="62302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0BA32E7"/>
    <w:multiLevelType w:val="hybridMultilevel"/>
    <w:tmpl w:val="EB84D43E"/>
    <w:lvl w:ilvl="0" w:tplc="C2EC4F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364E3F"/>
    <w:multiLevelType w:val="hybridMultilevel"/>
    <w:tmpl w:val="0EE2364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9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QfZUW/tmHsKzbwNohCqZfcHPLA=" w:salt="scYI7779khSPQRH00rYQ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9"/>
    <w:rsid w:val="00004AD4"/>
    <w:rsid w:val="00011AA3"/>
    <w:rsid w:val="00014048"/>
    <w:rsid w:val="0002264A"/>
    <w:rsid w:val="00042574"/>
    <w:rsid w:val="00060CAF"/>
    <w:rsid w:val="000704E0"/>
    <w:rsid w:val="00077CB6"/>
    <w:rsid w:val="00092E90"/>
    <w:rsid w:val="000976E9"/>
    <w:rsid w:val="000C2BF2"/>
    <w:rsid w:val="000C4E8C"/>
    <w:rsid w:val="000E0169"/>
    <w:rsid w:val="000F3532"/>
    <w:rsid w:val="000F457E"/>
    <w:rsid w:val="00111393"/>
    <w:rsid w:val="00113D30"/>
    <w:rsid w:val="00115A86"/>
    <w:rsid w:val="00117812"/>
    <w:rsid w:val="00142290"/>
    <w:rsid w:val="00162ED2"/>
    <w:rsid w:val="00175898"/>
    <w:rsid w:val="0018437F"/>
    <w:rsid w:val="001C385B"/>
    <w:rsid w:val="001C6D2A"/>
    <w:rsid w:val="001C767D"/>
    <w:rsid w:val="00210C07"/>
    <w:rsid w:val="002200AB"/>
    <w:rsid w:val="00227D8E"/>
    <w:rsid w:val="0029398C"/>
    <w:rsid w:val="00297E99"/>
    <w:rsid w:val="002A7BA2"/>
    <w:rsid w:val="002B5D7E"/>
    <w:rsid w:val="002E650D"/>
    <w:rsid w:val="0031095D"/>
    <w:rsid w:val="00326A58"/>
    <w:rsid w:val="003568BA"/>
    <w:rsid w:val="00357979"/>
    <w:rsid w:val="00365143"/>
    <w:rsid w:val="003750AC"/>
    <w:rsid w:val="003C33C2"/>
    <w:rsid w:val="003D4A9C"/>
    <w:rsid w:val="00414B2D"/>
    <w:rsid w:val="00432AB7"/>
    <w:rsid w:val="00436455"/>
    <w:rsid w:val="004463F2"/>
    <w:rsid w:val="004809DA"/>
    <w:rsid w:val="004859AB"/>
    <w:rsid w:val="004B2A99"/>
    <w:rsid w:val="004C133F"/>
    <w:rsid w:val="004C1A8D"/>
    <w:rsid w:val="004D7505"/>
    <w:rsid w:val="004D7536"/>
    <w:rsid w:val="004E548B"/>
    <w:rsid w:val="004F6C81"/>
    <w:rsid w:val="00542EC1"/>
    <w:rsid w:val="00586236"/>
    <w:rsid w:val="00597E39"/>
    <w:rsid w:val="005B50D5"/>
    <w:rsid w:val="005B757C"/>
    <w:rsid w:val="005D17E7"/>
    <w:rsid w:val="005E38CA"/>
    <w:rsid w:val="005F3B71"/>
    <w:rsid w:val="00601D11"/>
    <w:rsid w:val="006021A3"/>
    <w:rsid w:val="006114D8"/>
    <w:rsid w:val="00613AA2"/>
    <w:rsid w:val="006260E2"/>
    <w:rsid w:val="006A5636"/>
    <w:rsid w:val="006B7E6F"/>
    <w:rsid w:val="006C5EEB"/>
    <w:rsid w:val="006E0A01"/>
    <w:rsid w:val="006E2F76"/>
    <w:rsid w:val="007103D2"/>
    <w:rsid w:val="0071248C"/>
    <w:rsid w:val="007252C7"/>
    <w:rsid w:val="00747203"/>
    <w:rsid w:val="00776442"/>
    <w:rsid w:val="0078256A"/>
    <w:rsid w:val="007927A3"/>
    <w:rsid w:val="00793F26"/>
    <w:rsid w:val="007B21BB"/>
    <w:rsid w:val="007C7B7A"/>
    <w:rsid w:val="007D0E2A"/>
    <w:rsid w:val="007D2CE5"/>
    <w:rsid w:val="007D3128"/>
    <w:rsid w:val="007E2FAA"/>
    <w:rsid w:val="00806962"/>
    <w:rsid w:val="008112DC"/>
    <w:rsid w:val="008206E8"/>
    <w:rsid w:val="008241FD"/>
    <w:rsid w:val="00826146"/>
    <w:rsid w:val="00834D15"/>
    <w:rsid w:val="00851FDB"/>
    <w:rsid w:val="00873C65"/>
    <w:rsid w:val="008A2FF6"/>
    <w:rsid w:val="008D1361"/>
    <w:rsid w:val="008D5DB4"/>
    <w:rsid w:val="009058B7"/>
    <w:rsid w:val="00924130"/>
    <w:rsid w:val="00941C06"/>
    <w:rsid w:val="00944B1F"/>
    <w:rsid w:val="00947E8A"/>
    <w:rsid w:val="00953DDC"/>
    <w:rsid w:val="00954DC8"/>
    <w:rsid w:val="009663B8"/>
    <w:rsid w:val="00990DDA"/>
    <w:rsid w:val="0099419F"/>
    <w:rsid w:val="00995BF9"/>
    <w:rsid w:val="009C2AA0"/>
    <w:rsid w:val="009D0B3D"/>
    <w:rsid w:val="009D6AD7"/>
    <w:rsid w:val="009D7043"/>
    <w:rsid w:val="009D763F"/>
    <w:rsid w:val="009F5B1B"/>
    <w:rsid w:val="009F5FD8"/>
    <w:rsid w:val="00A075B3"/>
    <w:rsid w:val="00A10835"/>
    <w:rsid w:val="00A21360"/>
    <w:rsid w:val="00A737E8"/>
    <w:rsid w:val="00A81356"/>
    <w:rsid w:val="00A9424B"/>
    <w:rsid w:val="00A947B3"/>
    <w:rsid w:val="00AC572C"/>
    <w:rsid w:val="00AD6E12"/>
    <w:rsid w:val="00AE58C0"/>
    <w:rsid w:val="00AF1FF0"/>
    <w:rsid w:val="00B05DD7"/>
    <w:rsid w:val="00B233AB"/>
    <w:rsid w:val="00B417DF"/>
    <w:rsid w:val="00B45EB2"/>
    <w:rsid w:val="00B46FB5"/>
    <w:rsid w:val="00B51A62"/>
    <w:rsid w:val="00B523F1"/>
    <w:rsid w:val="00B63CC9"/>
    <w:rsid w:val="00B65213"/>
    <w:rsid w:val="00B65D8D"/>
    <w:rsid w:val="00BA4671"/>
    <w:rsid w:val="00BC4284"/>
    <w:rsid w:val="00BC4515"/>
    <w:rsid w:val="00BC60AF"/>
    <w:rsid w:val="00BE425A"/>
    <w:rsid w:val="00C12557"/>
    <w:rsid w:val="00C16D61"/>
    <w:rsid w:val="00C23819"/>
    <w:rsid w:val="00C51D62"/>
    <w:rsid w:val="00C83DE3"/>
    <w:rsid w:val="00C93043"/>
    <w:rsid w:val="00C94C4A"/>
    <w:rsid w:val="00CA45DB"/>
    <w:rsid w:val="00CE1D4A"/>
    <w:rsid w:val="00CE6203"/>
    <w:rsid w:val="00CF525E"/>
    <w:rsid w:val="00CF6877"/>
    <w:rsid w:val="00D03C03"/>
    <w:rsid w:val="00D06C22"/>
    <w:rsid w:val="00D13702"/>
    <w:rsid w:val="00D20DEB"/>
    <w:rsid w:val="00D30EAF"/>
    <w:rsid w:val="00D41ABB"/>
    <w:rsid w:val="00D65ABD"/>
    <w:rsid w:val="00D71D99"/>
    <w:rsid w:val="00D754F2"/>
    <w:rsid w:val="00D84C17"/>
    <w:rsid w:val="00D861C5"/>
    <w:rsid w:val="00DB41C0"/>
    <w:rsid w:val="00DB6963"/>
    <w:rsid w:val="00DC32B0"/>
    <w:rsid w:val="00DC4DB6"/>
    <w:rsid w:val="00DF25FE"/>
    <w:rsid w:val="00E13862"/>
    <w:rsid w:val="00E55200"/>
    <w:rsid w:val="00E663EC"/>
    <w:rsid w:val="00E863F5"/>
    <w:rsid w:val="00EA0884"/>
    <w:rsid w:val="00EB1AA4"/>
    <w:rsid w:val="00EC5ACC"/>
    <w:rsid w:val="00EE566C"/>
    <w:rsid w:val="00F41B70"/>
    <w:rsid w:val="00F50C62"/>
    <w:rsid w:val="00F77692"/>
    <w:rsid w:val="00FA29D6"/>
    <w:rsid w:val="00FD5BF4"/>
    <w:rsid w:val="00FE2F02"/>
    <w:rsid w:val="00FE46C9"/>
    <w:rsid w:val="00FE5406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FF6"/>
    <w:pPr>
      <w:ind w:left="708"/>
    </w:pPr>
    <w:rPr>
      <w:sz w:val="24"/>
    </w:rPr>
  </w:style>
  <w:style w:type="paragraph" w:customStyle="1" w:styleId="StandaardSV">
    <w:name w:val="Standaard SV"/>
    <w:basedOn w:val="Standaard"/>
    <w:link w:val="StandaardSVChar"/>
    <w:rsid w:val="00B63CC9"/>
    <w:pPr>
      <w:jc w:val="both"/>
    </w:pPr>
    <w:rPr>
      <w:szCs w:val="20"/>
    </w:rPr>
  </w:style>
  <w:style w:type="character" w:customStyle="1" w:styleId="StandaardSVChar">
    <w:name w:val="Standaard SV Char"/>
    <w:link w:val="StandaardSV"/>
    <w:locked/>
    <w:rsid w:val="00B63CC9"/>
    <w:rPr>
      <w:sz w:val="22"/>
      <w:lang w:val="nl-NL" w:eastAsia="nl-NL"/>
    </w:rPr>
  </w:style>
  <w:style w:type="character" w:customStyle="1" w:styleId="st1">
    <w:name w:val="st1"/>
    <w:rsid w:val="00B63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FF6"/>
    <w:pPr>
      <w:ind w:left="708"/>
    </w:pPr>
    <w:rPr>
      <w:sz w:val="24"/>
    </w:rPr>
  </w:style>
  <w:style w:type="paragraph" w:customStyle="1" w:styleId="StandaardSV">
    <w:name w:val="Standaard SV"/>
    <w:basedOn w:val="Standaard"/>
    <w:link w:val="StandaardSVChar"/>
    <w:rsid w:val="00B63CC9"/>
    <w:pPr>
      <w:jc w:val="both"/>
    </w:pPr>
    <w:rPr>
      <w:szCs w:val="20"/>
    </w:rPr>
  </w:style>
  <w:style w:type="character" w:customStyle="1" w:styleId="StandaardSVChar">
    <w:name w:val="Standaard SV Char"/>
    <w:link w:val="StandaardSV"/>
    <w:locked/>
    <w:rsid w:val="00B63CC9"/>
    <w:rPr>
      <w:sz w:val="22"/>
      <w:lang w:val="nl-NL" w:eastAsia="nl-NL"/>
    </w:rPr>
  </w:style>
  <w:style w:type="character" w:customStyle="1" w:styleId="st1">
    <w:name w:val="st1"/>
    <w:rsid w:val="00B6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saghkr\Desktop\Briefsjablonen\SV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</Template>
  <TotalTime>2</TotalTime>
  <Pages>1</Pages>
  <Words>415</Words>
  <Characters>2590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De Sagher, Kris</dc:creator>
  <cp:lastModifiedBy>Vlaams Parlement</cp:lastModifiedBy>
  <cp:revision>2</cp:revision>
  <cp:lastPrinted>2014-04-03T16:08:00Z</cp:lastPrinted>
  <dcterms:created xsi:type="dcterms:W3CDTF">2014-04-07T09:09:00Z</dcterms:created>
  <dcterms:modified xsi:type="dcterms:W3CDTF">2014-04-07T09:09:00Z</dcterms:modified>
</cp:coreProperties>
</file>