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B" w:rsidRPr="00A8473D" w:rsidRDefault="00DE405B" w:rsidP="0074604B">
      <w:pPr>
        <w:suppressAutoHyphens/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E405B" w:rsidRPr="00A8473D" w:rsidRDefault="00DE405B" w:rsidP="0074604B">
      <w:pPr>
        <w:suppressAutoHyphens/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AD549A" w:rsidRPr="00DE405B" w:rsidRDefault="00AD549A" w:rsidP="0074604B">
      <w:pPr>
        <w:pStyle w:val="StandaardSV"/>
        <w:pBdr>
          <w:bottom w:val="single" w:sz="4" w:space="1" w:color="auto"/>
        </w:pBdr>
        <w:suppressAutoHyphens/>
        <w:rPr>
          <w:lang w:val="nl-BE"/>
        </w:rPr>
      </w:pPr>
    </w:p>
    <w:p w:rsidR="00AD549A" w:rsidRDefault="00AD549A" w:rsidP="0074604B">
      <w:pPr>
        <w:suppressAutoHyphens/>
        <w:jc w:val="both"/>
        <w:rPr>
          <w:sz w:val="22"/>
        </w:rPr>
      </w:pPr>
    </w:p>
    <w:p w:rsidR="0062728D" w:rsidRPr="00A8473D" w:rsidRDefault="0062728D" w:rsidP="0062728D">
      <w:pPr>
        <w:suppressAutoHyphens/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AD549A" w:rsidRDefault="004666BE" w:rsidP="0062728D">
      <w:pPr>
        <w:suppressAutoHyphens/>
        <w:jc w:val="both"/>
        <w:outlineLvl w:val="0"/>
        <w:rPr>
          <w:sz w:val="22"/>
        </w:rPr>
      </w:pPr>
      <w:r>
        <w:rPr>
          <w:sz w:val="22"/>
        </w:rPr>
        <w:t>o</w:t>
      </w:r>
      <w:r w:rsidR="0062728D">
        <w:rPr>
          <w:sz w:val="22"/>
        </w:rPr>
        <w:t>p v</w:t>
      </w:r>
      <w:r w:rsidR="00766C70">
        <w:rPr>
          <w:sz w:val="22"/>
        </w:rPr>
        <w:t xml:space="preserve">raag nr. </w:t>
      </w:r>
      <w:r w:rsidR="00E65316">
        <w:rPr>
          <w:sz w:val="22"/>
        </w:rPr>
        <w:t>393</w:t>
      </w:r>
      <w:r w:rsidR="00933BE6">
        <w:rPr>
          <w:sz w:val="22"/>
        </w:rPr>
        <w:t xml:space="preserve"> </w:t>
      </w:r>
      <w:r w:rsidR="00766C70">
        <w:rPr>
          <w:sz w:val="22"/>
        </w:rPr>
        <w:t xml:space="preserve">van </w:t>
      </w:r>
      <w:r w:rsidR="00E65316">
        <w:rPr>
          <w:sz w:val="22"/>
        </w:rPr>
        <w:t>28 februari 2014</w:t>
      </w:r>
    </w:p>
    <w:p w:rsidR="00AD549A" w:rsidRDefault="00AD549A" w:rsidP="0074604B">
      <w:pPr>
        <w:suppressAutoHyphens/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E65316">
        <w:rPr>
          <w:b/>
          <w:smallCaps/>
          <w:sz w:val="22"/>
        </w:rPr>
        <w:t>tine</w:t>
      </w:r>
      <w:proofErr w:type="spellEnd"/>
      <w:r w:rsidR="00E65316">
        <w:rPr>
          <w:b/>
          <w:smallCaps/>
          <w:sz w:val="22"/>
        </w:rPr>
        <w:t xml:space="preserve"> </w:t>
      </w:r>
      <w:proofErr w:type="spellStart"/>
      <w:r w:rsidR="00E65316">
        <w:rPr>
          <w:b/>
          <w:smallCaps/>
          <w:sz w:val="22"/>
        </w:rPr>
        <w:t>eerlingen</w:t>
      </w:r>
      <w:proofErr w:type="spellEnd"/>
    </w:p>
    <w:p w:rsidR="00AD549A" w:rsidRDefault="00AD549A" w:rsidP="0074604B">
      <w:pPr>
        <w:pBdr>
          <w:bottom w:val="single" w:sz="4" w:space="1" w:color="auto"/>
        </w:pBdr>
        <w:suppressAutoHyphens/>
        <w:jc w:val="both"/>
        <w:rPr>
          <w:sz w:val="22"/>
        </w:rPr>
      </w:pPr>
    </w:p>
    <w:p w:rsidR="00E65316" w:rsidRDefault="00E65316" w:rsidP="0074604B">
      <w:pPr>
        <w:pStyle w:val="StandaardSV"/>
        <w:suppressAutoHyphens/>
      </w:pPr>
    </w:p>
    <w:p w:rsidR="004666BE" w:rsidRDefault="004666BE" w:rsidP="0074604B">
      <w:pPr>
        <w:pStyle w:val="StandaardSV"/>
        <w:suppressAutoHyphens/>
      </w:pPr>
    </w:p>
    <w:p w:rsidR="00683D93" w:rsidRPr="0062728D" w:rsidRDefault="0074604B" w:rsidP="0074604B">
      <w:pPr>
        <w:pStyle w:val="StandaardSV"/>
        <w:numPr>
          <w:ilvl w:val="0"/>
          <w:numId w:val="46"/>
        </w:numPr>
        <w:suppressAutoHyphens/>
        <w:rPr>
          <w:lang w:eastAsia="nl-BE"/>
        </w:rPr>
      </w:pPr>
      <w:r>
        <w:rPr>
          <w:lang w:eastAsia="nl-BE"/>
        </w:rPr>
        <w:t>De nieuwe Europese verordening die de directe inkomenssteun regelt, bepaalt dat l</w:t>
      </w:r>
      <w:r w:rsidR="005C13FA" w:rsidRPr="0074604B">
        <w:rPr>
          <w:lang w:eastAsia="nl-BE"/>
        </w:rPr>
        <w:t>andbouwers met meer dan 15</w:t>
      </w:r>
      <w:r>
        <w:rPr>
          <w:lang w:eastAsia="nl-BE"/>
        </w:rPr>
        <w:t> </w:t>
      </w:r>
      <w:r w:rsidR="005C13FA" w:rsidRPr="0074604B">
        <w:rPr>
          <w:lang w:eastAsia="nl-BE"/>
        </w:rPr>
        <w:t>ha bouwland 5</w:t>
      </w:r>
      <w:r>
        <w:rPr>
          <w:lang w:eastAsia="nl-BE"/>
        </w:rPr>
        <w:t> </w:t>
      </w:r>
      <w:r w:rsidR="005C13FA" w:rsidRPr="0074604B">
        <w:rPr>
          <w:lang w:eastAsia="nl-BE"/>
        </w:rPr>
        <w:t xml:space="preserve">% van het bouwland van het landbouwbedrijf als ecologisch aandachtsgebied </w:t>
      </w:r>
      <w:r>
        <w:rPr>
          <w:lang w:eastAsia="nl-BE"/>
        </w:rPr>
        <w:t xml:space="preserve">(EAG) moeten </w:t>
      </w:r>
      <w:r w:rsidR="005C13FA" w:rsidRPr="0074604B">
        <w:rPr>
          <w:lang w:eastAsia="nl-BE"/>
        </w:rPr>
        <w:t xml:space="preserve">aanhouden. </w:t>
      </w:r>
      <w:r w:rsidR="00C44E4D">
        <w:rPr>
          <w:lang w:eastAsia="nl-BE"/>
        </w:rPr>
        <w:t>B</w:t>
      </w:r>
      <w:r w:rsidR="005C13FA" w:rsidRPr="0074604B">
        <w:rPr>
          <w:lang w:eastAsia="nl-BE"/>
        </w:rPr>
        <w:t xml:space="preserve">iologisch producerende landbouwers </w:t>
      </w:r>
      <w:r w:rsidR="00C44E4D">
        <w:rPr>
          <w:lang w:eastAsia="nl-BE"/>
        </w:rPr>
        <w:t xml:space="preserve">zijn vrijgesteld van vergroening en dus van deze maatregel </w:t>
      </w:r>
      <w:r w:rsidR="005C13FA" w:rsidRPr="0074604B">
        <w:rPr>
          <w:lang w:eastAsia="nl-BE"/>
        </w:rPr>
        <w:t>aangezien hun productiemethode aantoonbaar voor een duidelijk ecologisch voordeel zorg</w:t>
      </w:r>
      <w:r w:rsidR="00E721E5">
        <w:rPr>
          <w:lang w:eastAsia="nl-BE"/>
        </w:rPr>
        <w:t>t</w:t>
      </w:r>
      <w:r w:rsidR="005C13FA" w:rsidRPr="0074604B">
        <w:rPr>
          <w:lang w:eastAsia="nl-BE"/>
        </w:rPr>
        <w:t>. Zij krijgen de vergroeningspremie zonder</w:t>
      </w:r>
      <w:r w:rsidR="00174F5C">
        <w:rPr>
          <w:lang w:eastAsia="nl-BE"/>
        </w:rPr>
        <w:t xml:space="preserve"> </w:t>
      </w:r>
      <w:r w:rsidR="005C13FA" w:rsidRPr="0074604B">
        <w:rPr>
          <w:lang w:eastAsia="nl-BE"/>
        </w:rPr>
        <w:t>meer, voor de ha waarop ze biologisch telen.</w:t>
      </w:r>
      <w:r w:rsidR="00BA60F3" w:rsidRPr="0074604B">
        <w:rPr>
          <w:lang w:eastAsia="nl-BE"/>
        </w:rPr>
        <w:t xml:space="preserve"> Daarnaast </w:t>
      </w:r>
      <w:r w:rsidR="00E721E5">
        <w:rPr>
          <w:lang w:eastAsia="nl-BE"/>
        </w:rPr>
        <w:t>voorziet de verordening in</w:t>
      </w:r>
      <w:r w:rsidR="00BA60F3" w:rsidRPr="0074604B">
        <w:rPr>
          <w:lang w:eastAsia="nl-BE"/>
        </w:rPr>
        <w:t xml:space="preserve"> nog bijkomende </w:t>
      </w:r>
      <w:r w:rsidR="00E721E5">
        <w:rPr>
          <w:lang w:eastAsia="nl-BE"/>
        </w:rPr>
        <w:t>vrijstelling</w:t>
      </w:r>
      <w:r w:rsidR="00BA60F3" w:rsidRPr="0074604B">
        <w:rPr>
          <w:lang w:eastAsia="nl-BE"/>
        </w:rPr>
        <w:t>smaatregelen voor bedrijven met een groot aandeel gras in hun bedrijfsvoering.</w:t>
      </w:r>
      <w:r w:rsidR="00F5501C">
        <w:rPr>
          <w:lang w:eastAsia="nl-BE"/>
        </w:rPr>
        <w:t xml:space="preserve"> </w:t>
      </w:r>
      <w:r w:rsidR="00683D93" w:rsidRPr="0062728D">
        <w:rPr>
          <w:lang w:val="nl-BE" w:eastAsia="nl-BE"/>
        </w:rPr>
        <w:t xml:space="preserve">Volgens </w:t>
      </w:r>
      <w:r w:rsidR="00C44E4D" w:rsidRPr="0062728D">
        <w:rPr>
          <w:lang w:val="nl-BE" w:eastAsia="nl-BE"/>
        </w:rPr>
        <w:t>schattingen</w:t>
      </w:r>
      <w:r w:rsidR="00683D93" w:rsidRPr="0062728D">
        <w:rPr>
          <w:lang w:val="nl-BE" w:eastAsia="nl-BE"/>
        </w:rPr>
        <w:t xml:space="preserve"> van het departement Landbouw en Vi</w:t>
      </w:r>
      <w:r w:rsidR="008339EE" w:rsidRPr="0062728D">
        <w:rPr>
          <w:lang w:val="nl-BE" w:eastAsia="nl-BE"/>
        </w:rPr>
        <w:t>sserij z</w:t>
      </w:r>
      <w:r w:rsidR="001475E6" w:rsidRPr="0062728D">
        <w:rPr>
          <w:lang w:val="nl-BE" w:eastAsia="nl-BE"/>
        </w:rPr>
        <w:t>ou</w:t>
      </w:r>
      <w:r w:rsidR="008339EE" w:rsidRPr="0062728D">
        <w:rPr>
          <w:lang w:val="nl-BE" w:eastAsia="nl-BE"/>
        </w:rPr>
        <w:t xml:space="preserve"> 17</w:t>
      </w:r>
      <w:r w:rsidRPr="0062728D">
        <w:rPr>
          <w:lang w:val="nl-BE" w:eastAsia="nl-BE"/>
        </w:rPr>
        <w:t> </w:t>
      </w:r>
      <w:r w:rsidR="008339EE" w:rsidRPr="0062728D">
        <w:rPr>
          <w:lang w:val="nl-BE" w:eastAsia="nl-BE"/>
        </w:rPr>
        <w:t>489 ha van de 630</w:t>
      </w:r>
      <w:r w:rsidRPr="0062728D">
        <w:rPr>
          <w:lang w:val="nl-BE" w:eastAsia="nl-BE"/>
        </w:rPr>
        <w:t> </w:t>
      </w:r>
      <w:r w:rsidR="00683D93" w:rsidRPr="0062728D">
        <w:rPr>
          <w:lang w:val="nl-BE" w:eastAsia="nl-BE"/>
        </w:rPr>
        <w:t xml:space="preserve">698 ha subsidiabel landbouwareaal, “ecologisch </w:t>
      </w:r>
      <w:r w:rsidRPr="0062728D">
        <w:rPr>
          <w:lang w:val="nl-BE" w:eastAsia="nl-BE"/>
        </w:rPr>
        <w:t>aandacht</w:t>
      </w:r>
      <w:r w:rsidR="00683D93" w:rsidRPr="0062728D">
        <w:rPr>
          <w:lang w:val="nl-BE" w:eastAsia="nl-BE"/>
        </w:rPr>
        <w:t>sgebied”</w:t>
      </w:r>
      <w:r w:rsidR="001475E6" w:rsidRPr="0062728D">
        <w:rPr>
          <w:lang w:val="nl-BE" w:eastAsia="nl-BE"/>
        </w:rPr>
        <w:t xml:space="preserve"> moeten zijn</w:t>
      </w:r>
      <w:r w:rsidR="00683D93" w:rsidRPr="0062728D">
        <w:rPr>
          <w:lang w:val="nl-BE" w:eastAsia="nl-BE"/>
        </w:rPr>
        <w:t xml:space="preserve">. </w:t>
      </w:r>
      <w:r w:rsidR="001475E6" w:rsidRPr="0062728D">
        <w:rPr>
          <w:lang w:val="nl-BE" w:eastAsia="nl-BE"/>
        </w:rPr>
        <w:t>Dit komt overeen met</w:t>
      </w:r>
      <w:r w:rsidR="00683D93" w:rsidRPr="0062728D">
        <w:rPr>
          <w:lang w:val="nl-BE" w:eastAsia="nl-BE"/>
        </w:rPr>
        <w:t xml:space="preserve"> 2,77</w:t>
      </w:r>
      <w:r w:rsidR="001475E6" w:rsidRPr="0062728D">
        <w:rPr>
          <w:lang w:val="nl-BE" w:eastAsia="nl-BE"/>
        </w:rPr>
        <w:t> </w:t>
      </w:r>
      <w:r w:rsidR="00683D93" w:rsidRPr="0062728D">
        <w:rPr>
          <w:lang w:val="nl-BE" w:eastAsia="nl-BE"/>
        </w:rPr>
        <w:t xml:space="preserve">% van het subsidiabel landbouwareaal.  </w:t>
      </w:r>
    </w:p>
    <w:p w:rsidR="00E65316" w:rsidRDefault="00E65316" w:rsidP="0074604B">
      <w:pPr>
        <w:pStyle w:val="StandaardSV"/>
        <w:suppressAutoHyphens/>
        <w:rPr>
          <w:lang w:val="nl-BE" w:eastAsia="nl-BE"/>
        </w:rPr>
      </w:pPr>
    </w:p>
    <w:p w:rsidR="00AD6A4A" w:rsidRPr="0074604B" w:rsidRDefault="00683D93" w:rsidP="0062728D">
      <w:pPr>
        <w:pStyle w:val="StandaardSV"/>
        <w:numPr>
          <w:ilvl w:val="0"/>
          <w:numId w:val="46"/>
        </w:numPr>
        <w:suppressAutoHyphens/>
        <w:rPr>
          <w:lang w:val="nl-BE" w:eastAsia="nl-BE"/>
        </w:rPr>
      </w:pPr>
      <w:r w:rsidRPr="0074604B">
        <w:rPr>
          <w:lang w:val="nl-BE" w:eastAsia="nl-BE"/>
        </w:rPr>
        <w:t>Europa stelt een aantal EA</w:t>
      </w:r>
      <w:r w:rsidR="0074604B">
        <w:rPr>
          <w:lang w:val="nl-BE" w:eastAsia="nl-BE"/>
        </w:rPr>
        <w:t>G</w:t>
      </w:r>
      <w:r w:rsidRPr="0074604B">
        <w:rPr>
          <w:lang w:val="nl-BE" w:eastAsia="nl-BE"/>
        </w:rPr>
        <w:t xml:space="preserve">-types voorop die de </w:t>
      </w:r>
      <w:r w:rsidR="008339EE" w:rsidRPr="0074604B">
        <w:rPr>
          <w:lang w:val="nl-BE" w:eastAsia="nl-BE"/>
        </w:rPr>
        <w:t>lidstaten</w:t>
      </w:r>
      <w:r w:rsidRPr="0074604B">
        <w:rPr>
          <w:lang w:val="nl-BE" w:eastAsia="nl-BE"/>
        </w:rPr>
        <w:t xml:space="preserve"> kan inzetten om invulling te geven aan d</w:t>
      </w:r>
      <w:r w:rsidR="00AD6A4A" w:rsidRPr="0074604B">
        <w:rPr>
          <w:lang w:val="nl-BE" w:eastAsia="nl-BE"/>
        </w:rPr>
        <w:t xml:space="preserve">e maatregel </w:t>
      </w:r>
      <w:r w:rsidRPr="0074604B">
        <w:rPr>
          <w:lang w:val="nl-BE" w:eastAsia="nl-BE"/>
        </w:rPr>
        <w:t xml:space="preserve">ecologisch aandachtsgebied. </w:t>
      </w:r>
      <w:r w:rsidR="00AD6A4A" w:rsidRPr="0074604B">
        <w:rPr>
          <w:lang w:val="nl-BE" w:eastAsia="nl-BE"/>
        </w:rPr>
        <w:t xml:space="preserve">Dit betekent dat Europa zelf een afweging heeft gemaakt welke elementen </w:t>
      </w:r>
      <w:r w:rsidR="008339EE" w:rsidRPr="0074604B">
        <w:rPr>
          <w:lang w:val="nl-BE" w:eastAsia="nl-BE"/>
        </w:rPr>
        <w:t xml:space="preserve">een bijdrage leveren aan de ecologie en dus </w:t>
      </w:r>
      <w:r w:rsidR="00AD6A4A" w:rsidRPr="0074604B">
        <w:rPr>
          <w:lang w:val="nl-BE" w:eastAsia="nl-BE"/>
        </w:rPr>
        <w:t xml:space="preserve">onder de maatregel ecologisch aandachtsgebied kunnen vallen. </w:t>
      </w:r>
      <w:r w:rsidR="001475E6">
        <w:rPr>
          <w:lang w:val="nl-BE" w:eastAsia="nl-BE"/>
        </w:rPr>
        <w:t xml:space="preserve">Aan de hand van wegingsfactoren wordt het effectieve belang van de </w:t>
      </w:r>
      <w:r w:rsidR="007D6BBD">
        <w:rPr>
          <w:lang w:val="nl-BE" w:eastAsia="nl-BE"/>
        </w:rPr>
        <w:t xml:space="preserve">verschillende types </w:t>
      </w:r>
      <w:r w:rsidR="00174F5C">
        <w:rPr>
          <w:lang w:val="nl-BE" w:eastAsia="nl-BE"/>
        </w:rPr>
        <w:t>aangegeven</w:t>
      </w:r>
      <w:r w:rsidR="007D6BBD">
        <w:rPr>
          <w:lang w:val="nl-BE" w:eastAsia="nl-BE"/>
        </w:rPr>
        <w:t xml:space="preserve">. </w:t>
      </w:r>
      <w:r w:rsidR="00AD6A4A" w:rsidRPr="0074604B">
        <w:rPr>
          <w:lang w:val="nl-BE" w:eastAsia="nl-BE"/>
        </w:rPr>
        <w:t xml:space="preserve">De </w:t>
      </w:r>
      <w:r w:rsidR="008339EE" w:rsidRPr="0074604B">
        <w:rPr>
          <w:lang w:val="nl-BE" w:eastAsia="nl-BE"/>
        </w:rPr>
        <w:t>invulling</w:t>
      </w:r>
      <w:r w:rsidR="00AD6A4A" w:rsidRPr="0074604B">
        <w:rPr>
          <w:lang w:val="nl-BE" w:eastAsia="nl-BE"/>
        </w:rPr>
        <w:t xml:space="preserve"> van Vlaanderen </w:t>
      </w:r>
      <w:r w:rsidR="008339EE" w:rsidRPr="0074604B">
        <w:rPr>
          <w:lang w:val="nl-BE" w:eastAsia="nl-BE"/>
        </w:rPr>
        <w:t xml:space="preserve">voor het ecologisch aandachtsgebied </w:t>
      </w:r>
      <w:r w:rsidR="00AD6A4A" w:rsidRPr="0074604B">
        <w:rPr>
          <w:lang w:val="nl-BE" w:eastAsia="nl-BE"/>
        </w:rPr>
        <w:t xml:space="preserve">zal zich uiteraard </w:t>
      </w:r>
      <w:r w:rsidR="007D6BBD" w:rsidRPr="0074604B">
        <w:rPr>
          <w:lang w:val="nl-BE" w:eastAsia="nl-BE"/>
        </w:rPr>
        <w:t xml:space="preserve">situeren </w:t>
      </w:r>
      <w:r w:rsidR="00AD6A4A" w:rsidRPr="0074604B">
        <w:rPr>
          <w:lang w:val="nl-BE" w:eastAsia="nl-BE"/>
        </w:rPr>
        <w:t xml:space="preserve">binnen de krijtlijnen die Europa vooropstelt en </w:t>
      </w:r>
      <w:r w:rsidR="007D6BBD">
        <w:rPr>
          <w:lang w:val="nl-BE" w:eastAsia="nl-BE"/>
        </w:rPr>
        <w:t xml:space="preserve">zal </w:t>
      </w:r>
      <w:r w:rsidR="00AD6A4A" w:rsidRPr="0074604B">
        <w:rPr>
          <w:lang w:val="nl-BE" w:eastAsia="nl-BE"/>
        </w:rPr>
        <w:t xml:space="preserve">zich </w:t>
      </w:r>
      <w:r w:rsidR="007D6BBD">
        <w:rPr>
          <w:lang w:val="nl-BE" w:eastAsia="nl-BE"/>
        </w:rPr>
        <w:t>daa</w:t>
      </w:r>
      <w:r w:rsidR="00AD6A4A" w:rsidRPr="0074604B">
        <w:rPr>
          <w:lang w:val="nl-BE" w:eastAsia="nl-BE"/>
        </w:rPr>
        <w:t>rop baseren</w:t>
      </w:r>
      <w:r w:rsidR="00C5226D">
        <w:rPr>
          <w:lang w:val="nl-BE" w:eastAsia="nl-BE"/>
        </w:rPr>
        <w:t>, zodat deze maatregel een positieve bijdrage kan leveren aan de milieu-, klimaat- en biodiversiteitsdoelstellingen</w:t>
      </w:r>
      <w:r w:rsidR="00AD6A4A" w:rsidRPr="0074604B">
        <w:rPr>
          <w:lang w:val="nl-BE" w:eastAsia="nl-BE"/>
        </w:rPr>
        <w:t xml:space="preserve">. </w:t>
      </w:r>
    </w:p>
    <w:p w:rsidR="00AC3008" w:rsidRDefault="00AC3008" w:rsidP="0074604B">
      <w:pPr>
        <w:pStyle w:val="StandaardSV"/>
        <w:suppressAutoHyphens/>
        <w:rPr>
          <w:lang w:val="nl-BE" w:eastAsia="nl-BE"/>
        </w:rPr>
      </w:pPr>
    </w:p>
    <w:p w:rsidR="00AC3008" w:rsidRPr="0074604B" w:rsidRDefault="005C13FA" w:rsidP="0062728D">
      <w:pPr>
        <w:pStyle w:val="StandaardSV"/>
        <w:numPr>
          <w:ilvl w:val="0"/>
          <w:numId w:val="46"/>
        </w:numPr>
        <w:suppressAutoHyphens/>
        <w:rPr>
          <w:lang w:val="nl-BE" w:eastAsia="nl-BE"/>
        </w:rPr>
      </w:pPr>
      <w:r w:rsidRPr="0074604B">
        <w:rPr>
          <w:lang w:val="nl-BE" w:eastAsia="nl-BE"/>
        </w:rPr>
        <w:t>Bovengenoemde toetsing gaat niet enkel de bijdrage van de verschillende E</w:t>
      </w:r>
      <w:r w:rsidR="007D6BBD">
        <w:rPr>
          <w:lang w:val="nl-BE" w:eastAsia="nl-BE"/>
        </w:rPr>
        <w:t>AG</w:t>
      </w:r>
      <w:r w:rsidRPr="0074604B">
        <w:rPr>
          <w:lang w:val="nl-BE" w:eastAsia="nl-BE"/>
        </w:rPr>
        <w:t xml:space="preserve">-types aan de biodiversiteit na, maar ook de inpasbaarheid van de maatregel in de landbouwbedrijfsvoering en de </w:t>
      </w:r>
      <w:r w:rsidR="00AC3008" w:rsidRPr="0074604B">
        <w:rPr>
          <w:lang w:val="nl-BE" w:eastAsia="nl-BE"/>
        </w:rPr>
        <w:t xml:space="preserve">haalbaarheid voor praktische implementatie voor de landbouwer en voor het Vlaamse </w:t>
      </w:r>
      <w:proofErr w:type="spellStart"/>
      <w:r w:rsidR="00AC3008" w:rsidRPr="0074604B">
        <w:rPr>
          <w:lang w:val="nl-BE" w:eastAsia="nl-BE"/>
        </w:rPr>
        <w:t>betaalorgaan.</w:t>
      </w:r>
      <w:r w:rsidR="00AD6A4A" w:rsidRPr="0062728D">
        <w:rPr>
          <w:lang w:val="nl-BE" w:eastAsia="nl-BE"/>
        </w:rPr>
        <w:t>De</w:t>
      </w:r>
      <w:proofErr w:type="spellEnd"/>
      <w:r w:rsidR="00AD6A4A" w:rsidRPr="0062728D">
        <w:rPr>
          <w:lang w:val="nl-BE" w:eastAsia="nl-BE"/>
        </w:rPr>
        <w:t xml:space="preserve"> keuze die de minister </w:t>
      </w:r>
      <w:r w:rsidR="008339EE" w:rsidRPr="0062728D">
        <w:rPr>
          <w:lang w:val="nl-BE" w:eastAsia="nl-BE"/>
        </w:rPr>
        <w:t xml:space="preserve">zal maken </w:t>
      </w:r>
      <w:r w:rsidR="00AD6A4A" w:rsidRPr="0062728D">
        <w:rPr>
          <w:lang w:val="nl-BE" w:eastAsia="nl-BE"/>
        </w:rPr>
        <w:t>voor de Vlaamse invulling van E</w:t>
      </w:r>
      <w:r w:rsidR="007D6BBD" w:rsidRPr="0062728D">
        <w:rPr>
          <w:lang w:val="nl-BE" w:eastAsia="nl-BE"/>
        </w:rPr>
        <w:t>AG</w:t>
      </w:r>
      <w:r w:rsidR="00AD6A4A" w:rsidRPr="0062728D">
        <w:rPr>
          <w:lang w:val="nl-BE" w:eastAsia="nl-BE"/>
        </w:rPr>
        <w:t xml:space="preserve">, zal zich baseren op de mogelijkheden </w:t>
      </w:r>
      <w:r w:rsidR="008339EE" w:rsidRPr="0062728D">
        <w:rPr>
          <w:lang w:val="nl-BE" w:eastAsia="nl-BE"/>
        </w:rPr>
        <w:t xml:space="preserve">en modaliteiten </w:t>
      </w:r>
      <w:r w:rsidR="00AD6A4A" w:rsidRPr="0062728D">
        <w:rPr>
          <w:lang w:val="nl-BE" w:eastAsia="nl-BE"/>
        </w:rPr>
        <w:t xml:space="preserve">die Europa vooropstelt, rekening houdende met de bijdrage aan biodiversiteit van </w:t>
      </w:r>
      <w:r w:rsidR="008339EE" w:rsidRPr="0062728D">
        <w:rPr>
          <w:lang w:val="nl-BE" w:eastAsia="nl-BE"/>
        </w:rPr>
        <w:t>de</w:t>
      </w:r>
      <w:r w:rsidR="00AD6A4A" w:rsidRPr="0062728D">
        <w:rPr>
          <w:lang w:val="nl-BE" w:eastAsia="nl-BE"/>
        </w:rPr>
        <w:t xml:space="preserve"> maatregel, gecombineerd met de haalbaarheid voor de </w:t>
      </w:r>
      <w:proofErr w:type="spellStart"/>
      <w:r w:rsidR="00AD6A4A" w:rsidRPr="0062728D">
        <w:rPr>
          <w:lang w:val="nl-BE" w:eastAsia="nl-BE"/>
        </w:rPr>
        <w:t>landbouwer.</w:t>
      </w:r>
      <w:r w:rsidR="00AC3008" w:rsidRPr="0074604B">
        <w:rPr>
          <w:lang w:val="nl-BE" w:eastAsia="nl-BE"/>
        </w:rPr>
        <w:t>Vlaanderen</w:t>
      </w:r>
      <w:proofErr w:type="spellEnd"/>
      <w:r w:rsidR="00AC3008" w:rsidRPr="0074604B">
        <w:rPr>
          <w:lang w:val="nl-BE" w:eastAsia="nl-BE"/>
        </w:rPr>
        <w:t xml:space="preserve"> er in 2014 concreet invulling aan geven. De diensten van het Beleidsdomein Landbouw en Visserij zijn dit aan het voorbereiden, mede op basis van de vernoemde toetsing.</w:t>
      </w:r>
    </w:p>
    <w:p w:rsidR="00AC3008" w:rsidRPr="00AC3008" w:rsidRDefault="00AC3008" w:rsidP="0074604B">
      <w:pPr>
        <w:pStyle w:val="StandaardSV"/>
        <w:suppressAutoHyphens/>
        <w:rPr>
          <w:lang w:eastAsia="nl-BE"/>
        </w:rPr>
      </w:pPr>
    </w:p>
    <w:p w:rsidR="000B5EA0" w:rsidRPr="0074604B" w:rsidRDefault="000B5EA0" w:rsidP="0062728D">
      <w:pPr>
        <w:pStyle w:val="StandaardSV"/>
        <w:numPr>
          <w:ilvl w:val="0"/>
          <w:numId w:val="46"/>
        </w:numPr>
        <w:suppressAutoHyphens/>
      </w:pPr>
      <w:r w:rsidRPr="0074604B">
        <w:t xml:space="preserve">De toetsing </w:t>
      </w:r>
      <w:r w:rsidR="007656A0" w:rsidRPr="0074604B">
        <w:t>op basis van literatuurstudie en expe</w:t>
      </w:r>
      <w:r w:rsidR="00AD6A4A" w:rsidRPr="0074604B">
        <w:t>r</w:t>
      </w:r>
      <w:r w:rsidR="007656A0" w:rsidRPr="0074604B">
        <w:t xml:space="preserve">tkennis </w:t>
      </w:r>
      <w:r w:rsidRPr="0074604B">
        <w:t xml:space="preserve">is </w:t>
      </w:r>
      <w:r w:rsidR="007656A0" w:rsidRPr="0074604B">
        <w:t xml:space="preserve">op dit moment </w:t>
      </w:r>
      <w:r w:rsidRPr="0074604B">
        <w:t>lopende</w:t>
      </w:r>
      <w:r w:rsidR="007F61F7">
        <w:t xml:space="preserve">, maar ik kan </w:t>
      </w:r>
      <w:r w:rsidR="00367BF4" w:rsidRPr="0074604B">
        <w:t xml:space="preserve">algemeen </w:t>
      </w:r>
      <w:r w:rsidR="007D6BBD">
        <w:t xml:space="preserve">al het volgende </w:t>
      </w:r>
      <w:r w:rsidRPr="0074604B">
        <w:t>meegeven:</w:t>
      </w:r>
    </w:p>
    <w:p w:rsidR="000B5EA0" w:rsidRPr="0074604B" w:rsidRDefault="000B5EA0" w:rsidP="0074604B">
      <w:pPr>
        <w:pStyle w:val="StandaardSV"/>
        <w:suppressAutoHyphens/>
      </w:pPr>
    </w:p>
    <w:p w:rsidR="00614C71" w:rsidRDefault="000B5EA0" w:rsidP="004666BE">
      <w:pPr>
        <w:numPr>
          <w:ilvl w:val="0"/>
          <w:numId w:val="42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74604B">
        <w:rPr>
          <w:rFonts w:eastAsia="Calibri"/>
          <w:sz w:val="22"/>
          <w:szCs w:val="22"/>
          <w:lang w:eastAsia="en-US"/>
        </w:rPr>
        <w:t xml:space="preserve">Voor </w:t>
      </w:r>
      <w:proofErr w:type="spellStart"/>
      <w:r w:rsidRPr="0074604B">
        <w:rPr>
          <w:rFonts w:eastAsia="Calibri"/>
          <w:sz w:val="22"/>
          <w:szCs w:val="22"/>
          <w:lang w:eastAsia="en-US"/>
        </w:rPr>
        <w:t>groenbedekkers</w:t>
      </w:r>
      <w:proofErr w:type="spellEnd"/>
      <w:r w:rsidRPr="0074604B">
        <w:rPr>
          <w:rFonts w:eastAsia="Calibri"/>
          <w:sz w:val="22"/>
          <w:szCs w:val="22"/>
          <w:lang w:eastAsia="en-US"/>
        </w:rPr>
        <w:t xml:space="preserve"> of vanggewassen stelt Europa voorop dat het moet gaan om een mengsel of een </w:t>
      </w:r>
      <w:proofErr w:type="spellStart"/>
      <w:r w:rsidRPr="0074604B">
        <w:rPr>
          <w:rFonts w:eastAsia="Calibri"/>
          <w:sz w:val="22"/>
          <w:szCs w:val="22"/>
          <w:lang w:eastAsia="en-US"/>
        </w:rPr>
        <w:t>onderzaai</w:t>
      </w:r>
      <w:proofErr w:type="spellEnd"/>
      <w:r w:rsidRPr="0074604B">
        <w:rPr>
          <w:rFonts w:eastAsia="Calibri"/>
          <w:sz w:val="22"/>
          <w:szCs w:val="22"/>
          <w:lang w:eastAsia="en-US"/>
        </w:rPr>
        <w:t xml:space="preserve"> van gras in het hoofdgewas. </w:t>
      </w:r>
      <w:r w:rsidRPr="0074604B">
        <w:rPr>
          <w:rFonts w:eastAsia="Calibri"/>
          <w:sz w:val="22"/>
          <w:szCs w:val="22"/>
          <w:lang w:val="nl-BE" w:eastAsia="en-US"/>
        </w:rPr>
        <w:t xml:space="preserve">Lidstaten </w:t>
      </w:r>
      <w:r w:rsidR="00AD6A4A" w:rsidRPr="0074604B">
        <w:rPr>
          <w:rFonts w:eastAsia="Calibri"/>
          <w:sz w:val="22"/>
          <w:szCs w:val="22"/>
          <w:lang w:val="nl-BE" w:eastAsia="en-US"/>
        </w:rPr>
        <w:t xml:space="preserve">moeten een lijst van mengsels vastleggen alsook de periode van inzaaien. </w:t>
      </w:r>
      <w:r w:rsidRPr="0074604B">
        <w:rPr>
          <w:rFonts w:eastAsia="Calibri"/>
          <w:sz w:val="22"/>
          <w:szCs w:val="22"/>
          <w:lang w:val="nl-BE" w:eastAsia="en-US"/>
        </w:rPr>
        <w:t xml:space="preserve">De inzaai mag niet later dan 1 oktober plaatsvinden. Elk type groenbedekker heeft zijn eigen kenmerken, maar samenvattend kan gesteld worden dat </w:t>
      </w:r>
      <w:proofErr w:type="spellStart"/>
      <w:r w:rsidR="00AD6A4A" w:rsidRPr="0074604B">
        <w:rPr>
          <w:rFonts w:eastAsia="Calibri"/>
          <w:sz w:val="22"/>
          <w:szCs w:val="22"/>
          <w:lang w:val="nl-BE" w:eastAsia="en-US"/>
        </w:rPr>
        <w:t>groenbedekker</w:t>
      </w:r>
      <w:r w:rsidR="00283305" w:rsidRPr="0074604B">
        <w:rPr>
          <w:rFonts w:eastAsia="Calibri"/>
          <w:sz w:val="22"/>
          <w:szCs w:val="22"/>
          <w:lang w:val="nl-BE" w:eastAsia="en-US"/>
        </w:rPr>
        <w:t>s</w:t>
      </w:r>
      <w:proofErr w:type="spellEnd"/>
      <w:r w:rsidR="00AD6A4A" w:rsidRPr="0074604B">
        <w:rPr>
          <w:rFonts w:eastAsia="Calibri"/>
          <w:sz w:val="22"/>
          <w:szCs w:val="22"/>
          <w:lang w:val="nl-BE" w:eastAsia="en-US"/>
        </w:rPr>
        <w:t xml:space="preserve"> </w:t>
      </w:r>
      <w:r w:rsidRPr="0074604B">
        <w:rPr>
          <w:rFonts w:eastAsia="Calibri"/>
          <w:szCs w:val="22"/>
          <w:lang w:val="nl-BE" w:eastAsia="en-US"/>
        </w:rPr>
        <w:t xml:space="preserve">als vanggewas </w:t>
      </w:r>
      <w:r w:rsidR="00283305" w:rsidRPr="0074604B">
        <w:rPr>
          <w:rFonts w:eastAsia="Calibri"/>
          <w:sz w:val="22"/>
          <w:szCs w:val="22"/>
          <w:lang w:eastAsia="en-US"/>
        </w:rPr>
        <w:t>fungeren</w:t>
      </w:r>
      <w:r w:rsidR="00AD6A4A" w:rsidRPr="0074604B">
        <w:rPr>
          <w:rFonts w:eastAsia="Calibri"/>
          <w:sz w:val="22"/>
          <w:szCs w:val="22"/>
          <w:lang w:eastAsia="en-US"/>
        </w:rPr>
        <w:t xml:space="preserve"> </w:t>
      </w:r>
      <w:r w:rsidRPr="0074604B">
        <w:rPr>
          <w:rFonts w:eastAsia="Calibri"/>
          <w:sz w:val="22"/>
          <w:szCs w:val="22"/>
          <w:lang w:eastAsia="en-US"/>
        </w:rPr>
        <w:t>voor stikstof en andere nutriënten, welke terug vrijgegeven worden voor het volggewas na inwerken in de bodem. Door de permanente bedekking en door</w:t>
      </w:r>
      <w:r w:rsidR="00AD6A4A" w:rsidRPr="0074604B">
        <w:rPr>
          <w:rFonts w:eastAsia="Calibri"/>
          <w:sz w:val="22"/>
          <w:szCs w:val="22"/>
          <w:lang w:eastAsia="en-US"/>
        </w:rPr>
        <w:t xml:space="preserve">worteling van de bouwlaag kunnen </w:t>
      </w:r>
      <w:proofErr w:type="spellStart"/>
      <w:r w:rsidR="00AD6A4A" w:rsidRPr="0074604B">
        <w:rPr>
          <w:rFonts w:eastAsia="Calibri"/>
          <w:sz w:val="22"/>
          <w:szCs w:val="22"/>
          <w:lang w:eastAsia="en-US"/>
        </w:rPr>
        <w:t>groenbedekkers</w:t>
      </w:r>
      <w:proofErr w:type="spellEnd"/>
      <w:r w:rsidR="00AD6A4A" w:rsidRPr="0074604B">
        <w:rPr>
          <w:rFonts w:eastAsia="Calibri"/>
          <w:sz w:val="22"/>
          <w:szCs w:val="22"/>
          <w:lang w:eastAsia="en-US"/>
        </w:rPr>
        <w:t xml:space="preserve"> </w:t>
      </w:r>
      <w:r w:rsidRPr="0074604B">
        <w:rPr>
          <w:rFonts w:eastAsia="Calibri"/>
          <w:sz w:val="22"/>
          <w:szCs w:val="22"/>
          <w:lang w:eastAsia="en-US"/>
        </w:rPr>
        <w:t xml:space="preserve">bijdragen tot </w:t>
      </w:r>
      <w:r w:rsidR="00995E44" w:rsidRPr="0074604B">
        <w:rPr>
          <w:rFonts w:eastAsia="Calibri"/>
          <w:sz w:val="22"/>
          <w:szCs w:val="22"/>
          <w:lang w:eastAsia="en-US"/>
        </w:rPr>
        <w:t xml:space="preserve">de aanvoer van organisch materiaal en een </w:t>
      </w:r>
      <w:r w:rsidRPr="0074604B">
        <w:rPr>
          <w:rFonts w:eastAsia="Calibri"/>
          <w:sz w:val="22"/>
          <w:szCs w:val="22"/>
          <w:lang w:eastAsia="en-US"/>
        </w:rPr>
        <w:t>goede bodem</w:t>
      </w:r>
      <w:r w:rsidR="00995E44" w:rsidRPr="0074604B">
        <w:rPr>
          <w:rFonts w:eastAsia="Calibri"/>
          <w:sz w:val="22"/>
          <w:szCs w:val="22"/>
          <w:lang w:eastAsia="en-US"/>
        </w:rPr>
        <w:t>vruchtbaarheid en –</w:t>
      </w:r>
      <w:r w:rsidRPr="0074604B">
        <w:rPr>
          <w:rFonts w:eastAsia="Calibri"/>
          <w:sz w:val="22"/>
          <w:szCs w:val="22"/>
          <w:lang w:eastAsia="en-US"/>
        </w:rPr>
        <w:t>structuur</w:t>
      </w:r>
      <w:r w:rsidR="00995E44" w:rsidRPr="0074604B">
        <w:rPr>
          <w:rFonts w:eastAsia="Calibri"/>
          <w:sz w:val="22"/>
          <w:szCs w:val="22"/>
          <w:lang w:eastAsia="en-US"/>
        </w:rPr>
        <w:t xml:space="preserve"> (onder meer een rijker bodemleven)</w:t>
      </w:r>
      <w:r w:rsidR="007D6BBD">
        <w:rPr>
          <w:rFonts w:eastAsia="Calibri"/>
          <w:sz w:val="22"/>
          <w:szCs w:val="22"/>
          <w:lang w:eastAsia="en-US"/>
        </w:rPr>
        <w:t>. Ze</w:t>
      </w:r>
      <w:r w:rsidRPr="0074604B">
        <w:rPr>
          <w:rFonts w:eastAsia="Calibri"/>
          <w:sz w:val="22"/>
          <w:szCs w:val="22"/>
          <w:lang w:eastAsia="en-US"/>
        </w:rPr>
        <w:t xml:space="preserve"> </w:t>
      </w:r>
      <w:r w:rsidR="00995E44" w:rsidRPr="0074604B">
        <w:rPr>
          <w:rFonts w:eastAsia="Calibri"/>
          <w:sz w:val="22"/>
          <w:szCs w:val="22"/>
          <w:lang w:eastAsia="en-US"/>
        </w:rPr>
        <w:t>kunnen de ontwikkeling van onkruid tegengaan</w:t>
      </w:r>
      <w:r w:rsidR="002F5666">
        <w:rPr>
          <w:rFonts w:eastAsia="Calibri"/>
          <w:sz w:val="22"/>
          <w:szCs w:val="22"/>
          <w:lang w:eastAsia="en-US"/>
        </w:rPr>
        <w:t xml:space="preserve"> en spelen een rol in het voorkomen van bodem</w:t>
      </w:r>
      <w:r w:rsidRPr="0074604B">
        <w:rPr>
          <w:rFonts w:eastAsia="Calibri"/>
          <w:sz w:val="22"/>
          <w:szCs w:val="22"/>
          <w:lang w:eastAsia="en-US"/>
        </w:rPr>
        <w:t>erosie</w:t>
      </w:r>
      <w:r w:rsidR="002F5666">
        <w:rPr>
          <w:rFonts w:eastAsia="Calibri"/>
          <w:sz w:val="22"/>
          <w:szCs w:val="22"/>
          <w:lang w:eastAsia="en-US"/>
        </w:rPr>
        <w:t>.</w:t>
      </w:r>
      <w:r w:rsidRPr="0074604B">
        <w:rPr>
          <w:rFonts w:eastAsia="Calibri"/>
          <w:sz w:val="22"/>
          <w:szCs w:val="22"/>
          <w:lang w:eastAsia="en-US"/>
        </w:rPr>
        <w:t xml:space="preserve"> </w:t>
      </w:r>
      <w:r w:rsidR="002F5666">
        <w:rPr>
          <w:rFonts w:eastAsia="Calibri"/>
          <w:sz w:val="22"/>
          <w:szCs w:val="22"/>
          <w:lang w:eastAsia="en-US"/>
        </w:rPr>
        <w:t>S</w:t>
      </w:r>
      <w:r w:rsidR="008339EE" w:rsidRPr="0074604B">
        <w:rPr>
          <w:rFonts w:eastAsia="Calibri"/>
          <w:sz w:val="22"/>
          <w:szCs w:val="22"/>
          <w:lang w:eastAsia="en-US"/>
        </w:rPr>
        <w:t xml:space="preserve">ommige </w:t>
      </w:r>
      <w:proofErr w:type="spellStart"/>
      <w:r w:rsidR="002F5666">
        <w:rPr>
          <w:rFonts w:eastAsia="Calibri"/>
          <w:sz w:val="22"/>
          <w:szCs w:val="22"/>
          <w:lang w:eastAsia="en-US"/>
        </w:rPr>
        <w:t>groenbedekkers</w:t>
      </w:r>
      <w:proofErr w:type="spellEnd"/>
      <w:r w:rsidR="002F5666">
        <w:rPr>
          <w:rFonts w:eastAsia="Calibri"/>
          <w:sz w:val="22"/>
          <w:szCs w:val="22"/>
          <w:lang w:eastAsia="en-US"/>
        </w:rPr>
        <w:t xml:space="preserve"> zorgen voor </w:t>
      </w:r>
      <w:r w:rsidR="00995E44" w:rsidRPr="0074604B">
        <w:rPr>
          <w:rFonts w:eastAsia="Calibri"/>
          <w:sz w:val="22"/>
          <w:szCs w:val="22"/>
          <w:lang w:eastAsia="en-US"/>
        </w:rPr>
        <w:t xml:space="preserve">een </w:t>
      </w:r>
      <w:r w:rsidRPr="0074604B">
        <w:rPr>
          <w:rFonts w:eastAsia="Calibri"/>
          <w:sz w:val="22"/>
          <w:szCs w:val="22"/>
          <w:lang w:eastAsia="en-US"/>
        </w:rPr>
        <w:t>reductie van de aaltjespopulatie</w:t>
      </w:r>
      <w:r w:rsidR="002F5666">
        <w:rPr>
          <w:rFonts w:eastAsia="Calibri"/>
          <w:sz w:val="22"/>
          <w:szCs w:val="22"/>
          <w:lang w:eastAsia="en-US"/>
        </w:rPr>
        <w:t>. Bovendien</w:t>
      </w:r>
      <w:r w:rsidR="00AD6A4A" w:rsidRPr="0074604B">
        <w:rPr>
          <w:rFonts w:eastAsia="Calibri"/>
          <w:sz w:val="22"/>
          <w:szCs w:val="22"/>
          <w:lang w:eastAsia="en-US"/>
        </w:rPr>
        <w:t xml:space="preserve"> </w:t>
      </w:r>
      <w:r w:rsidR="008339EE" w:rsidRPr="0074604B">
        <w:rPr>
          <w:rFonts w:eastAsia="Calibri"/>
          <w:sz w:val="22"/>
          <w:szCs w:val="22"/>
          <w:lang w:eastAsia="en-US"/>
        </w:rPr>
        <w:t xml:space="preserve">kunnen </w:t>
      </w:r>
      <w:proofErr w:type="spellStart"/>
      <w:r w:rsidR="007C0E96">
        <w:rPr>
          <w:rFonts w:eastAsia="Calibri"/>
          <w:sz w:val="22"/>
          <w:szCs w:val="22"/>
          <w:lang w:eastAsia="en-US"/>
        </w:rPr>
        <w:t>groenbedekkers</w:t>
      </w:r>
      <w:proofErr w:type="spellEnd"/>
      <w:r w:rsidR="007C0E96" w:rsidRPr="0074604B">
        <w:rPr>
          <w:rFonts w:eastAsia="Calibri"/>
          <w:sz w:val="22"/>
          <w:szCs w:val="22"/>
          <w:lang w:eastAsia="en-US"/>
        </w:rPr>
        <w:t xml:space="preserve"> </w:t>
      </w:r>
      <w:r w:rsidR="00AD6A4A" w:rsidRPr="0074604B">
        <w:rPr>
          <w:rFonts w:eastAsia="Calibri"/>
          <w:sz w:val="22"/>
          <w:szCs w:val="22"/>
          <w:lang w:eastAsia="en-US"/>
        </w:rPr>
        <w:t xml:space="preserve">voedsel </w:t>
      </w:r>
      <w:r w:rsidR="00AD6A4A" w:rsidRPr="0074604B">
        <w:rPr>
          <w:rFonts w:eastAsia="Calibri"/>
          <w:sz w:val="22"/>
          <w:szCs w:val="22"/>
          <w:lang w:eastAsia="en-US"/>
        </w:rPr>
        <w:lastRenderedPageBreak/>
        <w:t xml:space="preserve">en schuilgelegenheid bieden voor tal van </w:t>
      </w:r>
      <w:r w:rsidR="005121F2">
        <w:rPr>
          <w:rFonts w:eastAsia="Calibri"/>
          <w:sz w:val="22"/>
          <w:szCs w:val="22"/>
          <w:lang w:eastAsia="en-US"/>
        </w:rPr>
        <w:t>dier</w:t>
      </w:r>
      <w:r w:rsidR="00AD6A4A" w:rsidRPr="0074604B">
        <w:rPr>
          <w:rFonts w:eastAsia="Calibri"/>
          <w:sz w:val="22"/>
          <w:szCs w:val="22"/>
          <w:lang w:eastAsia="en-US"/>
        </w:rPr>
        <w:t>soorten</w:t>
      </w:r>
      <w:r w:rsidR="00995E44" w:rsidRPr="0074604B">
        <w:rPr>
          <w:rFonts w:eastAsia="Calibri"/>
          <w:sz w:val="22"/>
          <w:szCs w:val="22"/>
          <w:lang w:eastAsia="en-US"/>
        </w:rPr>
        <w:t xml:space="preserve"> in de winter</w:t>
      </w:r>
      <w:r w:rsidR="005121F2">
        <w:rPr>
          <w:rFonts w:eastAsia="Calibri"/>
          <w:sz w:val="22"/>
          <w:szCs w:val="22"/>
          <w:lang w:eastAsia="en-US"/>
        </w:rPr>
        <w:t xml:space="preserve"> en zijn ze gunstig voor het </w:t>
      </w:r>
      <w:r w:rsidR="005121F2" w:rsidRPr="0074604B">
        <w:rPr>
          <w:rFonts w:eastAsia="Calibri"/>
          <w:sz w:val="22"/>
          <w:szCs w:val="22"/>
          <w:lang w:eastAsia="en-US"/>
        </w:rPr>
        <w:t>wildbestand</w:t>
      </w:r>
      <w:r w:rsidR="00AD6A4A" w:rsidRPr="0074604B">
        <w:rPr>
          <w:rFonts w:eastAsia="Calibri"/>
          <w:sz w:val="22"/>
          <w:szCs w:val="22"/>
          <w:lang w:eastAsia="en-US"/>
        </w:rPr>
        <w:t>.</w:t>
      </w:r>
      <w:r w:rsidRPr="0074604B">
        <w:rPr>
          <w:rFonts w:eastAsia="Calibri"/>
          <w:sz w:val="22"/>
          <w:szCs w:val="22"/>
          <w:lang w:eastAsia="en-US"/>
        </w:rPr>
        <w:t xml:space="preserve"> </w:t>
      </w:r>
      <w:r w:rsidR="00995E44" w:rsidRPr="0074604B">
        <w:rPr>
          <w:rFonts w:eastAsia="Calibri"/>
          <w:sz w:val="22"/>
          <w:szCs w:val="22"/>
          <w:lang w:eastAsia="en-US"/>
        </w:rPr>
        <w:t xml:space="preserve">Sommige </w:t>
      </w:r>
      <w:proofErr w:type="spellStart"/>
      <w:r w:rsidR="00995E44" w:rsidRPr="0074604B">
        <w:rPr>
          <w:rFonts w:eastAsia="Calibri"/>
          <w:sz w:val="22"/>
          <w:szCs w:val="22"/>
          <w:lang w:eastAsia="en-US"/>
        </w:rPr>
        <w:t>groenbedekkers</w:t>
      </w:r>
      <w:proofErr w:type="spellEnd"/>
      <w:r w:rsidR="00995E44" w:rsidRPr="0074604B">
        <w:rPr>
          <w:rFonts w:eastAsia="Calibri"/>
          <w:sz w:val="22"/>
          <w:szCs w:val="22"/>
          <w:lang w:eastAsia="en-US"/>
        </w:rPr>
        <w:t xml:space="preserve"> zijn ook </w:t>
      </w:r>
      <w:r w:rsidR="005121F2">
        <w:rPr>
          <w:rFonts w:eastAsia="Calibri"/>
          <w:sz w:val="22"/>
          <w:szCs w:val="22"/>
          <w:lang w:eastAsia="en-US"/>
        </w:rPr>
        <w:t xml:space="preserve">bijzonder </w:t>
      </w:r>
      <w:r w:rsidR="00995E44" w:rsidRPr="0074604B">
        <w:rPr>
          <w:rFonts w:eastAsia="Calibri"/>
          <w:sz w:val="22"/>
          <w:szCs w:val="22"/>
          <w:lang w:eastAsia="en-US"/>
        </w:rPr>
        <w:t>gunstig voor het bijen</w:t>
      </w:r>
      <w:r w:rsidR="005121F2">
        <w:rPr>
          <w:rFonts w:eastAsia="Calibri"/>
          <w:sz w:val="22"/>
          <w:szCs w:val="22"/>
          <w:lang w:eastAsia="en-US"/>
        </w:rPr>
        <w:t>bestand</w:t>
      </w:r>
      <w:r w:rsidR="00995E44" w:rsidRPr="0074604B">
        <w:rPr>
          <w:rFonts w:eastAsia="Calibri"/>
          <w:sz w:val="22"/>
          <w:szCs w:val="22"/>
          <w:lang w:eastAsia="en-US"/>
        </w:rPr>
        <w:t xml:space="preserve">.  </w:t>
      </w:r>
    </w:p>
    <w:p w:rsidR="004666BE" w:rsidRPr="0074604B" w:rsidRDefault="004666BE" w:rsidP="004666BE">
      <w:pPr>
        <w:suppressAutoHyphens/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283305" w:rsidRPr="0074604B" w:rsidRDefault="00283305" w:rsidP="0074604B">
      <w:pPr>
        <w:numPr>
          <w:ilvl w:val="0"/>
          <w:numId w:val="42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7669EE">
        <w:rPr>
          <w:rFonts w:eastAsia="Calibri"/>
          <w:sz w:val="22"/>
          <w:szCs w:val="22"/>
          <w:lang w:eastAsia="en-US"/>
        </w:rPr>
        <w:t xml:space="preserve">De teelt van </w:t>
      </w:r>
      <w:r w:rsidR="008339EE" w:rsidRPr="007669EE">
        <w:rPr>
          <w:rFonts w:eastAsia="Calibri"/>
          <w:sz w:val="22"/>
          <w:szCs w:val="22"/>
          <w:lang w:eastAsia="en-US"/>
        </w:rPr>
        <w:t xml:space="preserve">N-fixerende </w:t>
      </w:r>
      <w:r w:rsidRPr="007669EE">
        <w:rPr>
          <w:rFonts w:eastAsia="Calibri"/>
          <w:sz w:val="22"/>
          <w:szCs w:val="22"/>
          <w:lang w:eastAsia="en-US"/>
        </w:rPr>
        <w:t>gewassen kan bijdragen tot een efficiënter functioneren van de nutriëntenkringloop</w:t>
      </w:r>
      <w:r w:rsidR="008339EE" w:rsidRPr="007669EE">
        <w:rPr>
          <w:rFonts w:eastAsia="Calibri"/>
          <w:sz w:val="22"/>
          <w:szCs w:val="22"/>
          <w:lang w:eastAsia="en-US"/>
        </w:rPr>
        <w:t xml:space="preserve">, aangezien de bacteriën met wie </w:t>
      </w:r>
      <w:r w:rsidR="007D6BBD" w:rsidRPr="007669EE">
        <w:rPr>
          <w:rFonts w:eastAsia="Calibri"/>
          <w:sz w:val="22"/>
          <w:szCs w:val="22"/>
          <w:lang w:eastAsia="en-US"/>
        </w:rPr>
        <w:t>de</w:t>
      </w:r>
      <w:r w:rsidR="008339EE" w:rsidRPr="007669EE">
        <w:rPr>
          <w:rFonts w:eastAsia="Calibri"/>
          <w:sz w:val="22"/>
          <w:szCs w:val="22"/>
          <w:lang w:eastAsia="en-US"/>
        </w:rPr>
        <w:t>ze</w:t>
      </w:r>
      <w:r w:rsidR="007D6BBD" w:rsidRPr="007669EE">
        <w:rPr>
          <w:rFonts w:eastAsia="Calibri"/>
          <w:sz w:val="22"/>
          <w:szCs w:val="22"/>
          <w:lang w:eastAsia="en-US"/>
        </w:rPr>
        <w:t xml:space="preserve"> gewassen</w:t>
      </w:r>
      <w:r w:rsidR="008339EE" w:rsidRPr="007669EE">
        <w:rPr>
          <w:rFonts w:eastAsia="Calibri"/>
          <w:sz w:val="22"/>
          <w:szCs w:val="22"/>
          <w:lang w:eastAsia="en-US"/>
        </w:rPr>
        <w:t xml:space="preserve"> in symbiose leven, stikstof ter beschikking kunnen stellen van de plant</w:t>
      </w:r>
      <w:r w:rsidRPr="007669EE">
        <w:rPr>
          <w:rFonts w:eastAsia="Calibri"/>
          <w:sz w:val="22"/>
          <w:szCs w:val="22"/>
          <w:lang w:eastAsia="en-US"/>
        </w:rPr>
        <w:t>. Het diversifiëren van teelten op landbouwbedrijven</w:t>
      </w:r>
      <w:r w:rsidR="008339EE" w:rsidRPr="007669EE">
        <w:rPr>
          <w:rFonts w:eastAsia="Calibri"/>
          <w:sz w:val="22"/>
          <w:szCs w:val="22"/>
          <w:lang w:eastAsia="en-US"/>
        </w:rPr>
        <w:t xml:space="preserve"> </w:t>
      </w:r>
      <w:r w:rsidRPr="007669EE">
        <w:rPr>
          <w:rFonts w:eastAsia="Calibri"/>
          <w:sz w:val="22"/>
          <w:szCs w:val="22"/>
          <w:lang w:eastAsia="en-US"/>
        </w:rPr>
        <w:t>is positief omdat het ook een habitatdiversificatie inhoudt. Ook hier geldt dat elk type N-fixerend gewas</w:t>
      </w:r>
      <w:r w:rsidR="00817E3A" w:rsidRPr="007669EE">
        <w:rPr>
          <w:rFonts w:eastAsia="Calibri"/>
          <w:sz w:val="22"/>
          <w:szCs w:val="22"/>
          <w:lang w:eastAsia="en-US"/>
        </w:rPr>
        <w:t xml:space="preserve"> (vb. onderscheid eenjarig - meerjarig)</w:t>
      </w:r>
      <w:r w:rsidRPr="007669EE">
        <w:rPr>
          <w:rFonts w:eastAsia="Calibri"/>
          <w:sz w:val="22"/>
          <w:szCs w:val="22"/>
          <w:lang w:eastAsia="en-US"/>
        </w:rPr>
        <w:t xml:space="preserve"> zijn eigen kenmerken heeft. Sommige gewassen, zoals onder meer grasklaver en luzer</w:t>
      </w:r>
      <w:r w:rsidR="008339EE" w:rsidRPr="007669EE">
        <w:rPr>
          <w:rFonts w:eastAsia="Calibri"/>
          <w:sz w:val="22"/>
          <w:szCs w:val="22"/>
          <w:lang w:eastAsia="en-US"/>
        </w:rPr>
        <w:t xml:space="preserve">ne, vormen een schuilgelegenheid en voedselbron voor heel wat soorten, en </w:t>
      </w:r>
      <w:r w:rsidRPr="007669EE">
        <w:rPr>
          <w:rFonts w:eastAsia="Calibri"/>
          <w:sz w:val="22"/>
          <w:szCs w:val="22"/>
          <w:lang w:eastAsia="en-US"/>
        </w:rPr>
        <w:t xml:space="preserve">leveren </w:t>
      </w:r>
      <w:r w:rsidR="008339EE" w:rsidRPr="007669EE">
        <w:rPr>
          <w:rFonts w:eastAsia="Calibri"/>
          <w:sz w:val="22"/>
          <w:szCs w:val="22"/>
          <w:lang w:eastAsia="en-US"/>
        </w:rPr>
        <w:t xml:space="preserve">aldus </w:t>
      </w:r>
      <w:r w:rsidRPr="007669EE">
        <w:rPr>
          <w:rFonts w:eastAsia="Calibri"/>
          <w:sz w:val="22"/>
          <w:szCs w:val="22"/>
          <w:lang w:eastAsia="en-US"/>
        </w:rPr>
        <w:t xml:space="preserve">een bijdrage tot de </w:t>
      </w:r>
      <w:r w:rsidR="00367BF4" w:rsidRPr="007669EE">
        <w:rPr>
          <w:rFonts w:eastAsia="Calibri"/>
          <w:sz w:val="22"/>
          <w:szCs w:val="22"/>
          <w:lang w:eastAsia="en-US"/>
        </w:rPr>
        <w:t>(functionele) agro</w:t>
      </w:r>
      <w:r w:rsidRPr="007669EE">
        <w:rPr>
          <w:rFonts w:eastAsia="Calibri"/>
          <w:sz w:val="22"/>
          <w:szCs w:val="22"/>
          <w:lang w:eastAsia="en-US"/>
        </w:rPr>
        <w:t>biodiversiteit</w:t>
      </w:r>
      <w:r w:rsidR="00367BF4" w:rsidRPr="007669EE">
        <w:rPr>
          <w:rFonts w:eastAsia="Calibri"/>
          <w:sz w:val="22"/>
          <w:szCs w:val="22"/>
          <w:lang w:eastAsia="en-US"/>
        </w:rPr>
        <w:t xml:space="preserve">. </w:t>
      </w:r>
      <w:r w:rsidR="00817E3A" w:rsidRPr="007669EE">
        <w:rPr>
          <w:rFonts w:eastAsia="Calibri"/>
          <w:sz w:val="22"/>
          <w:szCs w:val="22"/>
          <w:lang w:eastAsia="en-US"/>
        </w:rPr>
        <w:t>Ook wordt onder deze gew</w:t>
      </w:r>
      <w:bookmarkStart w:id="0" w:name="_GoBack"/>
      <w:bookmarkEnd w:id="0"/>
      <w:r w:rsidR="00817E3A" w:rsidRPr="007669EE">
        <w:rPr>
          <w:rFonts w:eastAsia="Calibri"/>
          <w:sz w:val="22"/>
          <w:szCs w:val="22"/>
          <w:lang w:eastAsia="en-US"/>
        </w:rPr>
        <w:t xml:space="preserve">assen een rijker bodemleven terug gevonden. Dit is eveneens een belangrijke vorm van biodiversiteit, zij het niet steeds zichtbaar. Vlinderbloemigen hebben een uitbundige bloei, waardoor ze veel insecten </w:t>
      </w:r>
      <w:r w:rsidR="007D6BBD" w:rsidRPr="007669EE">
        <w:rPr>
          <w:rFonts w:eastAsia="Calibri"/>
          <w:sz w:val="22"/>
          <w:szCs w:val="22"/>
          <w:lang w:eastAsia="en-US"/>
        </w:rPr>
        <w:t xml:space="preserve">(zoals bijen) </w:t>
      </w:r>
      <w:r w:rsidR="00817E3A" w:rsidRPr="007669EE">
        <w:rPr>
          <w:rFonts w:eastAsia="Calibri"/>
          <w:sz w:val="22"/>
          <w:szCs w:val="22"/>
          <w:lang w:eastAsia="en-US"/>
        </w:rPr>
        <w:t xml:space="preserve">aantrekken en ook landschappelijk zeer aantrekkelijk zijn. </w:t>
      </w:r>
    </w:p>
    <w:sectPr w:rsidR="00283305" w:rsidRPr="007460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BB" w:rsidRDefault="007931BB">
      <w:r>
        <w:separator/>
      </w:r>
    </w:p>
  </w:endnote>
  <w:endnote w:type="continuationSeparator" w:id="0">
    <w:p w:rsidR="007931BB" w:rsidRDefault="007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BB" w:rsidRDefault="007931BB">
      <w:r>
        <w:separator/>
      </w:r>
    </w:p>
  </w:footnote>
  <w:footnote w:type="continuationSeparator" w:id="0">
    <w:p w:rsidR="007931BB" w:rsidRDefault="0079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334316"/>
    <w:multiLevelType w:val="hybridMultilevel"/>
    <w:tmpl w:val="867A85A0"/>
    <w:lvl w:ilvl="0" w:tplc="DEA2A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2FA35DD"/>
    <w:multiLevelType w:val="hybridMultilevel"/>
    <w:tmpl w:val="96BEA3E0"/>
    <w:lvl w:ilvl="0" w:tplc="0C3CAEA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2670"/>
    <w:multiLevelType w:val="hybridMultilevel"/>
    <w:tmpl w:val="AB9889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1AC73F3"/>
    <w:multiLevelType w:val="hybridMultilevel"/>
    <w:tmpl w:val="DACA2F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006B6"/>
    <w:multiLevelType w:val="hybridMultilevel"/>
    <w:tmpl w:val="6EF05A3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9360E5"/>
    <w:multiLevelType w:val="hybridMultilevel"/>
    <w:tmpl w:val="3D3A50F2"/>
    <w:lvl w:ilvl="0" w:tplc="BC384B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07576"/>
    <w:multiLevelType w:val="hybridMultilevel"/>
    <w:tmpl w:val="AB9889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71E37"/>
    <w:multiLevelType w:val="hybridMultilevel"/>
    <w:tmpl w:val="A6EC3B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F613E"/>
    <w:multiLevelType w:val="hybridMultilevel"/>
    <w:tmpl w:val="CBC839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76C66"/>
    <w:multiLevelType w:val="hybridMultilevel"/>
    <w:tmpl w:val="ABD46BFC"/>
    <w:lvl w:ilvl="0" w:tplc="477E43E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5"/>
  </w:num>
  <w:num w:numId="5">
    <w:abstractNumId w:val="23"/>
  </w:num>
  <w:num w:numId="6">
    <w:abstractNumId w:val="5"/>
  </w:num>
  <w:num w:numId="7">
    <w:abstractNumId w:val="40"/>
  </w:num>
  <w:num w:numId="8">
    <w:abstractNumId w:val="22"/>
  </w:num>
  <w:num w:numId="9">
    <w:abstractNumId w:val="18"/>
  </w:num>
  <w:num w:numId="10">
    <w:abstractNumId w:val="3"/>
  </w:num>
  <w:num w:numId="11">
    <w:abstractNumId w:val="17"/>
  </w:num>
  <w:num w:numId="12">
    <w:abstractNumId w:val="10"/>
  </w:num>
  <w:num w:numId="13">
    <w:abstractNumId w:val="13"/>
  </w:num>
  <w:num w:numId="14">
    <w:abstractNumId w:val="27"/>
  </w:num>
  <w:num w:numId="15">
    <w:abstractNumId w:val="14"/>
  </w:num>
  <w:num w:numId="16">
    <w:abstractNumId w:val="42"/>
  </w:num>
  <w:num w:numId="17">
    <w:abstractNumId w:val="21"/>
  </w:num>
  <w:num w:numId="18">
    <w:abstractNumId w:val="12"/>
  </w:num>
  <w:num w:numId="19">
    <w:abstractNumId w:val="31"/>
  </w:num>
  <w:num w:numId="20">
    <w:abstractNumId w:val="20"/>
  </w:num>
  <w:num w:numId="21">
    <w:abstractNumId w:val="36"/>
  </w:num>
  <w:num w:numId="22">
    <w:abstractNumId w:val="41"/>
  </w:num>
  <w:num w:numId="23">
    <w:abstractNumId w:val="1"/>
  </w:num>
  <w:num w:numId="24">
    <w:abstractNumId w:val="39"/>
  </w:num>
  <w:num w:numId="25">
    <w:abstractNumId w:val="32"/>
  </w:num>
  <w:num w:numId="26">
    <w:abstractNumId w:val="26"/>
  </w:num>
  <w:num w:numId="27">
    <w:abstractNumId w:val="24"/>
  </w:num>
  <w:num w:numId="28">
    <w:abstractNumId w:val="38"/>
  </w:num>
  <w:num w:numId="29">
    <w:abstractNumId w:val="29"/>
  </w:num>
  <w:num w:numId="30">
    <w:abstractNumId w:val="4"/>
  </w:num>
  <w:num w:numId="31">
    <w:abstractNumId w:val="1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8"/>
  </w:num>
  <w:num w:numId="35">
    <w:abstractNumId w:val="34"/>
  </w:num>
  <w:num w:numId="36">
    <w:abstractNumId w:val="37"/>
  </w:num>
  <w:num w:numId="37">
    <w:abstractNumId w:val="30"/>
  </w:num>
  <w:num w:numId="38">
    <w:abstractNumId w:val="28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2"/>
  </w:num>
  <w:num w:numId="43">
    <w:abstractNumId w:val="19"/>
  </w:num>
  <w:num w:numId="44">
    <w:abstractNumId w:val="7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F1544"/>
    <w:rsid w:val="00010B84"/>
    <w:rsid w:val="0008597D"/>
    <w:rsid w:val="000B5EA0"/>
    <w:rsid w:val="000C6B7E"/>
    <w:rsid w:val="000E1CD0"/>
    <w:rsid w:val="001009A1"/>
    <w:rsid w:val="00102476"/>
    <w:rsid w:val="001058E4"/>
    <w:rsid w:val="001245BE"/>
    <w:rsid w:val="001475E6"/>
    <w:rsid w:val="001561C9"/>
    <w:rsid w:val="0016148B"/>
    <w:rsid w:val="00174F5C"/>
    <w:rsid w:val="001755B2"/>
    <w:rsid w:val="001852A4"/>
    <w:rsid w:val="001A4E37"/>
    <w:rsid w:val="001B1980"/>
    <w:rsid w:val="001C0B52"/>
    <w:rsid w:val="001C367A"/>
    <w:rsid w:val="001D50C6"/>
    <w:rsid w:val="001F713E"/>
    <w:rsid w:val="001F7D2A"/>
    <w:rsid w:val="00202FA9"/>
    <w:rsid w:val="002536A1"/>
    <w:rsid w:val="00283305"/>
    <w:rsid w:val="002B517D"/>
    <w:rsid w:val="002B65A3"/>
    <w:rsid w:val="002C62E4"/>
    <w:rsid w:val="002F1544"/>
    <w:rsid w:val="002F5666"/>
    <w:rsid w:val="00321F10"/>
    <w:rsid w:val="0032261D"/>
    <w:rsid w:val="00323AF3"/>
    <w:rsid w:val="0034616F"/>
    <w:rsid w:val="00367BF4"/>
    <w:rsid w:val="003750D5"/>
    <w:rsid w:val="003862C5"/>
    <w:rsid w:val="0039205C"/>
    <w:rsid w:val="003B6A5C"/>
    <w:rsid w:val="00423F29"/>
    <w:rsid w:val="004666BE"/>
    <w:rsid w:val="0046761C"/>
    <w:rsid w:val="0047032B"/>
    <w:rsid w:val="00472C97"/>
    <w:rsid w:val="00477EB3"/>
    <w:rsid w:val="00481D8D"/>
    <w:rsid w:val="004A56C3"/>
    <w:rsid w:val="004D21E2"/>
    <w:rsid w:val="004F3708"/>
    <w:rsid w:val="005121F2"/>
    <w:rsid w:val="00512E83"/>
    <w:rsid w:val="00540203"/>
    <w:rsid w:val="00540740"/>
    <w:rsid w:val="00550F6F"/>
    <w:rsid w:val="00560124"/>
    <w:rsid w:val="005B3194"/>
    <w:rsid w:val="005C13FA"/>
    <w:rsid w:val="00603B4C"/>
    <w:rsid w:val="00614C71"/>
    <w:rsid w:val="00622B2E"/>
    <w:rsid w:val="0062728D"/>
    <w:rsid w:val="00683D93"/>
    <w:rsid w:val="00685F4D"/>
    <w:rsid w:val="006A5A3E"/>
    <w:rsid w:val="006F445E"/>
    <w:rsid w:val="007076DD"/>
    <w:rsid w:val="00723B3F"/>
    <w:rsid w:val="007408E7"/>
    <w:rsid w:val="0074604B"/>
    <w:rsid w:val="007656A0"/>
    <w:rsid w:val="007669EE"/>
    <w:rsid w:val="00766C70"/>
    <w:rsid w:val="007931BB"/>
    <w:rsid w:val="007B383B"/>
    <w:rsid w:val="007C0E96"/>
    <w:rsid w:val="007D64CF"/>
    <w:rsid w:val="007D6BBD"/>
    <w:rsid w:val="007F61F7"/>
    <w:rsid w:val="00817E3A"/>
    <w:rsid w:val="008339EE"/>
    <w:rsid w:val="008346A7"/>
    <w:rsid w:val="00842183"/>
    <w:rsid w:val="00846D39"/>
    <w:rsid w:val="00853B71"/>
    <w:rsid w:val="00867AAA"/>
    <w:rsid w:val="00870ED0"/>
    <w:rsid w:val="008A6DA3"/>
    <w:rsid w:val="008E1D97"/>
    <w:rsid w:val="008E3430"/>
    <w:rsid w:val="008E6CE1"/>
    <w:rsid w:val="00933BE6"/>
    <w:rsid w:val="0093679C"/>
    <w:rsid w:val="009511C4"/>
    <w:rsid w:val="00995A04"/>
    <w:rsid w:val="00995E44"/>
    <w:rsid w:val="00995F79"/>
    <w:rsid w:val="009A0EA7"/>
    <w:rsid w:val="009A6335"/>
    <w:rsid w:val="009B7AA1"/>
    <w:rsid w:val="00A25940"/>
    <w:rsid w:val="00A8473D"/>
    <w:rsid w:val="00AC3008"/>
    <w:rsid w:val="00AD549A"/>
    <w:rsid w:val="00AD6A4A"/>
    <w:rsid w:val="00AE40DC"/>
    <w:rsid w:val="00B16D19"/>
    <w:rsid w:val="00B82A3E"/>
    <w:rsid w:val="00BA60F3"/>
    <w:rsid w:val="00BA6CF8"/>
    <w:rsid w:val="00BB2A82"/>
    <w:rsid w:val="00BB38B7"/>
    <w:rsid w:val="00BB6E27"/>
    <w:rsid w:val="00BE315B"/>
    <w:rsid w:val="00C44E4D"/>
    <w:rsid w:val="00C5226D"/>
    <w:rsid w:val="00C53AA8"/>
    <w:rsid w:val="00C625C9"/>
    <w:rsid w:val="00CE2DB2"/>
    <w:rsid w:val="00CE5C0A"/>
    <w:rsid w:val="00D10A53"/>
    <w:rsid w:val="00D146CD"/>
    <w:rsid w:val="00D44CA5"/>
    <w:rsid w:val="00D5568D"/>
    <w:rsid w:val="00D61A12"/>
    <w:rsid w:val="00D67BAF"/>
    <w:rsid w:val="00D9178F"/>
    <w:rsid w:val="00DA3A9B"/>
    <w:rsid w:val="00DE405B"/>
    <w:rsid w:val="00E43487"/>
    <w:rsid w:val="00E635E3"/>
    <w:rsid w:val="00E65316"/>
    <w:rsid w:val="00E721E5"/>
    <w:rsid w:val="00E839E8"/>
    <w:rsid w:val="00EB0A62"/>
    <w:rsid w:val="00EB33FC"/>
    <w:rsid w:val="00F5501C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F4D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uiPriority w:val="99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E65316"/>
    <w:pPr>
      <w:spacing w:before="100" w:beforeAutospacing="1" w:after="100" w:afterAutospacing="1"/>
    </w:pPr>
    <w:rPr>
      <w:szCs w:val="24"/>
      <w:lang w:val="nl-BE" w:eastAsia="nl-BE"/>
    </w:rPr>
  </w:style>
  <w:style w:type="character" w:styleId="Verwijzingopmerking">
    <w:name w:val="annotation reference"/>
    <w:uiPriority w:val="99"/>
    <w:unhideWhenUsed/>
    <w:rsid w:val="000B5E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B5EA0"/>
    <w:pPr>
      <w:spacing w:after="200"/>
    </w:pPr>
    <w:rPr>
      <w:rFonts w:ascii="Calibri" w:eastAsia="Calibri" w:hAnsi="Calibri"/>
      <w:sz w:val="20"/>
      <w:lang w:val="nl-BE" w:eastAsia="en-US"/>
    </w:rPr>
  </w:style>
  <w:style w:type="character" w:customStyle="1" w:styleId="TekstopmerkingChar">
    <w:name w:val="Tekst opmerking Char"/>
    <w:link w:val="Tekstopmerking"/>
    <w:uiPriority w:val="99"/>
    <w:rsid w:val="000B5EA0"/>
    <w:rPr>
      <w:rFonts w:ascii="Calibri" w:eastAsia="Calibri" w:hAnsi="Calibri"/>
      <w:lang w:eastAsia="en-US"/>
    </w:rPr>
  </w:style>
  <w:style w:type="table" w:styleId="Tabelraster">
    <w:name w:val="Table Grid"/>
    <w:basedOn w:val="Standaardtabel"/>
    <w:uiPriority w:val="59"/>
    <w:rsid w:val="007656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367BF4"/>
    <w:pPr>
      <w:spacing w:after="0"/>
    </w:pPr>
    <w:rPr>
      <w:rFonts w:ascii="Times New Roman" w:eastAsia="Times New Roman" w:hAnsi="Times New Roman"/>
      <w:b/>
      <w:bCs/>
      <w:lang w:val="nl-NL" w:eastAsia="nl-NL"/>
    </w:rPr>
  </w:style>
  <w:style w:type="character" w:customStyle="1" w:styleId="OnderwerpvanopmerkingChar">
    <w:name w:val="Onderwerp van opmerking Char"/>
    <w:link w:val="Onderwerpvanopmerking"/>
    <w:rsid w:val="00367BF4"/>
    <w:rPr>
      <w:rFonts w:ascii="Calibri" w:eastAsia="Calibri" w:hAnsi="Calibri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5F4D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uiPriority w:val="99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E65316"/>
    <w:pPr>
      <w:spacing w:before="100" w:beforeAutospacing="1" w:after="100" w:afterAutospacing="1"/>
    </w:pPr>
    <w:rPr>
      <w:szCs w:val="24"/>
      <w:lang w:val="nl-BE" w:eastAsia="nl-BE"/>
    </w:rPr>
  </w:style>
  <w:style w:type="character" w:styleId="Verwijzingopmerking">
    <w:name w:val="annotation reference"/>
    <w:uiPriority w:val="99"/>
    <w:unhideWhenUsed/>
    <w:rsid w:val="000B5E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B5EA0"/>
    <w:pPr>
      <w:spacing w:after="200"/>
    </w:pPr>
    <w:rPr>
      <w:rFonts w:ascii="Calibri" w:eastAsia="Calibri" w:hAnsi="Calibri"/>
      <w:sz w:val="20"/>
      <w:lang w:val="nl-BE" w:eastAsia="en-US"/>
    </w:rPr>
  </w:style>
  <w:style w:type="character" w:customStyle="1" w:styleId="TekstopmerkingChar">
    <w:name w:val="Tekst opmerking Char"/>
    <w:link w:val="Tekstopmerking"/>
    <w:uiPriority w:val="99"/>
    <w:rsid w:val="000B5EA0"/>
    <w:rPr>
      <w:rFonts w:ascii="Calibri" w:eastAsia="Calibri" w:hAnsi="Calibri"/>
      <w:lang w:eastAsia="en-US"/>
    </w:rPr>
  </w:style>
  <w:style w:type="table" w:styleId="Tabelraster">
    <w:name w:val="Table Grid"/>
    <w:basedOn w:val="Standaardtabel"/>
    <w:uiPriority w:val="59"/>
    <w:rsid w:val="007656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367BF4"/>
    <w:pPr>
      <w:spacing w:after="0"/>
    </w:pPr>
    <w:rPr>
      <w:rFonts w:ascii="Times New Roman" w:eastAsia="Times New Roman" w:hAnsi="Times New Roman"/>
      <w:b/>
      <w:bCs/>
      <w:lang w:val="nl-NL" w:eastAsia="nl-NL"/>
    </w:rPr>
  </w:style>
  <w:style w:type="character" w:customStyle="1" w:styleId="OnderwerpvanopmerkingChar">
    <w:name w:val="Onderwerp van opmerking Char"/>
    <w:link w:val="Onderwerpvanopmerking"/>
    <w:rsid w:val="00367BF4"/>
    <w:rPr>
      <w:rFonts w:ascii="Calibri" w:eastAsia="Calibri" w:hAnsi="Calibri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4</cp:revision>
  <cp:lastPrinted>2014-03-24T10:06:00Z</cp:lastPrinted>
  <dcterms:created xsi:type="dcterms:W3CDTF">2014-03-24T10:07:00Z</dcterms:created>
  <dcterms:modified xsi:type="dcterms:W3CDTF">2014-03-28T13:00:00Z</dcterms:modified>
</cp:coreProperties>
</file>