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C33DC6" w:rsidRPr="00DD4121" w:rsidRDefault="00C33DC6" w:rsidP="00C33DC6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C33DC6" w:rsidRPr="00015BF7" w:rsidRDefault="00C33DC6" w:rsidP="00C33DC6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C33DC6" w:rsidRPr="00015BF7" w:rsidRDefault="00C33DC6" w:rsidP="00C33DC6">
      <w:pPr>
        <w:rPr>
          <w:szCs w:val="22"/>
        </w:rPr>
      </w:pPr>
    </w:p>
    <w:p w:rsidR="00C33DC6" w:rsidRPr="00DB41C0" w:rsidRDefault="00C33DC6" w:rsidP="00C33DC6">
      <w:pPr>
        <w:pStyle w:val="A-Lijn"/>
      </w:pPr>
    </w:p>
    <w:p w:rsidR="00C33DC6" w:rsidRDefault="00C33DC6" w:rsidP="00C33DC6">
      <w:pPr>
        <w:pStyle w:val="A-Type"/>
        <w:sectPr w:rsidR="00C33D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3DC6" w:rsidRDefault="00C33DC6" w:rsidP="00C33DC6">
      <w:pPr>
        <w:pStyle w:val="A-Type"/>
        <w:outlineLvl w:val="0"/>
        <w:sectPr w:rsidR="00C33DC6" w:rsidSect="003B3111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C33DC6" w:rsidRPr="00326A58" w:rsidRDefault="00C33DC6" w:rsidP="00C33DC6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0D2A17">
        <w:rPr>
          <w:b w:val="0"/>
        </w:rPr>
        <w:t>3</w:t>
      </w:r>
      <w:r w:rsidR="002B3600">
        <w:rPr>
          <w:b w:val="0"/>
        </w:rPr>
        <w:t>44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092BDE">
        <w:rPr>
          <w:b w:val="0"/>
        </w:rPr>
        <w:t>2</w:t>
      </w:r>
      <w:r w:rsidR="002B3600">
        <w:rPr>
          <w:b w:val="0"/>
        </w:rPr>
        <w:t>8</w:t>
      </w:r>
      <w:r>
        <w:rPr>
          <w:b w:val="0"/>
        </w:rPr>
        <w:fldChar w:fldCharType="end"/>
      </w:r>
      <w:bookmarkStart w:id="4" w:name="Dropdown2"/>
      <w:bookmarkEnd w:id="3"/>
      <w:r>
        <w:rPr>
          <w:b w:val="0"/>
        </w:rPr>
        <w:t xml:space="preserve"> </w:t>
      </w:r>
      <w:bookmarkEnd w:id="4"/>
      <w:r w:rsidR="00EE4E83">
        <w:rPr>
          <w:b w:val="0"/>
        </w:rPr>
        <w:fldChar w:fldCharType="begin">
          <w:ffData>
            <w:name w:val="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EE4E83">
        <w:rPr>
          <w:b w:val="0"/>
        </w:rPr>
        <w:instrText xml:space="preserve"> FORMDROPDOWN </w:instrText>
      </w:r>
      <w:r w:rsidR="00CF0F02">
        <w:rPr>
          <w:b w:val="0"/>
        </w:rPr>
      </w:r>
      <w:r w:rsidR="00CF0F02">
        <w:rPr>
          <w:b w:val="0"/>
        </w:rPr>
        <w:fldChar w:fldCharType="separate"/>
      </w:r>
      <w:r w:rsidR="00EE4E83">
        <w:rPr>
          <w:b w:val="0"/>
        </w:rPr>
        <w:fldChar w:fldCharType="end"/>
      </w:r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 w:rsidR="00CF0F02">
        <w:rPr>
          <w:b w:val="0"/>
        </w:rPr>
      </w:r>
      <w:r w:rsidR="00CF0F02">
        <w:rPr>
          <w:b w:val="0"/>
        </w:rPr>
        <w:fldChar w:fldCharType="separate"/>
      </w:r>
      <w:r>
        <w:rPr>
          <w:b w:val="0"/>
        </w:rPr>
        <w:fldChar w:fldCharType="end"/>
      </w:r>
      <w:bookmarkEnd w:id="5"/>
    </w:p>
    <w:p w:rsidR="00C33DC6" w:rsidRDefault="00C33DC6" w:rsidP="00C33DC6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</w:rPr>
        <w:instrText xml:space="preserve"> FORMTEXT </w:instrText>
      </w:r>
      <w:r w:rsidRPr="009D7043">
        <w:rPr>
          <w:rStyle w:val="AntwoordNaamMinisterChar"/>
        </w:rPr>
      </w:r>
      <w:r w:rsidRPr="009D7043">
        <w:rPr>
          <w:rStyle w:val="AntwoordNaamMinisterChar"/>
        </w:rPr>
        <w:fldChar w:fldCharType="separate"/>
      </w:r>
      <w:r w:rsidR="00092BDE">
        <w:rPr>
          <w:rStyle w:val="AntwoordNaamMinisterChar"/>
        </w:rPr>
        <w:t>mieke vogels</w:t>
      </w:r>
      <w:r w:rsidRPr="009D7043">
        <w:rPr>
          <w:rStyle w:val="AntwoordNaamMinisterChar"/>
        </w:rPr>
        <w:fldChar w:fldCharType="end"/>
      </w:r>
    </w:p>
    <w:p w:rsidR="00C33DC6" w:rsidRPr="00015BF7" w:rsidRDefault="00C33DC6" w:rsidP="00C33DC6">
      <w:pPr>
        <w:rPr>
          <w:szCs w:val="22"/>
        </w:rPr>
      </w:pPr>
    </w:p>
    <w:p w:rsidR="00C33DC6" w:rsidRPr="00DB41C0" w:rsidRDefault="00C33DC6" w:rsidP="00C33DC6">
      <w:pPr>
        <w:pStyle w:val="A-Lijn"/>
      </w:pPr>
    </w:p>
    <w:p w:rsidR="00C33DC6" w:rsidRPr="00DB41C0" w:rsidRDefault="00C33DC6" w:rsidP="00C33DC6">
      <w:pPr>
        <w:pStyle w:val="A-Lijn"/>
      </w:pPr>
    </w:p>
    <w:p w:rsidR="00C33DC6" w:rsidRDefault="00C33DC6" w:rsidP="00C33DC6">
      <w:pPr>
        <w:sectPr w:rsidR="00C33DC6" w:rsidSect="003B31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621F" w:rsidRDefault="00EF5844" w:rsidP="009E7AC0">
      <w:pPr>
        <w:pStyle w:val="Lijstalinea"/>
        <w:numPr>
          <w:ilvl w:val="0"/>
          <w:numId w:val="11"/>
        </w:numPr>
        <w:ind w:left="426" w:hanging="426"/>
        <w:jc w:val="both"/>
      </w:pPr>
      <w:r>
        <w:lastRenderedPageBreak/>
        <w:t>In bijgaande tabel 1 vindt u een overzicht van het aantal opgestarte PAB’s vanuit de middelen uitbreidingsbeleid voor meerderjarigen en minderjarigen samen</w:t>
      </w:r>
      <w:r w:rsidR="006A26CF">
        <w:t xml:space="preserve"> (</w:t>
      </w:r>
      <w:r w:rsidR="00467E5F">
        <w:t>eerdere rapport</w:t>
      </w:r>
      <w:r w:rsidR="006A26CF">
        <w:t>ering vermeld</w:t>
      </w:r>
      <w:r w:rsidR="00F726EA">
        <w:t>t</w:t>
      </w:r>
      <w:r w:rsidR="006A26CF">
        <w:t xml:space="preserve"> geen </w:t>
      </w:r>
      <w:r w:rsidR="00467E5F">
        <w:t>opsplitsing tussen meerderjarigen-minderjarigen)</w:t>
      </w:r>
      <w:r>
        <w:t xml:space="preserve">. </w:t>
      </w:r>
      <w:r w:rsidR="00440AC5">
        <w:t xml:space="preserve">Het betreft hier de periode 2009-2013. </w:t>
      </w:r>
      <w:r w:rsidR="0073142F">
        <w:t>In</w:t>
      </w:r>
      <w:r>
        <w:t xml:space="preserve"> 2009 waren er geen uitbreidingsmiddelen</w:t>
      </w:r>
      <w:r w:rsidR="000C4726">
        <w:t xml:space="preserve"> voor PAB</w:t>
      </w:r>
      <w:r w:rsidR="00440AC5">
        <w:t xml:space="preserve"> beschikbaar</w:t>
      </w:r>
      <w:r>
        <w:t xml:space="preserve">. </w:t>
      </w:r>
      <w:r w:rsidR="00F726EA">
        <w:t xml:space="preserve">Er zijn echter nog een 100-tal personen die hun PAB opgestart hebben </w:t>
      </w:r>
      <w:r w:rsidR="0073142F">
        <w:t>in</w:t>
      </w:r>
      <w:r w:rsidR="00F726EA">
        <w:t xml:space="preserve"> 2009 </w:t>
      </w:r>
      <w:r>
        <w:t xml:space="preserve">vanuit de middelen </w:t>
      </w:r>
      <w:r w:rsidR="006A26CF">
        <w:t>uitbreidingsbeleid 2008</w:t>
      </w:r>
      <w:r w:rsidR="00D41048">
        <w:t>. Jaarlijks worden gemiddeld ook een</w:t>
      </w:r>
      <w:r w:rsidR="00971E0E">
        <w:t xml:space="preserve"> </w:t>
      </w:r>
      <w:r w:rsidR="00D41048">
        <w:t>70-tal PAB’s opgestart via de spoedprocedure voor personen met een sneldegeneratieve aandoening.</w:t>
      </w:r>
    </w:p>
    <w:p w:rsidR="00EF5844" w:rsidRDefault="00EF5844" w:rsidP="009E7AC0">
      <w:pPr>
        <w:pStyle w:val="Lijstalinea"/>
        <w:ind w:left="426" w:hanging="426"/>
        <w:jc w:val="both"/>
      </w:pPr>
    </w:p>
    <w:p w:rsidR="00EF5844" w:rsidRDefault="00EF5844" w:rsidP="009E7AC0">
      <w:pPr>
        <w:pStyle w:val="Lijstalinea"/>
        <w:ind w:left="426"/>
        <w:jc w:val="both"/>
      </w:pPr>
      <w:r>
        <w:t>Tabel 1: aantal opgestarte PAB</w:t>
      </w:r>
      <w:r w:rsidR="000E17DA">
        <w:t>’</w:t>
      </w:r>
      <w:r>
        <w:t>s via uitbreidingsbeleid in de periode 2009-2013:</w:t>
      </w:r>
    </w:p>
    <w:p w:rsidR="00EF5844" w:rsidRDefault="00EF5844" w:rsidP="009E7AC0">
      <w:pPr>
        <w:pStyle w:val="Lijstalinea"/>
        <w:ind w:left="426" w:hanging="426"/>
        <w:jc w:val="both"/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1843"/>
        <w:gridCol w:w="3402"/>
      </w:tblGrid>
      <w:tr w:rsidR="00EF5844" w:rsidTr="009E7AC0">
        <w:tc>
          <w:tcPr>
            <w:tcW w:w="1843" w:type="dxa"/>
          </w:tcPr>
          <w:p w:rsidR="00EF5844" w:rsidRDefault="00EF5844" w:rsidP="00EF5844">
            <w:pPr>
              <w:pStyle w:val="Lijstalinea"/>
              <w:ind w:left="0"/>
              <w:jc w:val="both"/>
            </w:pPr>
          </w:p>
        </w:tc>
        <w:tc>
          <w:tcPr>
            <w:tcW w:w="3402" w:type="dxa"/>
          </w:tcPr>
          <w:p w:rsidR="00EF5844" w:rsidRDefault="00EF5844" w:rsidP="00EF5844">
            <w:pPr>
              <w:pStyle w:val="Lijstalinea"/>
              <w:ind w:left="0"/>
              <w:jc w:val="both"/>
            </w:pPr>
            <w:r>
              <w:t>Aantal opgestarte PAB’s vanuit middelen UB</w:t>
            </w:r>
          </w:p>
        </w:tc>
      </w:tr>
      <w:tr w:rsidR="00EF5844" w:rsidTr="009E7AC0">
        <w:tc>
          <w:tcPr>
            <w:tcW w:w="1843" w:type="dxa"/>
          </w:tcPr>
          <w:p w:rsidR="00EF5844" w:rsidRDefault="000E17DA" w:rsidP="000E17DA">
            <w:pPr>
              <w:pStyle w:val="Lijstalinea"/>
              <w:ind w:left="0"/>
              <w:jc w:val="center"/>
            </w:pPr>
            <w:r>
              <w:t>2009</w:t>
            </w:r>
          </w:p>
        </w:tc>
        <w:tc>
          <w:tcPr>
            <w:tcW w:w="3402" w:type="dxa"/>
          </w:tcPr>
          <w:p w:rsidR="00EF5844" w:rsidRDefault="00F726EA" w:rsidP="000E17DA">
            <w:pPr>
              <w:pStyle w:val="Lijstalinea"/>
              <w:ind w:left="0"/>
              <w:jc w:val="center"/>
            </w:pPr>
            <w:r>
              <w:t>114 (middelen UB 2008)</w:t>
            </w:r>
          </w:p>
        </w:tc>
      </w:tr>
      <w:tr w:rsidR="00EF5844" w:rsidTr="009E7AC0">
        <w:tc>
          <w:tcPr>
            <w:tcW w:w="1843" w:type="dxa"/>
          </w:tcPr>
          <w:p w:rsidR="00EF5844" w:rsidRDefault="000E17DA" w:rsidP="000E17DA">
            <w:pPr>
              <w:pStyle w:val="Lijstalinea"/>
              <w:ind w:left="0"/>
              <w:jc w:val="center"/>
            </w:pPr>
            <w:r>
              <w:t>2010</w:t>
            </w:r>
          </w:p>
        </w:tc>
        <w:tc>
          <w:tcPr>
            <w:tcW w:w="3402" w:type="dxa"/>
          </w:tcPr>
          <w:p w:rsidR="00EF5844" w:rsidRDefault="009500AC" w:rsidP="000E17DA">
            <w:pPr>
              <w:pStyle w:val="Lijstalinea"/>
              <w:ind w:left="0"/>
              <w:jc w:val="center"/>
            </w:pPr>
            <w:r>
              <w:t>135</w:t>
            </w:r>
          </w:p>
        </w:tc>
      </w:tr>
      <w:tr w:rsidR="00EF5844" w:rsidTr="009E7AC0">
        <w:tc>
          <w:tcPr>
            <w:tcW w:w="1843" w:type="dxa"/>
          </w:tcPr>
          <w:p w:rsidR="00EF5844" w:rsidRDefault="000E17DA" w:rsidP="000E17DA">
            <w:pPr>
              <w:pStyle w:val="Lijstalinea"/>
              <w:ind w:left="0"/>
              <w:jc w:val="center"/>
            </w:pPr>
            <w:r>
              <w:t>2011</w:t>
            </w:r>
          </w:p>
        </w:tc>
        <w:tc>
          <w:tcPr>
            <w:tcW w:w="3402" w:type="dxa"/>
          </w:tcPr>
          <w:p w:rsidR="00EF5844" w:rsidRDefault="009500AC" w:rsidP="000E17DA">
            <w:pPr>
              <w:pStyle w:val="Lijstalinea"/>
              <w:ind w:left="0"/>
              <w:jc w:val="center"/>
            </w:pPr>
            <w:r>
              <w:t>172</w:t>
            </w:r>
          </w:p>
        </w:tc>
      </w:tr>
      <w:tr w:rsidR="00EF5844" w:rsidTr="009E7AC0">
        <w:tc>
          <w:tcPr>
            <w:tcW w:w="1843" w:type="dxa"/>
          </w:tcPr>
          <w:p w:rsidR="00EF5844" w:rsidRDefault="000E17DA" w:rsidP="000E17DA">
            <w:pPr>
              <w:pStyle w:val="Lijstalinea"/>
              <w:ind w:left="0"/>
              <w:jc w:val="center"/>
            </w:pPr>
            <w:r>
              <w:t>2012</w:t>
            </w:r>
          </w:p>
        </w:tc>
        <w:tc>
          <w:tcPr>
            <w:tcW w:w="3402" w:type="dxa"/>
          </w:tcPr>
          <w:p w:rsidR="00EF5844" w:rsidRDefault="009500AC" w:rsidP="000E17DA">
            <w:pPr>
              <w:pStyle w:val="Lijstalinea"/>
              <w:ind w:left="0"/>
              <w:jc w:val="center"/>
            </w:pPr>
            <w:r>
              <w:t>186</w:t>
            </w:r>
          </w:p>
        </w:tc>
      </w:tr>
      <w:tr w:rsidR="00EF5844" w:rsidTr="009E7AC0">
        <w:tc>
          <w:tcPr>
            <w:tcW w:w="1843" w:type="dxa"/>
          </w:tcPr>
          <w:p w:rsidR="00EF5844" w:rsidRDefault="000E17DA" w:rsidP="000E17DA">
            <w:pPr>
              <w:pStyle w:val="Lijstalinea"/>
              <w:ind w:left="0"/>
              <w:jc w:val="center"/>
            </w:pPr>
            <w:r>
              <w:t>2013</w:t>
            </w:r>
          </w:p>
        </w:tc>
        <w:tc>
          <w:tcPr>
            <w:tcW w:w="3402" w:type="dxa"/>
          </w:tcPr>
          <w:p w:rsidR="00EF5844" w:rsidRDefault="009500AC" w:rsidP="000E17DA">
            <w:pPr>
              <w:pStyle w:val="Lijstalinea"/>
              <w:ind w:left="0"/>
              <w:jc w:val="center"/>
            </w:pPr>
            <w:r>
              <w:t>230</w:t>
            </w:r>
          </w:p>
        </w:tc>
      </w:tr>
    </w:tbl>
    <w:p w:rsidR="00D867BD" w:rsidRDefault="00D867BD" w:rsidP="00EF5844">
      <w:pPr>
        <w:pStyle w:val="Lijstalinea"/>
        <w:ind w:left="1065"/>
        <w:jc w:val="both"/>
      </w:pPr>
    </w:p>
    <w:p w:rsidR="00D867BD" w:rsidRPr="00E93BE2" w:rsidRDefault="00D867BD" w:rsidP="009E7AC0">
      <w:pPr>
        <w:pStyle w:val="Lijstalinea"/>
        <w:numPr>
          <w:ilvl w:val="0"/>
          <w:numId w:val="11"/>
        </w:numPr>
        <w:ind w:left="426" w:hanging="426"/>
        <w:jc w:val="both"/>
        <w:rPr>
          <w:lang w:val="nl-BE"/>
        </w:rPr>
      </w:pPr>
      <w:r>
        <w:t xml:space="preserve">In tabel 2 wordt een overzicht gegeven van het jaarlijks voorziene budget </w:t>
      </w:r>
      <w:r w:rsidRPr="00E93BE2">
        <w:rPr>
          <w:lang w:val="nl-BE"/>
        </w:rPr>
        <w:t>voor PAB sinds 2009</w:t>
      </w:r>
      <w:r w:rsidR="00440AC5">
        <w:rPr>
          <w:lang w:val="nl-BE"/>
        </w:rPr>
        <w:t xml:space="preserve"> t.e.m. 2013</w:t>
      </w:r>
      <w:r w:rsidRPr="00E93BE2">
        <w:rPr>
          <w:lang w:val="nl-BE"/>
        </w:rPr>
        <w:t>.</w:t>
      </w:r>
      <w:r w:rsidR="00D41048">
        <w:rPr>
          <w:lang w:val="nl-BE"/>
        </w:rPr>
        <w:t xml:space="preserve"> Het is niet mogelijk een opsplitsing te geven naar meerderjarigen en minderjarigen toe.</w:t>
      </w:r>
    </w:p>
    <w:p w:rsidR="00D867BD" w:rsidRDefault="00D867BD" w:rsidP="009E7AC0">
      <w:pPr>
        <w:pStyle w:val="Lijstalinea"/>
        <w:ind w:left="426" w:hanging="426"/>
        <w:jc w:val="both"/>
        <w:rPr>
          <w:lang w:val="nl-BE"/>
        </w:rPr>
      </w:pPr>
    </w:p>
    <w:p w:rsidR="00D867BD" w:rsidRDefault="00D867BD" w:rsidP="009E7AC0">
      <w:pPr>
        <w:pStyle w:val="Lijstalinea"/>
        <w:ind w:left="426"/>
        <w:jc w:val="both"/>
        <w:rPr>
          <w:lang w:val="nl-BE"/>
        </w:rPr>
      </w:pPr>
      <w:r>
        <w:rPr>
          <w:lang w:val="nl-BE"/>
        </w:rPr>
        <w:t>Tabel 2: jaarlijks voorziene budget voor PAB vanaf 2009-2013:</w:t>
      </w:r>
    </w:p>
    <w:p w:rsidR="00D867BD" w:rsidRDefault="00D867BD" w:rsidP="00D867BD">
      <w:pPr>
        <w:pStyle w:val="Lijstalinea"/>
        <w:ind w:left="1065"/>
        <w:jc w:val="both"/>
        <w:rPr>
          <w:lang w:val="nl-BE"/>
        </w:rPr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564"/>
        <w:gridCol w:w="2741"/>
        <w:gridCol w:w="2741"/>
      </w:tblGrid>
      <w:tr w:rsidR="00D867BD" w:rsidTr="009E7AC0">
        <w:tc>
          <w:tcPr>
            <w:tcW w:w="2564" w:type="dxa"/>
          </w:tcPr>
          <w:p w:rsidR="00D867BD" w:rsidRDefault="00D867BD" w:rsidP="005949BA">
            <w:pPr>
              <w:pStyle w:val="Lijstalinea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Jaar</w:t>
            </w:r>
          </w:p>
        </w:tc>
        <w:tc>
          <w:tcPr>
            <w:tcW w:w="2741" w:type="dxa"/>
          </w:tcPr>
          <w:p w:rsidR="00D867BD" w:rsidRDefault="00D867BD" w:rsidP="005949BA">
            <w:pPr>
              <w:pStyle w:val="Lijstalinea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Jaarlijks voorziene budget voor PAB</w:t>
            </w:r>
          </w:p>
        </w:tc>
        <w:tc>
          <w:tcPr>
            <w:tcW w:w="2741" w:type="dxa"/>
          </w:tcPr>
          <w:p w:rsidR="00D867BD" w:rsidRDefault="007D7748" w:rsidP="007D7748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Basis = 100</w:t>
            </w:r>
          </w:p>
        </w:tc>
      </w:tr>
      <w:tr w:rsidR="00D867BD" w:rsidTr="009E7AC0">
        <w:tc>
          <w:tcPr>
            <w:tcW w:w="2564" w:type="dxa"/>
          </w:tcPr>
          <w:p w:rsidR="00D867BD" w:rsidRDefault="00D867BD" w:rsidP="00521064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2009</w:t>
            </w:r>
          </w:p>
        </w:tc>
        <w:tc>
          <w:tcPr>
            <w:tcW w:w="2741" w:type="dxa"/>
          </w:tcPr>
          <w:p w:rsidR="00D867BD" w:rsidRDefault="00D867BD" w:rsidP="00521064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54.978.781 euro</w:t>
            </w:r>
          </w:p>
        </w:tc>
        <w:tc>
          <w:tcPr>
            <w:tcW w:w="2741" w:type="dxa"/>
          </w:tcPr>
          <w:p w:rsidR="00D867BD" w:rsidRDefault="00D867BD" w:rsidP="00521064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100</w:t>
            </w:r>
          </w:p>
        </w:tc>
      </w:tr>
      <w:tr w:rsidR="00D867BD" w:rsidTr="009E7AC0">
        <w:tc>
          <w:tcPr>
            <w:tcW w:w="2564" w:type="dxa"/>
          </w:tcPr>
          <w:p w:rsidR="00D867BD" w:rsidRDefault="00D867BD" w:rsidP="00521064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2010</w:t>
            </w:r>
          </w:p>
        </w:tc>
        <w:tc>
          <w:tcPr>
            <w:tcW w:w="2741" w:type="dxa"/>
          </w:tcPr>
          <w:p w:rsidR="00D867BD" w:rsidRDefault="00D867BD" w:rsidP="00521064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58.320.214 euro</w:t>
            </w:r>
          </w:p>
        </w:tc>
        <w:tc>
          <w:tcPr>
            <w:tcW w:w="2741" w:type="dxa"/>
          </w:tcPr>
          <w:p w:rsidR="00D867BD" w:rsidRDefault="00D867BD" w:rsidP="00521064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106,08</w:t>
            </w:r>
          </w:p>
        </w:tc>
      </w:tr>
      <w:tr w:rsidR="00D867BD" w:rsidTr="009E7AC0">
        <w:tc>
          <w:tcPr>
            <w:tcW w:w="2564" w:type="dxa"/>
          </w:tcPr>
          <w:p w:rsidR="00D867BD" w:rsidRDefault="00D867BD" w:rsidP="00521064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2011</w:t>
            </w:r>
          </w:p>
        </w:tc>
        <w:tc>
          <w:tcPr>
            <w:tcW w:w="2741" w:type="dxa"/>
          </w:tcPr>
          <w:p w:rsidR="00D867BD" w:rsidRDefault="00D867BD" w:rsidP="00521064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64.685.520 euro</w:t>
            </w:r>
          </w:p>
        </w:tc>
        <w:tc>
          <w:tcPr>
            <w:tcW w:w="2741" w:type="dxa"/>
          </w:tcPr>
          <w:p w:rsidR="00D867BD" w:rsidRDefault="00D867BD" w:rsidP="00521064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117,65</w:t>
            </w:r>
          </w:p>
        </w:tc>
      </w:tr>
      <w:tr w:rsidR="00D867BD" w:rsidTr="009E7AC0">
        <w:trPr>
          <w:trHeight w:val="205"/>
        </w:trPr>
        <w:tc>
          <w:tcPr>
            <w:tcW w:w="2564" w:type="dxa"/>
          </w:tcPr>
          <w:p w:rsidR="00D867BD" w:rsidRDefault="00D867BD" w:rsidP="00521064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2012</w:t>
            </w:r>
          </w:p>
        </w:tc>
        <w:tc>
          <w:tcPr>
            <w:tcW w:w="2741" w:type="dxa"/>
          </w:tcPr>
          <w:p w:rsidR="00D867BD" w:rsidRDefault="00D867BD" w:rsidP="00521064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75.166.780 euro</w:t>
            </w:r>
          </w:p>
        </w:tc>
        <w:tc>
          <w:tcPr>
            <w:tcW w:w="2741" w:type="dxa"/>
          </w:tcPr>
          <w:p w:rsidR="00D867BD" w:rsidRDefault="00D867BD" w:rsidP="00521064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136,72</w:t>
            </w:r>
          </w:p>
        </w:tc>
      </w:tr>
      <w:tr w:rsidR="00D867BD" w:rsidTr="009E7AC0">
        <w:tc>
          <w:tcPr>
            <w:tcW w:w="2564" w:type="dxa"/>
          </w:tcPr>
          <w:p w:rsidR="00D867BD" w:rsidRDefault="00D867BD" w:rsidP="00521064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2013</w:t>
            </w:r>
          </w:p>
        </w:tc>
        <w:tc>
          <w:tcPr>
            <w:tcW w:w="2741" w:type="dxa"/>
          </w:tcPr>
          <w:p w:rsidR="00D867BD" w:rsidRDefault="00D867BD" w:rsidP="00521064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85.021.399 euro</w:t>
            </w:r>
          </w:p>
        </w:tc>
        <w:tc>
          <w:tcPr>
            <w:tcW w:w="2741" w:type="dxa"/>
          </w:tcPr>
          <w:p w:rsidR="00D867BD" w:rsidRDefault="00D867BD" w:rsidP="00521064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154,64</w:t>
            </w:r>
          </w:p>
        </w:tc>
      </w:tr>
    </w:tbl>
    <w:p w:rsidR="00D867BD" w:rsidRDefault="00D867BD" w:rsidP="009E7AC0">
      <w:pPr>
        <w:ind w:left="426" w:hanging="426"/>
        <w:jc w:val="both"/>
        <w:rPr>
          <w:lang w:val="nl-BE"/>
        </w:rPr>
      </w:pPr>
    </w:p>
    <w:p w:rsidR="00D867BD" w:rsidRPr="00494741" w:rsidRDefault="00D867BD" w:rsidP="009E7AC0">
      <w:pPr>
        <w:ind w:left="426"/>
        <w:jc w:val="both"/>
        <w:rPr>
          <w:lang w:val="nl-BE"/>
        </w:rPr>
      </w:pPr>
      <w:r w:rsidRPr="00494741">
        <w:rPr>
          <w:lang w:val="nl-BE"/>
        </w:rPr>
        <w:t>Bovenvermelde jaarbudgetten omvatten het uitbreidingsbeleid van betreffende jaar alsook de indexering conform de regelgeving.</w:t>
      </w:r>
    </w:p>
    <w:p w:rsidR="00D867BD" w:rsidRPr="000D2A17" w:rsidRDefault="00D867BD" w:rsidP="009E7AC0">
      <w:pPr>
        <w:pStyle w:val="Lijstalinea"/>
        <w:ind w:left="426" w:hanging="426"/>
        <w:jc w:val="both"/>
        <w:rPr>
          <w:lang w:val="nl-BE"/>
        </w:rPr>
      </w:pPr>
    </w:p>
    <w:p w:rsidR="000D2A17" w:rsidRPr="00F726EA" w:rsidRDefault="00F726EA" w:rsidP="009E7AC0">
      <w:pPr>
        <w:pStyle w:val="Lijstalinea"/>
        <w:numPr>
          <w:ilvl w:val="0"/>
          <w:numId w:val="11"/>
        </w:numPr>
        <w:ind w:left="426" w:hanging="426"/>
        <w:jc w:val="both"/>
        <w:rPr>
          <w:lang w:val="nl-BE"/>
        </w:rPr>
      </w:pPr>
      <w:r>
        <w:t xml:space="preserve">In tabel </w:t>
      </w:r>
      <w:r w:rsidR="00D867BD">
        <w:t>3</w:t>
      </w:r>
      <w:r>
        <w:t xml:space="preserve"> vindt u het uitgetrokken budget voor extra PAB-toekenningen via de middelen van het uitbreidingsbeleid </w:t>
      </w:r>
      <w:r w:rsidR="009E7AC0">
        <w:t xml:space="preserve">2010-2013. </w:t>
      </w:r>
      <w:r w:rsidR="00D867BD">
        <w:t>Er is geen opsplitsing mogelijk</w:t>
      </w:r>
      <w:r w:rsidR="00D41048">
        <w:t xml:space="preserve"> naar</w:t>
      </w:r>
      <w:r w:rsidR="00D867BD">
        <w:t xml:space="preserve"> meerderjarigen-minderjarigen</w:t>
      </w:r>
      <w:r w:rsidR="00D41048">
        <w:t xml:space="preserve"> toe</w:t>
      </w:r>
      <w:r w:rsidR="00D867BD">
        <w:t>. Voor 2009 waren er geen uitbreidingsmiddelen voor PAB beschikbaar.</w:t>
      </w:r>
    </w:p>
    <w:p w:rsidR="009E7AC0" w:rsidRDefault="009E7AC0" w:rsidP="009E7AC0">
      <w:pPr>
        <w:pStyle w:val="Lijstalinea"/>
        <w:ind w:left="426"/>
        <w:jc w:val="both"/>
        <w:rPr>
          <w:lang w:val="nl-BE"/>
        </w:rPr>
      </w:pPr>
    </w:p>
    <w:p w:rsidR="009E7AC0" w:rsidRDefault="009E7AC0" w:rsidP="009E7AC0">
      <w:pPr>
        <w:pStyle w:val="Lijstalinea"/>
        <w:ind w:left="426"/>
        <w:jc w:val="both"/>
        <w:rPr>
          <w:lang w:val="nl-BE"/>
        </w:rPr>
      </w:pPr>
    </w:p>
    <w:p w:rsidR="009E7AC0" w:rsidRDefault="009E7AC0" w:rsidP="009E7AC0">
      <w:pPr>
        <w:pStyle w:val="Lijstalinea"/>
        <w:ind w:left="426"/>
        <w:jc w:val="both"/>
        <w:rPr>
          <w:lang w:val="nl-BE"/>
        </w:rPr>
      </w:pPr>
    </w:p>
    <w:p w:rsidR="009E7AC0" w:rsidRDefault="009E7AC0" w:rsidP="009E7AC0">
      <w:pPr>
        <w:pStyle w:val="Lijstalinea"/>
        <w:ind w:left="426"/>
        <w:jc w:val="both"/>
        <w:rPr>
          <w:lang w:val="nl-BE"/>
        </w:rPr>
      </w:pPr>
    </w:p>
    <w:p w:rsidR="009E7AC0" w:rsidRDefault="009E7AC0" w:rsidP="009E7AC0">
      <w:pPr>
        <w:pStyle w:val="Lijstalinea"/>
        <w:ind w:left="426"/>
        <w:jc w:val="both"/>
        <w:rPr>
          <w:lang w:val="nl-BE"/>
        </w:rPr>
      </w:pPr>
    </w:p>
    <w:p w:rsidR="009E7AC0" w:rsidRDefault="009E7AC0" w:rsidP="009E7AC0">
      <w:pPr>
        <w:pStyle w:val="Lijstalinea"/>
        <w:ind w:left="426"/>
        <w:jc w:val="both"/>
        <w:rPr>
          <w:lang w:val="nl-BE"/>
        </w:rPr>
      </w:pPr>
    </w:p>
    <w:p w:rsidR="00F726EA" w:rsidRDefault="00F726EA" w:rsidP="009E7AC0">
      <w:pPr>
        <w:pStyle w:val="Lijstalinea"/>
        <w:ind w:left="426"/>
        <w:jc w:val="both"/>
        <w:rPr>
          <w:lang w:val="nl-BE"/>
        </w:rPr>
      </w:pPr>
      <w:r>
        <w:rPr>
          <w:lang w:val="nl-BE"/>
        </w:rPr>
        <w:lastRenderedPageBreak/>
        <w:t xml:space="preserve">Tabel </w:t>
      </w:r>
      <w:r w:rsidR="00D867BD">
        <w:rPr>
          <w:lang w:val="nl-BE"/>
        </w:rPr>
        <w:t>3</w:t>
      </w:r>
      <w:r>
        <w:rPr>
          <w:lang w:val="nl-BE"/>
        </w:rPr>
        <w:t xml:space="preserve">: budget extra PAB-toekenningen in het kader van het uitbreidingsbeleid 2010-2013: </w:t>
      </w:r>
    </w:p>
    <w:p w:rsidR="00DC669B" w:rsidRDefault="00DC669B" w:rsidP="009E7AC0">
      <w:pPr>
        <w:pStyle w:val="Lijstalinea"/>
        <w:ind w:left="426" w:hanging="426"/>
        <w:jc w:val="both"/>
        <w:rPr>
          <w:lang w:val="nl-BE"/>
        </w:rPr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1843"/>
        <w:gridCol w:w="3402"/>
      </w:tblGrid>
      <w:tr w:rsidR="00DC669B" w:rsidTr="009E7AC0">
        <w:tc>
          <w:tcPr>
            <w:tcW w:w="1843" w:type="dxa"/>
          </w:tcPr>
          <w:p w:rsidR="00DC669B" w:rsidRDefault="004C40A2" w:rsidP="005949BA">
            <w:pPr>
              <w:pStyle w:val="Lijstalinea"/>
              <w:ind w:left="0"/>
              <w:jc w:val="both"/>
            </w:pPr>
            <w:r>
              <w:t>Jaar</w:t>
            </w:r>
          </w:p>
        </w:tc>
        <w:tc>
          <w:tcPr>
            <w:tcW w:w="3402" w:type="dxa"/>
          </w:tcPr>
          <w:p w:rsidR="00DC669B" w:rsidRDefault="00DC669B" w:rsidP="00DC669B">
            <w:pPr>
              <w:pStyle w:val="Lijstalinea"/>
              <w:ind w:left="0"/>
              <w:jc w:val="both"/>
            </w:pPr>
            <w:r>
              <w:t>Budget voor extra PAB’s vanuit middelen UB</w:t>
            </w:r>
          </w:p>
        </w:tc>
      </w:tr>
      <w:tr w:rsidR="00DC669B" w:rsidTr="009E7AC0">
        <w:tc>
          <w:tcPr>
            <w:tcW w:w="1843" w:type="dxa"/>
          </w:tcPr>
          <w:p w:rsidR="00DC669B" w:rsidRDefault="00DC669B" w:rsidP="005949BA">
            <w:pPr>
              <w:pStyle w:val="Lijstalinea"/>
              <w:ind w:left="0"/>
              <w:jc w:val="center"/>
            </w:pPr>
            <w:r>
              <w:t>2010</w:t>
            </w:r>
          </w:p>
        </w:tc>
        <w:tc>
          <w:tcPr>
            <w:tcW w:w="3402" w:type="dxa"/>
          </w:tcPr>
          <w:p w:rsidR="00DC669B" w:rsidRDefault="00484FFA" w:rsidP="005949BA">
            <w:pPr>
              <w:pStyle w:val="Lijstalinea"/>
              <w:ind w:left="0"/>
              <w:jc w:val="center"/>
            </w:pPr>
            <w:r>
              <w:t>5.700.000</w:t>
            </w:r>
          </w:p>
        </w:tc>
      </w:tr>
      <w:tr w:rsidR="00DC669B" w:rsidTr="009E7AC0">
        <w:tc>
          <w:tcPr>
            <w:tcW w:w="1843" w:type="dxa"/>
          </w:tcPr>
          <w:p w:rsidR="00DC669B" w:rsidRDefault="00DC669B" w:rsidP="005949BA">
            <w:pPr>
              <w:pStyle w:val="Lijstalinea"/>
              <w:ind w:left="0"/>
              <w:jc w:val="center"/>
            </w:pPr>
            <w:r>
              <w:t>2011</w:t>
            </w:r>
          </w:p>
        </w:tc>
        <w:tc>
          <w:tcPr>
            <w:tcW w:w="3402" w:type="dxa"/>
          </w:tcPr>
          <w:p w:rsidR="00DC669B" w:rsidRDefault="00484FFA" w:rsidP="005949BA">
            <w:pPr>
              <w:pStyle w:val="Lijstalinea"/>
              <w:ind w:left="0"/>
              <w:jc w:val="center"/>
            </w:pPr>
            <w:r>
              <w:t>5.747.000</w:t>
            </w:r>
          </w:p>
        </w:tc>
      </w:tr>
      <w:tr w:rsidR="00DC669B" w:rsidTr="009E7AC0">
        <w:tc>
          <w:tcPr>
            <w:tcW w:w="1843" w:type="dxa"/>
          </w:tcPr>
          <w:p w:rsidR="00DC669B" w:rsidRDefault="00DC669B" w:rsidP="005949BA">
            <w:pPr>
              <w:pStyle w:val="Lijstalinea"/>
              <w:ind w:left="0"/>
              <w:jc w:val="center"/>
            </w:pPr>
            <w:r>
              <w:t>2012</w:t>
            </w:r>
          </w:p>
        </w:tc>
        <w:tc>
          <w:tcPr>
            <w:tcW w:w="3402" w:type="dxa"/>
          </w:tcPr>
          <w:p w:rsidR="00DC669B" w:rsidRDefault="00484FFA" w:rsidP="005949BA">
            <w:pPr>
              <w:pStyle w:val="Lijstalinea"/>
              <w:ind w:left="0"/>
              <w:jc w:val="center"/>
            </w:pPr>
            <w:r>
              <w:t>6.445.684</w:t>
            </w:r>
          </w:p>
        </w:tc>
      </w:tr>
      <w:tr w:rsidR="00DC669B" w:rsidTr="009E7AC0">
        <w:tc>
          <w:tcPr>
            <w:tcW w:w="1843" w:type="dxa"/>
          </w:tcPr>
          <w:p w:rsidR="00DC669B" w:rsidRDefault="00DC669B" w:rsidP="005949BA">
            <w:pPr>
              <w:pStyle w:val="Lijstalinea"/>
              <w:ind w:left="0"/>
              <w:jc w:val="center"/>
            </w:pPr>
            <w:r>
              <w:t>2013</w:t>
            </w:r>
          </w:p>
        </w:tc>
        <w:tc>
          <w:tcPr>
            <w:tcW w:w="3402" w:type="dxa"/>
          </w:tcPr>
          <w:p w:rsidR="00DC669B" w:rsidRDefault="00484FFA" w:rsidP="005949BA">
            <w:pPr>
              <w:pStyle w:val="Lijstalinea"/>
              <w:ind w:left="0"/>
              <w:jc w:val="center"/>
            </w:pPr>
            <w:r>
              <w:t>6.887.618</w:t>
            </w:r>
          </w:p>
        </w:tc>
      </w:tr>
    </w:tbl>
    <w:p w:rsidR="00DC669B" w:rsidRDefault="00DC669B" w:rsidP="00DC669B">
      <w:pPr>
        <w:pStyle w:val="Lijstalinea"/>
        <w:ind w:left="1065"/>
        <w:jc w:val="both"/>
      </w:pPr>
    </w:p>
    <w:p w:rsidR="00440AC5" w:rsidRPr="00521064" w:rsidRDefault="00521064" w:rsidP="009E7AC0">
      <w:pPr>
        <w:pStyle w:val="Lijstalinea"/>
        <w:numPr>
          <w:ilvl w:val="0"/>
          <w:numId w:val="11"/>
        </w:numPr>
        <w:ind w:left="426" w:hanging="426"/>
        <w:jc w:val="both"/>
        <w:rPr>
          <w:lang w:val="nl-BE"/>
        </w:rPr>
      </w:pPr>
      <w:r w:rsidRPr="00521064">
        <w:rPr>
          <w:lang w:val="nl-BE"/>
        </w:rPr>
        <w:t>O</w:t>
      </w:r>
      <w:r w:rsidR="00440AC5">
        <w:t xml:space="preserve">nderstaande </w:t>
      </w:r>
      <w:r w:rsidR="000C4726">
        <w:t xml:space="preserve">tabel </w:t>
      </w:r>
      <w:r w:rsidR="00D867BD">
        <w:t>4</w:t>
      </w:r>
      <w:r w:rsidR="000C4726">
        <w:t xml:space="preserve"> </w:t>
      </w:r>
      <w:r w:rsidR="00440AC5">
        <w:t xml:space="preserve">geeft een overzicht van de toename van de PAB-kredieten in verhouding tot de totale begroting van het VAPH voor de periode </w:t>
      </w:r>
      <w:r w:rsidR="009E7AC0">
        <w:t xml:space="preserve">2009-2013. </w:t>
      </w:r>
      <w:r w:rsidR="00440AC5">
        <w:t>Ook hier is geen opsplitsing mogelijk betreffende meerderjarigen-minderjarigen.</w:t>
      </w:r>
    </w:p>
    <w:p w:rsidR="00440AC5" w:rsidRPr="00440AC5" w:rsidRDefault="00440AC5" w:rsidP="009E7AC0">
      <w:pPr>
        <w:pStyle w:val="Lijstalinea"/>
        <w:ind w:left="426" w:hanging="426"/>
        <w:jc w:val="both"/>
        <w:rPr>
          <w:lang w:val="nl-BE"/>
        </w:rPr>
      </w:pPr>
    </w:p>
    <w:p w:rsidR="00E93BE2" w:rsidRDefault="00440AC5" w:rsidP="009E7AC0">
      <w:pPr>
        <w:pStyle w:val="Lijstalinea"/>
        <w:ind w:left="426"/>
        <w:jc w:val="both"/>
        <w:rPr>
          <w:lang w:val="nl-BE"/>
        </w:rPr>
      </w:pPr>
      <w:r>
        <w:rPr>
          <w:lang w:val="nl-BE"/>
        </w:rPr>
        <w:t>Tab</w:t>
      </w:r>
      <w:r w:rsidR="00E93BE2" w:rsidRPr="00440AC5">
        <w:rPr>
          <w:lang w:val="nl-BE"/>
        </w:rPr>
        <w:t xml:space="preserve">el </w:t>
      </w:r>
      <w:r w:rsidR="00D867BD" w:rsidRPr="00440AC5">
        <w:rPr>
          <w:lang w:val="nl-BE"/>
        </w:rPr>
        <w:t>4</w:t>
      </w:r>
      <w:r w:rsidR="00E93BE2" w:rsidRPr="00440AC5">
        <w:rPr>
          <w:lang w:val="nl-BE"/>
        </w:rPr>
        <w:t xml:space="preserve">: </w:t>
      </w:r>
      <w:r>
        <w:rPr>
          <w:lang w:val="nl-BE"/>
        </w:rPr>
        <w:t xml:space="preserve">historiek van het relatief aandeel van het PAB-krediet in het totale VAPH-budget voor de periode </w:t>
      </w:r>
      <w:r w:rsidR="00E93BE2" w:rsidRPr="00440AC5">
        <w:rPr>
          <w:lang w:val="nl-BE"/>
        </w:rPr>
        <w:t>2009-2013:</w:t>
      </w:r>
    </w:p>
    <w:p w:rsidR="00521064" w:rsidRDefault="00521064" w:rsidP="00440AC5">
      <w:pPr>
        <w:pStyle w:val="Lijstalinea"/>
        <w:ind w:left="1065"/>
        <w:jc w:val="both"/>
        <w:rPr>
          <w:lang w:val="nl-BE"/>
        </w:rPr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564"/>
        <w:gridCol w:w="2741"/>
      </w:tblGrid>
      <w:tr w:rsidR="00521064" w:rsidTr="009E7AC0">
        <w:tc>
          <w:tcPr>
            <w:tcW w:w="2564" w:type="dxa"/>
          </w:tcPr>
          <w:p w:rsidR="00521064" w:rsidRDefault="00521064" w:rsidP="00521064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Dienstjaar</w:t>
            </w:r>
          </w:p>
        </w:tc>
        <w:tc>
          <w:tcPr>
            <w:tcW w:w="2741" w:type="dxa"/>
          </w:tcPr>
          <w:p w:rsidR="00521064" w:rsidRDefault="00521064" w:rsidP="00F67C31">
            <w:pPr>
              <w:pStyle w:val="Lijstalinea"/>
              <w:ind w:left="0"/>
              <w:jc w:val="both"/>
              <w:rPr>
                <w:lang w:val="nl-BE"/>
              </w:rPr>
            </w:pPr>
            <w:r>
              <w:rPr>
                <w:lang w:val="nl-BE"/>
              </w:rPr>
              <w:t>Relatief aandeel van het PAB-krediet in het totale VAPH-budget</w:t>
            </w:r>
          </w:p>
        </w:tc>
      </w:tr>
      <w:tr w:rsidR="00521064" w:rsidTr="009E7AC0">
        <w:tc>
          <w:tcPr>
            <w:tcW w:w="2564" w:type="dxa"/>
          </w:tcPr>
          <w:p w:rsidR="00521064" w:rsidRDefault="00521064" w:rsidP="00F67C31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2009</w:t>
            </w:r>
          </w:p>
        </w:tc>
        <w:tc>
          <w:tcPr>
            <w:tcW w:w="2741" w:type="dxa"/>
          </w:tcPr>
          <w:p w:rsidR="00521064" w:rsidRDefault="00521064" w:rsidP="00F67C31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4,72%</w:t>
            </w:r>
          </w:p>
        </w:tc>
      </w:tr>
      <w:tr w:rsidR="00521064" w:rsidTr="009E7AC0">
        <w:tc>
          <w:tcPr>
            <w:tcW w:w="2564" w:type="dxa"/>
          </w:tcPr>
          <w:p w:rsidR="00521064" w:rsidRDefault="00521064" w:rsidP="00F67C31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2010</w:t>
            </w:r>
          </w:p>
        </w:tc>
        <w:tc>
          <w:tcPr>
            <w:tcW w:w="2741" w:type="dxa"/>
          </w:tcPr>
          <w:p w:rsidR="00521064" w:rsidRDefault="00521064" w:rsidP="00F67C31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4,88%</w:t>
            </w:r>
          </w:p>
        </w:tc>
      </w:tr>
      <w:tr w:rsidR="00521064" w:rsidTr="009E7AC0">
        <w:tc>
          <w:tcPr>
            <w:tcW w:w="2564" w:type="dxa"/>
          </w:tcPr>
          <w:p w:rsidR="00521064" w:rsidRDefault="00521064" w:rsidP="00F67C31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2011</w:t>
            </w:r>
          </w:p>
        </w:tc>
        <w:tc>
          <w:tcPr>
            <w:tcW w:w="2741" w:type="dxa"/>
          </w:tcPr>
          <w:p w:rsidR="00521064" w:rsidRDefault="00521064" w:rsidP="00F67C31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5,13%</w:t>
            </w:r>
          </w:p>
        </w:tc>
      </w:tr>
      <w:tr w:rsidR="00521064" w:rsidTr="009E7AC0">
        <w:trPr>
          <w:trHeight w:val="205"/>
        </w:trPr>
        <w:tc>
          <w:tcPr>
            <w:tcW w:w="2564" w:type="dxa"/>
          </w:tcPr>
          <w:p w:rsidR="00521064" w:rsidRDefault="00521064" w:rsidP="00F67C31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2012</w:t>
            </w:r>
          </w:p>
        </w:tc>
        <w:tc>
          <w:tcPr>
            <w:tcW w:w="2741" w:type="dxa"/>
          </w:tcPr>
          <w:p w:rsidR="00521064" w:rsidRDefault="00521064" w:rsidP="00F67C31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5,57 %</w:t>
            </w:r>
          </w:p>
        </w:tc>
      </w:tr>
      <w:tr w:rsidR="00521064" w:rsidTr="009E7AC0">
        <w:tc>
          <w:tcPr>
            <w:tcW w:w="2564" w:type="dxa"/>
          </w:tcPr>
          <w:p w:rsidR="00521064" w:rsidRDefault="00521064" w:rsidP="00F67C31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2013</w:t>
            </w:r>
          </w:p>
        </w:tc>
        <w:tc>
          <w:tcPr>
            <w:tcW w:w="2741" w:type="dxa"/>
          </w:tcPr>
          <w:p w:rsidR="00521064" w:rsidRDefault="00521064" w:rsidP="00F67C31">
            <w:pPr>
              <w:pStyle w:val="Lijstalinea"/>
              <w:ind w:left="0"/>
              <w:jc w:val="center"/>
              <w:rPr>
                <w:lang w:val="nl-BE"/>
              </w:rPr>
            </w:pPr>
            <w:r>
              <w:rPr>
                <w:lang w:val="nl-BE"/>
              </w:rPr>
              <w:t>5,62 %</w:t>
            </w:r>
          </w:p>
        </w:tc>
      </w:tr>
    </w:tbl>
    <w:p w:rsidR="00521064" w:rsidRDefault="00521064" w:rsidP="00521064">
      <w:pPr>
        <w:ind w:left="1065"/>
        <w:jc w:val="both"/>
        <w:rPr>
          <w:lang w:val="nl-BE"/>
        </w:rPr>
      </w:pPr>
    </w:p>
    <w:p w:rsidR="00D867BD" w:rsidRPr="000D2A17" w:rsidRDefault="0044237B" w:rsidP="009E7AC0">
      <w:pPr>
        <w:pStyle w:val="Lijstalinea"/>
        <w:numPr>
          <w:ilvl w:val="0"/>
          <w:numId w:val="11"/>
        </w:numPr>
        <w:ind w:left="426" w:hanging="426"/>
        <w:jc w:val="both"/>
        <w:rPr>
          <w:lang w:val="nl-BE"/>
        </w:rPr>
      </w:pPr>
      <w:r>
        <w:t xml:space="preserve">De middelen die vrijkomen door sterfte van budgethouders worden ingezet voor de financiering van de </w:t>
      </w:r>
      <w:r w:rsidR="009E7AC0">
        <w:t xml:space="preserve">PAB-spoedprocedure. </w:t>
      </w:r>
      <w:r w:rsidR="007D7748">
        <w:t xml:space="preserve">Er wordt opgevolgd of er meer middelen vrijkomen door een hoger aantal overlijdens en stopzettingen dan dat er opstarters zijn via de </w:t>
      </w:r>
      <w:r w:rsidR="009E7AC0">
        <w:t xml:space="preserve">spoedprocedure. </w:t>
      </w:r>
      <w:r w:rsidR="007D7748">
        <w:t>Eind</w:t>
      </w:r>
      <w:r w:rsidR="00666620">
        <w:t xml:space="preserve"> 2012 bleek dat er voor 1.600.000 euro bijkomende PAB-budgetten konden toegekend worden op voorstel van de regi</w:t>
      </w:r>
      <w:bookmarkStart w:id="6" w:name="_GoBack"/>
      <w:bookmarkEnd w:id="6"/>
      <w:r w:rsidR="00666620">
        <w:t>onale prioriteitencommissies</w:t>
      </w:r>
      <w:r w:rsidR="007D7748">
        <w:t xml:space="preserve"> door dit hoger aantal overlijdens en stopzettingen versus opstarters via de spoedprocedure.</w:t>
      </w:r>
    </w:p>
    <w:sectPr w:rsidR="00D867BD" w:rsidRPr="000D2A17" w:rsidSect="003B3111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5B" w:rsidRDefault="004F1D5B">
      <w:r>
        <w:separator/>
      </w:r>
    </w:p>
  </w:endnote>
  <w:endnote w:type="continuationSeparator" w:id="0">
    <w:p w:rsidR="004F1D5B" w:rsidRDefault="004F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5B" w:rsidRDefault="004F1D5B">
      <w:r>
        <w:separator/>
      </w:r>
    </w:p>
  </w:footnote>
  <w:footnote w:type="continuationSeparator" w:id="0">
    <w:p w:rsidR="004F1D5B" w:rsidRDefault="004F1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E8F"/>
    <w:multiLevelType w:val="hybridMultilevel"/>
    <w:tmpl w:val="E6FA89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56F"/>
    <w:multiLevelType w:val="hybridMultilevel"/>
    <w:tmpl w:val="E35CBFFC"/>
    <w:lvl w:ilvl="0" w:tplc="425C2FB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37A3"/>
    <w:multiLevelType w:val="hybridMultilevel"/>
    <w:tmpl w:val="0D141CF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64410"/>
    <w:multiLevelType w:val="hybridMultilevel"/>
    <w:tmpl w:val="54CECD34"/>
    <w:lvl w:ilvl="0" w:tplc="223CCCE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6345"/>
    <w:multiLevelType w:val="hybridMultilevel"/>
    <w:tmpl w:val="5F78D5C6"/>
    <w:lvl w:ilvl="0" w:tplc="A880B0AC">
      <w:start w:val="2013"/>
      <w:numFmt w:val="decimal"/>
      <w:lvlText w:val="%1"/>
      <w:lvlJc w:val="left"/>
      <w:pPr>
        <w:ind w:left="1485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5" w:hanging="360"/>
      </w:pPr>
    </w:lvl>
    <w:lvl w:ilvl="2" w:tplc="0813001B" w:tentative="1">
      <w:start w:val="1"/>
      <w:numFmt w:val="lowerRoman"/>
      <w:lvlText w:val="%3."/>
      <w:lvlJc w:val="right"/>
      <w:pPr>
        <w:ind w:left="2865" w:hanging="180"/>
      </w:pPr>
    </w:lvl>
    <w:lvl w:ilvl="3" w:tplc="0813000F" w:tentative="1">
      <w:start w:val="1"/>
      <w:numFmt w:val="decimal"/>
      <w:lvlText w:val="%4."/>
      <w:lvlJc w:val="left"/>
      <w:pPr>
        <w:ind w:left="3585" w:hanging="360"/>
      </w:pPr>
    </w:lvl>
    <w:lvl w:ilvl="4" w:tplc="08130019" w:tentative="1">
      <w:start w:val="1"/>
      <w:numFmt w:val="lowerLetter"/>
      <w:lvlText w:val="%5."/>
      <w:lvlJc w:val="left"/>
      <w:pPr>
        <w:ind w:left="4305" w:hanging="360"/>
      </w:pPr>
    </w:lvl>
    <w:lvl w:ilvl="5" w:tplc="0813001B" w:tentative="1">
      <w:start w:val="1"/>
      <w:numFmt w:val="lowerRoman"/>
      <w:lvlText w:val="%6."/>
      <w:lvlJc w:val="right"/>
      <w:pPr>
        <w:ind w:left="5025" w:hanging="180"/>
      </w:pPr>
    </w:lvl>
    <w:lvl w:ilvl="6" w:tplc="0813000F" w:tentative="1">
      <w:start w:val="1"/>
      <w:numFmt w:val="decimal"/>
      <w:lvlText w:val="%7."/>
      <w:lvlJc w:val="left"/>
      <w:pPr>
        <w:ind w:left="5745" w:hanging="360"/>
      </w:pPr>
    </w:lvl>
    <w:lvl w:ilvl="7" w:tplc="08130019" w:tentative="1">
      <w:start w:val="1"/>
      <w:numFmt w:val="lowerLetter"/>
      <w:lvlText w:val="%8."/>
      <w:lvlJc w:val="left"/>
      <w:pPr>
        <w:ind w:left="6465" w:hanging="360"/>
      </w:pPr>
    </w:lvl>
    <w:lvl w:ilvl="8" w:tplc="08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94E5A42"/>
    <w:multiLevelType w:val="hybridMultilevel"/>
    <w:tmpl w:val="33F21FEA"/>
    <w:lvl w:ilvl="0" w:tplc="08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27E32"/>
    <w:multiLevelType w:val="hybridMultilevel"/>
    <w:tmpl w:val="9D9C17B8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A06D2"/>
    <w:multiLevelType w:val="multilevel"/>
    <w:tmpl w:val="2C3EBF3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8">
    <w:nsid w:val="57F104BF"/>
    <w:multiLevelType w:val="hybridMultilevel"/>
    <w:tmpl w:val="63705CD2"/>
    <w:lvl w:ilvl="0" w:tplc="08130017">
      <w:start w:val="1"/>
      <w:numFmt w:val="lowerLetter"/>
      <w:lvlText w:val="%1)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7C3CD8"/>
    <w:multiLevelType w:val="hybridMultilevel"/>
    <w:tmpl w:val="BDF618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409D"/>
    <w:multiLevelType w:val="hybridMultilevel"/>
    <w:tmpl w:val="9F52AF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24411"/>
    <w:multiLevelType w:val="hybridMultilevel"/>
    <w:tmpl w:val="4036B084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8"/>
    <w:rsid w:val="00024950"/>
    <w:rsid w:val="00031E9C"/>
    <w:rsid w:val="00056FD5"/>
    <w:rsid w:val="000639D2"/>
    <w:rsid w:val="00070D6E"/>
    <w:rsid w:val="000911FF"/>
    <w:rsid w:val="00092BDE"/>
    <w:rsid w:val="00097122"/>
    <w:rsid w:val="000A33B7"/>
    <w:rsid w:val="000C4726"/>
    <w:rsid w:val="000D2A17"/>
    <w:rsid w:val="000E17DA"/>
    <w:rsid w:val="000E3C99"/>
    <w:rsid w:val="000F0BE6"/>
    <w:rsid w:val="001119C8"/>
    <w:rsid w:val="0012184C"/>
    <w:rsid w:val="001238DE"/>
    <w:rsid w:val="00127E8D"/>
    <w:rsid w:val="001550EA"/>
    <w:rsid w:val="001809B8"/>
    <w:rsid w:val="00185AE2"/>
    <w:rsid w:val="001931A8"/>
    <w:rsid w:val="001A0325"/>
    <w:rsid w:val="001C172B"/>
    <w:rsid w:val="001D50C9"/>
    <w:rsid w:val="001E2B90"/>
    <w:rsid w:val="00201000"/>
    <w:rsid w:val="00235FD5"/>
    <w:rsid w:val="0025500A"/>
    <w:rsid w:val="00256296"/>
    <w:rsid w:val="00262063"/>
    <w:rsid w:val="00283206"/>
    <w:rsid w:val="002B3600"/>
    <w:rsid w:val="002D0831"/>
    <w:rsid w:val="002D5F79"/>
    <w:rsid w:val="002E1233"/>
    <w:rsid w:val="00304F71"/>
    <w:rsid w:val="0031375C"/>
    <w:rsid w:val="00325689"/>
    <w:rsid w:val="00344406"/>
    <w:rsid w:val="00350115"/>
    <w:rsid w:val="00353ECB"/>
    <w:rsid w:val="003B3111"/>
    <w:rsid w:val="003D1194"/>
    <w:rsid w:val="003E56E5"/>
    <w:rsid w:val="00407A53"/>
    <w:rsid w:val="004259DA"/>
    <w:rsid w:val="00440AC5"/>
    <w:rsid w:val="0044237B"/>
    <w:rsid w:val="0046631B"/>
    <w:rsid w:val="00467E5F"/>
    <w:rsid w:val="004753BF"/>
    <w:rsid w:val="00480634"/>
    <w:rsid w:val="00484988"/>
    <w:rsid w:val="00484FFA"/>
    <w:rsid w:val="00493FE7"/>
    <w:rsid w:val="00494741"/>
    <w:rsid w:val="00494E55"/>
    <w:rsid w:val="004A182A"/>
    <w:rsid w:val="004A4C5F"/>
    <w:rsid w:val="004C40A2"/>
    <w:rsid w:val="004D3C0F"/>
    <w:rsid w:val="004E470A"/>
    <w:rsid w:val="004E621F"/>
    <w:rsid w:val="004F1D5B"/>
    <w:rsid w:val="00521064"/>
    <w:rsid w:val="00542152"/>
    <w:rsid w:val="0055641C"/>
    <w:rsid w:val="005570FA"/>
    <w:rsid w:val="00557E4A"/>
    <w:rsid w:val="005636B8"/>
    <w:rsid w:val="005A1CDB"/>
    <w:rsid w:val="005B630B"/>
    <w:rsid w:val="005D1584"/>
    <w:rsid w:val="00604FBB"/>
    <w:rsid w:val="0062247F"/>
    <w:rsid w:val="0062569C"/>
    <w:rsid w:val="006359E3"/>
    <w:rsid w:val="0063632B"/>
    <w:rsid w:val="00652E81"/>
    <w:rsid w:val="00664485"/>
    <w:rsid w:val="00666620"/>
    <w:rsid w:val="00676663"/>
    <w:rsid w:val="00682B8E"/>
    <w:rsid w:val="00685882"/>
    <w:rsid w:val="006929AA"/>
    <w:rsid w:val="006A26CF"/>
    <w:rsid w:val="006A3405"/>
    <w:rsid w:val="006B3409"/>
    <w:rsid w:val="006C759A"/>
    <w:rsid w:val="006F25DA"/>
    <w:rsid w:val="006F4096"/>
    <w:rsid w:val="007044B8"/>
    <w:rsid w:val="00726528"/>
    <w:rsid w:val="0073142F"/>
    <w:rsid w:val="007633AF"/>
    <w:rsid w:val="00764789"/>
    <w:rsid w:val="00770717"/>
    <w:rsid w:val="00781AFD"/>
    <w:rsid w:val="00783980"/>
    <w:rsid w:val="007A2846"/>
    <w:rsid w:val="007A4722"/>
    <w:rsid w:val="007D2DE3"/>
    <w:rsid w:val="007D7748"/>
    <w:rsid w:val="007F76B8"/>
    <w:rsid w:val="00802B86"/>
    <w:rsid w:val="00803445"/>
    <w:rsid w:val="00814644"/>
    <w:rsid w:val="0082512B"/>
    <w:rsid w:val="00843BDB"/>
    <w:rsid w:val="0086553C"/>
    <w:rsid w:val="0086738A"/>
    <w:rsid w:val="008760DB"/>
    <w:rsid w:val="008B312A"/>
    <w:rsid w:val="008D01C4"/>
    <w:rsid w:val="008E5280"/>
    <w:rsid w:val="008F4736"/>
    <w:rsid w:val="00914C02"/>
    <w:rsid w:val="009500AC"/>
    <w:rsid w:val="00951987"/>
    <w:rsid w:val="00971E0E"/>
    <w:rsid w:val="00993036"/>
    <w:rsid w:val="009B5A94"/>
    <w:rsid w:val="009C2069"/>
    <w:rsid w:val="009C3493"/>
    <w:rsid w:val="009D6681"/>
    <w:rsid w:val="009E45CB"/>
    <w:rsid w:val="009E7AC0"/>
    <w:rsid w:val="009F484E"/>
    <w:rsid w:val="00A11DBC"/>
    <w:rsid w:val="00A17D93"/>
    <w:rsid w:val="00A46CD7"/>
    <w:rsid w:val="00A6678D"/>
    <w:rsid w:val="00A7366C"/>
    <w:rsid w:val="00A76556"/>
    <w:rsid w:val="00A7681D"/>
    <w:rsid w:val="00A80C68"/>
    <w:rsid w:val="00A916CA"/>
    <w:rsid w:val="00AA18FC"/>
    <w:rsid w:val="00AB3462"/>
    <w:rsid w:val="00AB530A"/>
    <w:rsid w:val="00AB73DD"/>
    <w:rsid w:val="00AC51A6"/>
    <w:rsid w:val="00AC5A56"/>
    <w:rsid w:val="00AD42A4"/>
    <w:rsid w:val="00AE5D99"/>
    <w:rsid w:val="00AE6C8E"/>
    <w:rsid w:val="00AE7650"/>
    <w:rsid w:val="00B064C5"/>
    <w:rsid w:val="00B3607E"/>
    <w:rsid w:val="00B408A6"/>
    <w:rsid w:val="00B40BDB"/>
    <w:rsid w:val="00B705BD"/>
    <w:rsid w:val="00B81CA0"/>
    <w:rsid w:val="00B847F2"/>
    <w:rsid w:val="00BA24D3"/>
    <w:rsid w:val="00BF764D"/>
    <w:rsid w:val="00C064B8"/>
    <w:rsid w:val="00C2724A"/>
    <w:rsid w:val="00C3258F"/>
    <w:rsid w:val="00C33DC6"/>
    <w:rsid w:val="00C42093"/>
    <w:rsid w:val="00C44323"/>
    <w:rsid w:val="00C666B2"/>
    <w:rsid w:val="00C84F0B"/>
    <w:rsid w:val="00CC1968"/>
    <w:rsid w:val="00CE01B1"/>
    <w:rsid w:val="00CE30B2"/>
    <w:rsid w:val="00CF0F02"/>
    <w:rsid w:val="00CF6F78"/>
    <w:rsid w:val="00D11F14"/>
    <w:rsid w:val="00D40838"/>
    <w:rsid w:val="00D41048"/>
    <w:rsid w:val="00D70685"/>
    <w:rsid w:val="00D76223"/>
    <w:rsid w:val="00D867BD"/>
    <w:rsid w:val="00DA74A0"/>
    <w:rsid w:val="00DB4BBD"/>
    <w:rsid w:val="00DC669B"/>
    <w:rsid w:val="00DD39AC"/>
    <w:rsid w:val="00E03337"/>
    <w:rsid w:val="00E50FCF"/>
    <w:rsid w:val="00E579D1"/>
    <w:rsid w:val="00E72064"/>
    <w:rsid w:val="00E77747"/>
    <w:rsid w:val="00E93BE2"/>
    <w:rsid w:val="00E962B2"/>
    <w:rsid w:val="00EB0A2A"/>
    <w:rsid w:val="00EE4E83"/>
    <w:rsid w:val="00EE5815"/>
    <w:rsid w:val="00EF5844"/>
    <w:rsid w:val="00F068D5"/>
    <w:rsid w:val="00F34BEC"/>
    <w:rsid w:val="00F726EA"/>
    <w:rsid w:val="00F84C2E"/>
    <w:rsid w:val="00F93F9A"/>
    <w:rsid w:val="00FA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3DC6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44406"/>
    <w:pPr>
      <w:keepNext/>
      <w:keepLines/>
      <w:numPr>
        <w:numId w:val="9"/>
      </w:numPr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5F5F5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44406"/>
    <w:pPr>
      <w:keepNext/>
      <w:numPr>
        <w:ilvl w:val="1"/>
        <w:numId w:val="9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iCs/>
      <w:color w:val="5F5F5F"/>
      <w:sz w:val="24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44406"/>
    <w:pPr>
      <w:keepNext/>
      <w:keepLines/>
      <w:numPr>
        <w:ilvl w:val="2"/>
        <w:numId w:val="9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5F5F5F"/>
      <w:sz w:val="20"/>
      <w:szCs w:val="22"/>
      <w:lang w:val="en-US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344406"/>
    <w:pPr>
      <w:keepNext/>
      <w:keepLines/>
      <w:numPr>
        <w:ilvl w:val="3"/>
        <w:numId w:val="9"/>
      </w:numPr>
      <w:spacing w:before="120"/>
      <w:outlineLvl w:val="3"/>
    </w:pPr>
    <w:rPr>
      <w:rFonts w:asciiTheme="majorHAnsi" w:eastAsiaTheme="majorEastAsia" w:hAnsiTheme="majorHAnsi" w:cstheme="majorBidi"/>
      <w:b/>
      <w:bCs/>
      <w:iCs/>
      <w:color w:val="5F5F5F"/>
      <w:sz w:val="20"/>
      <w:szCs w:val="22"/>
      <w:lang w:val="en-US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344406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5F5F5F"/>
      <w:sz w:val="20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34440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F5F5F"/>
      <w:sz w:val="20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34440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F5F5F"/>
      <w:sz w:val="20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34440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5F5F5F"/>
      <w:sz w:val="20"/>
      <w:szCs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344406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ntwoordNaamMinister">
    <w:name w:val="AntwoordNaamMinister"/>
    <w:basedOn w:val="Standaard"/>
    <w:link w:val="AntwoordNaamMinisterChar"/>
    <w:rsid w:val="00C33DC6"/>
    <w:rPr>
      <w:b/>
      <w:smallCaps/>
      <w:lang w:val="nl-BE"/>
    </w:rPr>
  </w:style>
  <w:style w:type="paragraph" w:customStyle="1" w:styleId="A-TitelMinister">
    <w:name w:val="A-TitelMinister"/>
    <w:basedOn w:val="Standaard"/>
    <w:rsid w:val="00C33DC6"/>
    <w:rPr>
      <w:smallCaps/>
      <w:szCs w:val="22"/>
      <w:lang w:val="nl-BE"/>
    </w:rPr>
  </w:style>
  <w:style w:type="paragraph" w:customStyle="1" w:styleId="A-NaamMinister">
    <w:name w:val="A-NaamMinister"/>
    <w:basedOn w:val="Standaard"/>
    <w:link w:val="A-NaamMinisterChar"/>
    <w:rsid w:val="00C33DC6"/>
    <w:rPr>
      <w:b/>
      <w:smallCaps/>
      <w:lang w:val="nl-BE"/>
    </w:rPr>
  </w:style>
  <w:style w:type="paragraph" w:customStyle="1" w:styleId="A-Lijn">
    <w:name w:val="A-Lijn"/>
    <w:basedOn w:val="Standaard"/>
    <w:rsid w:val="00C33DC6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C33DC6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C33DC6"/>
    <w:rPr>
      <w:b/>
      <w:smallCaps/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C33DC6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C33DC6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664485"/>
    <w:pPr>
      <w:ind w:left="720"/>
      <w:contextualSpacing/>
    </w:pPr>
  </w:style>
  <w:style w:type="table" w:styleId="Tabelraster">
    <w:name w:val="Table Grid"/>
    <w:basedOn w:val="Standaardtabel"/>
    <w:rsid w:val="00664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DA74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A74A0"/>
    <w:rPr>
      <w:rFonts w:ascii="Tahoma" w:hAnsi="Tahoma" w:cs="Tahoma"/>
      <w:sz w:val="16"/>
      <w:szCs w:val="1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44406"/>
    <w:rPr>
      <w:rFonts w:asciiTheme="majorHAnsi" w:eastAsiaTheme="majorEastAsia" w:hAnsiTheme="majorHAnsi" w:cstheme="majorBidi"/>
      <w:b/>
      <w:bCs/>
      <w:color w:val="5F5F5F"/>
      <w:sz w:val="28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344406"/>
    <w:rPr>
      <w:rFonts w:asciiTheme="majorHAnsi" w:eastAsiaTheme="majorEastAsia" w:hAnsiTheme="majorHAnsi" w:cstheme="majorBidi"/>
      <w:b/>
      <w:bCs/>
      <w:iCs/>
      <w:color w:val="5F5F5F"/>
      <w:sz w:val="24"/>
      <w:szCs w:val="28"/>
      <w:lang w:val="nl-NL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44406"/>
    <w:rPr>
      <w:rFonts w:asciiTheme="majorHAnsi" w:eastAsiaTheme="majorEastAsia" w:hAnsiTheme="majorHAnsi" w:cstheme="majorBidi"/>
      <w:b/>
      <w:bCs/>
      <w:color w:val="5F5F5F"/>
      <w:szCs w:val="22"/>
      <w:lang w:val="en-US"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344406"/>
    <w:rPr>
      <w:rFonts w:asciiTheme="majorHAnsi" w:eastAsiaTheme="majorEastAsia" w:hAnsiTheme="majorHAnsi" w:cstheme="majorBidi"/>
      <w:b/>
      <w:bCs/>
      <w:iCs/>
      <w:color w:val="5F5F5F"/>
      <w:szCs w:val="22"/>
      <w:lang w:val="en-US"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344406"/>
    <w:rPr>
      <w:rFonts w:asciiTheme="majorHAnsi" w:eastAsiaTheme="majorEastAsia" w:hAnsiTheme="majorHAnsi" w:cstheme="majorBidi"/>
      <w:color w:val="5F5F5F"/>
      <w:szCs w:val="22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rsid w:val="00344406"/>
    <w:rPr>
      <w:rFonts w:asciiTheme="majorHAnsi" w:eastAsiaTheme="majorEastAsia" w:hAnsiTheme="majorHAnsi" w:cstheme="majorBidi"/>
      <w:i/>
      <w:iCs/>
      <w:color w:val="5F5F5F"/>
      <w:szCs w:val="22"/>
      <w:lang w:eastAsia="en-US"/>
    </w:rPr>
  </w:style>
  <w:style w:type="character" w:customStyle="1" w:styleId="Kop7Char">
    <w:name w:val="Kop 7 Char"/>
    <w:basedOn w:val="Standaardalinea-lettertype"/>
    <w:link w:val="Kop7"/>
    <w:uiPriority w:val="9"/>
    <w:rsid w:val="00344406"/>
    <w:rPr>
      <w:rFonts w:asciiTheme="majorHAnsi" w:eastAsiaTheme="majorEastAsia" w:hAnsiTheme="majorHAnsi" w:cstheme="majorBidi"/>
      <w:i/>
      <w:iCs/>
      <w:color w:val="5F5F5F"/>
      <w:szCs w:val="22"/>
      <w:lang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44406"/>
    <w:rPr>
      <w:rFonts w:asciiTheme="majorHAnsi" w:eastAsiaTheme="majorEastAsia" w:hAnsiTheme="majorHAnsi" w:cstheme="majorBidi"/>
      <w:color w:val="5F5F5F"/>
      <w:lang w:eastAsia="en-US"/>
    </w:rPr>
  </w:style>
  <w:style w:type="character" w:customStyle="1" w:styleId="Kop9Char">
    <w:name w:val="Kop 9 Char"/>
    <w:basedOn w:val="Standaardalinea-lettertype"/>
    <w:link w:val="Kop9"/>
    <w:uiPriority w:val="9"/>
    <w:rsid w:val="0034440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3DC6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44406"/>
    <w:pPr>
      <w:keepNext/>
      <w:keepLines/>
      <w:numPr>
        <w:numId w:val="9"/>
      </w:numPr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5F5F5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44406"/>
    <w:pPr>
      <w:keepNext/>
      <w:numPr>
        <w:ilvl w:val="1"/>
        <w:numId w:val="9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iCs/>
      <w:color w:val="5F5F5F"/>
      <w:sz w:val="24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44406"/>
    <w:pPr>
      <w:keepNext/>
      <w:keepLines/>
      <w:numPr>
        <w:ilvl w:val="2"/>
        <w:numId w:val="9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5F5F5F"/>
      <w:sz w:val="20"/>
      <w:szCs w:val="22"/>
      <w:lang w:val="en-US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344406"/>
    <w:pPr>
      <w:keepNext/>
      <w:keepLines/>
      <w:numPr>
        <w:ilvl w:val="3"/>
        <w:numId w:val="9"/>
      </w:numPr>
      <w:spacing w:before="120"/>
      <w:outlineLvl w:val="3"/>
    </w:pPr>
    <w:rPr>
      <w:rFonts w:asciiTheme="majorHAnsi" w:eastAsiaTheme="majorEastAsia" w:hAnsiTheme="majorHAnsi" w:cstheme="majorBidi"/>
      <w:b/>
      <w:bCs/>
      <w:iCs/>
      <w:color w:val="5F5F5F"/>
      <w:sz w:val="20"/>
      <w:szCs w:val="22"/>
      <w:lang w:val="en-US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344406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5F5F5F"/>
      <w:sz w:val="20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34440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F5F5F"/>
      <w:sz w:val="20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34440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F5F5F"/>
      <w:sz w:val="20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34440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5F5F5F"/>
      <w:sz w:val="20"/>
      <w:szCs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344406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ntwoordNaamMinister">
    <w:name w:val="AntwoordNaamMinister"/>
    <w:basedOn w:val="Standaard"/>
    <w:link w:val="AntwoordNaamMinisterChar"/>
    <w:rsid w:val="00C33DC6"/>
    <w:rPr>
      <w:b/>
      <w:smallCaps/>
      <w:lang w:val="nl-BE"/>
    </w:rPr>
  </w:style>
  <w:style w:type="paragraph" w:customStyle="1" w:styleId="A-TitelMinister">
    <w:name w:val="A-TitelMinister"/>
    <w:basedOn w:val="Standaard"/>
    <w:rsid w:val="00C33DC6"/>
    <w:rPr>
      <w:smallCaps/>
      <w:szCs w:val="22"/>
      <w:lang w:val="nl-BE"/>
    </w:rPr>
  </w:style>
  <w:style w:type="paragraph" w:customStyle="1" w:styleId="A-NaamMinister">
    <w:name w:val="A-NaamMinister"/>
    <w:basedOn w:val="Standaard"/>
    <w:link w:val="A-NaamMinisterChar"/>
    <w:rsid w:val="00C33DC6"/>
    <w:rPr>
      <w:b/>
      <w:smallCaps/>
      <w:lang w:val="nl-BE"/>
    </w:rPr>
  </w:style>
  <w:style w:type="paragraph" w:customStyle="1" w:styleId="A-Lijn">
    <w:name w:val="A-Lijn"/>
    <w:basedOn w:val="Standaard"/>
    <w:rsid w:val="00C33DC6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C33DC6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C33DC6"/>
    <w:rPr>
      <w:b/>
      <w:smallCaps/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C33DC6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C33DC6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664485"/>
    <w:pPr>
      <w:ind w:left="720"/>
      <w:contextualSpacing/>
    </w:pPr>
  </w:style>
  <w:style w:type="table" w:styleId="Tabelraster">
    <w:name w:val="Table Grid"/>
    <w:basedOn w:val="Standaardtabel"/>
    <w:rsid w:val="00664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DA74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A74A0"/>
    <w:rPr>
      <w:rFonts w:ascii="Tahoma" w:hAnsi="Tahoma" w:cs="Tahoma"/>
      <w:sz w:val="16"/>
      <w:szCs w:val="1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44406"/>
    <w:rPr>
      <w:rFonts w:asciiTheme="majorHAnsi" w:eastAsiaTheme="majorEastAsia" w:hAnsiTheme="majorHAnsi" w:cstheme="majorBidi"/>
      <w:b/>
      <w:bCs/>
      <w:color w:val="5F5F5F"/>
      <w:sz w:val="28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344406"/>
    <w:rPr>
      <w:rFonts w:asciiTheme="majorHAnsi" w:eastAsiaTheme="majorEastAsia" w:hAnsiTheme="majorHAnsi" w:cstheme="majorBidi"/>
      <w:b/>
      <w:bCs/>
      <w:iCs/>
      <w:color w:val="5F5F5F"/>
      <w:sz w:val="24"/>
      <w:szCs w:val="28"/>
      <w:lang w:val="nl-NL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44406"/>
    <w:rPr>
      <w:rFonts w:asciiTheme="majorHAnsi" w:eastAsiaTheme="majorEastAsia" w:hAnsiTheme="majorHAnsi" w:cstheme="majorBidi"/>
      <w:b/>
      <w:bCs/>
      <w:color w:val="5F5F5F"/>
      <w:szCs w:val="22"/>
      <w:lang w:val="en-US"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344406"/>
    <w:rPr>
      <w:rFonts w:asciiTheme="majorHAnsi" w:eastAsiaTheme="majorEastAsia" w:hAnsiTheme="majorHAnsi" w:cstheme="majorBidi"/>
      <w:b/>
      <w:bCs/>
      <w:iCs/>
      <w:color w:val="5F5F5F"/>
      <w:szCs w:val="22"/>
      <w:lang w:val="en-US"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344406"/>
    <w:rPr>
      <w:rFonts w:asciiTheme="majorHAnsi" w:eastAsiaTheme="majorEastAsia" w:hAnsiTheme="majorHAnsi" w:cstheme="majorBidi"/>
      <w:color w:val="5F5F5F"/>
      <w:szCs w:val="22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rsid w:val="00344406"/>
    <w:rPr>
      <w:rFonts w:asciiTheme="majorHAnsi" w:eastAsiaTheme="majorEastAsia" w:hAnsiTheme="majorHAnsi" w:cstheme="majorBidi"/>
      <w:i/>
      <w:iCs/>
      <w:color w:val="5F5F5F"/>
      <w:szCs w:val="22"/>
      <w:lang w:eastAsia="en-US"/>
    </w:rPr>
  </w:style>
  <w:style w:type="character" w:customStyle="1" w:styleId="Kop7Char">
    <w:name w:val="Kop 7 Char"/>
    <w:basedOn w:val="Standaardalinea-lettertype"/>
    <w:link w:val="Kop7"/>
    <w:uiPriority w:val="9"/>
    <w:rsid w:val="00344406"/>
    <w:rPr>
      <w:rFonts w:asciiTheme="majorHAnsi" w:eastAsiaTheme="majorEastAsia" w:hAnsiTheme="majorHAnsi" w:cstheme="majorBidi"/>
      <w:i/>
      <w:iCs/>
      <w:color w:val="5F5F5F"/>
      <w:szCs w:val="22"/>
      <w:lang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44406"/>
    <w:rPr>
      <w:rFonts w:asciiTheme="majorHAnsi" w:eastAsiaTheme="majorEastAsia" w:hAnsiTheme="majorHAnsi" w:cstheme="majorBidi"/>
      <w:color w:val="5F5F5F"/>
      <w:lang w:eastAsia="en-US"/>
    </w:rPr>
  </w:style>
  <w:style w:type="character" w:customStyle="1" w:styleId="Kop9Char">
    <w:name w:val="Kop 9 Char"/>
    <w:basedOn w:val="Standaardalinea-lettertype"/>
    <w:link w:val="Kop9"/>
    <w:uiPriority w:val="9"/>
    <w:rsid w:val="0034440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xt\LOCALS~1\Temp\notes4259E9\antwoord%20pv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BC88-7AB9-4216-B5D8-2AF7325D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antwoord pv</Template>
  <TotalTime>2</TotalTime>
  <Pages>2</Pages>
  <Words>425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 VANDEURZEN</vt:lpstr>
    </vt:vector>
  </TitlesOfParts>
  <Company>MVG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 VANDEURZEN</dc:title>
  <dc:creator>Tjoen Kevin</dc:creator>
  <cp:lastModifiedBy>Nathalie De Keyzer</cp:lastModifiedBy>
  <cp:revision>4</cp:revision>
  <cp:lastPrinted>2014-02-25T12:44:00Z</cp:lastPrinted>
  <dcterms:created xsi:type="dcterms:W3CDTF">2014-02-25T16:50:00Z</dcterms:created>
  <dcterms:modified xsi:type="dcterms:W3CDTF">2014-02-28T10:41:00Z</dcterms:modified>
</cp:coreProperties>
</file>