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2C5F33"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E33DD8">
        <w:rPr>
          <w:b w:val="0"/>
        </w:rPr>
        <w:t>346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33DD8">
        <w:rPr>
          <w:b w:val="0"/>
        </w:rPr>
        <w:t>20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A6E4E">
        <w:rPr>
          <w:b w:val="0"/>
        </w:rPr>
      </w:r>
      <w:r w:rsidR="006A6E4E">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A6E4E">
        <w:rPr>
          <w:b w:val="0"/>
        </w:rPr>
      </w:r>
      <w:r w:rsidR="006A6E4E">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5042C4">
        <w:rPr>
          <w:rStyle w:val="AntwoordNaamMinisterChar"/>
        </w:rPr>
        <w:t>d</w:t>
      </w:r>
      <w:r w:rsidR="00E33DD8">
        <w:rPr>
          <w:rStyle w:val="AntwoordNaamMinisterChar"/>
        </w:rPr>
        <w:t xml:space="preserve">irk </w:t>
      </w:r>
      <w:r w:rsidR="005042C4">
        <w:rPr>
          <w:rStyle w:val="AntwoordNaamMinisterChar"/>
        </w:rPr>
        <w:t>v</w:t>
      </w:r>
      <w:r w:rsidR="00E33DD8">
        <w:rPr>
          <w:rStyle w:val="AntwoordNaamMinisterChar"/>
        </w:rPr>
        <w:t xml:space="preserve">an </w:t>
      </w:r>
      <w:r w:rsidR="005042C4">
        <w:rPr>
          <w:rStyle w:val="AntwoordNaamMinisterChar"/>
        </w:rPr>
        <w:t>m</w:t>
      </w:r>
      <w:r w:rsidR="00E33DD8">
        <w:rPr>
          <w:rStyle w:val="AntwoordNaamMinisterChar"/>
        </w:rPr>
        <w:t>echelen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F1FF0" w:rsidRDefault="00E33DD8" w:rsidP="000E7B6C">
      <w:pPr>
        <w:jc w:val="both"/>
      </w:pPr>
      <w:r>
        <w:lastRenderedPageBreak/>
        <w:t>Onderbenutting FFEU</w:t>
      </w:r>
      <w:r w:rsidR="001F0CF2">
        <w:t xml:space="preserve"> </w:t>
      </w:r>
      <w:r w:rsidR="007529A1">
        <w:t xml:space="preserve">voor  het jaar </w:t>
      </w:r>
      <w:r w:rsidR="001F0CF2">
        <w:t>2012</w:t>
      </w:r>
    </w:p>
    <w:p w:rsidR="00E33DD8" w:rsidRDefault="00E33DD8" w:rsidP="000E7B6C">
      <w:pPr>
        <w:jc w:val="both"/>
      </w:pPr>
    </w:p>
    <w:p w:rsidR="00E33DD8" w:rsidRDefault="00145C80" w:rsidP="000E7B6C">
      <w:pPr>
        <w:jc w:val="both"/>
      </w:pPr>
      <w:r>
        <w:t>De Vlaamse volksvertegenwoordiger vindt als bijlage</w:t>
      </w:r>
      <w:r w:rsidR="001637DE">
        <w:t xml:space="preserve"> een</w:t>
      </w:r>
      <w:r w:rsidR="00C22806">
        <w:t xml:space="preserve"> exhaustief</w:t>
      </w:r>
      <w:r w:rsidR="001637DE">
        <w:t xml:space="preserve"> overzicht van de oorzaken van </w:t>
      </w:r>
      <w:r w:rsidR="008250E1">
        <w:t>onderbenutting</w:t>
      </w:r>
      <w:r w:rsidR="001637DE">
        <w:t xml:space="preserve"> bij de FFEU-projecten.  De status van een project is gedefinieerd als het percentage van budgettaire uitvoering, met andere woorden </w:t>
      </w:r>
      <w:r w:rsidR="00392DD0">
        <w:t xml:space="preserve">als </w:t>
      </w:r>
      <w:r w:rsidR="00AE1829">
        <w:t>de</w:t>
      </w:r>
      <w:r w:rsidR="001637DE">
        <w:t xml:space="preserve"> verhouding van de </w:t>
      </w:r>
      <w:r w:rsidR="00392DD0">
        <w:t xml:space="preserve">tot 31 december 2012 </w:t>
      </w:r>
      <w:r w:rsidR="001637DE">
        <w:t xml:space="preserve">gecumuleerde uitgaven </w:t>
      </w:r>
      <w:r w:rsidR="00392DD0">
        <w:t xml:space="preserve">ten opzichte van het totaal aan </w:t>
      </w:r>
      <w:r w:rsidR="001637DE">
        <w:t xml:space="preserve"> toegekende middelen</w:t>
      </w:r>
      <w:r w:rsidR="00AE1829">
        <w:t xml:space="preserve"> voor dat project</w:t>
      </w:r>
      <w:r w:rsidR="001637DE">
        <w:t>.</w:t>
      </w:r>
    </w:p>
    <w:p w:rsidR="00BC01B8" w:rsidRDefault="00BC01B8" w:rsidP="000E7B6C">
      <w:pPr>
        <w:jc w:val="both"/>
      </w:pPr>
    </w:p>
    <w:p w:rsidR="00BC01B8" w:rsidRDefault="00BC01B8" w:rsidP="000E7B6C">
      <w:pPr>
        <w:jc w:val="both"/>
      </w:pPr>
      <w:r>
        <w:t>Onderbenutting CD Economisch Overheidsinstrumentarium</w:t>
      </w:r>
    </w:p>
    <w:p w:rsidR="00BC01B8" w:rsidRDefault="00BC01B8" w:rsidP="000E7B6C">
      <w:pPr>
        <w:jc w:val="both"/>
      </w:pPr>
    </w:p>
    <w:p w:rsidR="00BC01B8" w:rsidRDefault="00BC01B8" w:rsidP="00BC01B8">
      <w:pPr>
        <w:jc w:val="both"/>
        <w:rPr>
          <w:szCs w:val="22"/>
        </w:rPr>
      </w:pPr>
      <w:r>
        <w:rPr>
          <w:szCs w:val="22"/>
        </w:rPr>
        <w:t xml:space="preserve">Het programma CD Economisch Overheidsinstrumentarium bestaat hoofdzakelijk uit participaties. De verschillende participaties worden bij het beleidsdomein Financiën en Begroting gegroepeerd. Hieronder vindt de Vlaamse volksvertegenwoordiger een overzicht van de verschillende projecten met </w:t>
      </w:r>
      <w:proofErr w:type="spellStart"/>
      <w:r>
        <w:rPr>
          <w:szCs w:val="22"/>
        </w:rPr>
        <w:t>esr</w:t>
      </w:r>
      <w:proofErr w:type="spellEnd"/>
      <w:r>
        <w:rPr>
          <w:szCs w:val="22"/>
        </w:rPr>
        <w:t xml:space="preserve">-code 8 met hun </w:t>
      </w:r>
      <w:proofErr w:type="spellStart"/>
      <w:r>
        <w:rPr>
          <w:szCs w:val="22"/>
        </w:rPr>
        <w:t>budgetten</w:t>
      </w:r>
      <w:proofErr w:type="spellEnd"/>
      <w:r>
        <w:rPr>
          <w:szCs w:val="22"/>
        </w:rPr>
        <w:t xml:space="preserve"> en betalingen over de jaren 2010 tot en met 2012.</w:t>
      </w:r>
    </w:p>
    <w:p w:rsidR="00BC01B8" w:rsidRDefault="00BC01B8" w:rsidP="00BC01B8">
      <w:pPr>
        <w:jc w:val="both"/>
        <w:rPr>
          <w:szCs w:val="22"/>
        </w:rPr>
      </w:pPr>
    </w:p>
    <w:tbl>
      <w:tblPr>
        <w:tblW w:w="9469" w:type="dxa"/>
        <w:tblInd w:w="55" w:type="dxa"/>
        <w:tblCellMar>
          <w:left w:w="70" w:type="dxa"/>
          <w:right w:w="70" w:type="dxa"/>
        </w:tblCellMar>
        <w:tblLook w:val="04A0" w:firstRow="1" w:lastRow="0" w:firstColumn="1" w:lastColumn="0" w:noHBand="0" w:noVBand="1"/>
      </w:tblPr>
      <w:tblGrid>
        <w:gridCol w:w="3620"/>
        <w:gridCol w:w="898"/>
        <w:gridCol w:w="849"/>
        <w:gridCol w:w="1178"/>
        <w:gridCol w:w="849"/>
        <w:gridCol w:w="1333"/>
        <w:gridCol w:w="849"/>
      </w:tblGrid>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
        </w:tc>
        <w:tc>
          <w:tcPr>
            <w:tcW w:w="1640" w:type="dxa"/>
            <w:gridSpan w:val="2"/>
            <w:tcBorders>
              <w:top w:val="nil"/>
              <w:left w:val="nil"/>
              <w:bottom w:val="single" w:sz="4" w:space="0" w:color="auto"/>
              <w:right w:val="single" w:sz="4" w:space="0" w:color="000000"/>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2010</w:t>
            </w:r>
          </w:p>
        </w:tc>
        <w:tc>
          <w:tcPr>
            <w:tcW w:w="2027" w:type="dxa"/>
            <w:gridSpan w:val="2"/>
            <w:tcBorders>
              <w:top w:val="nil"/>
              <w:left w:val="nil"/>
              <w:bottom w:val="single" w:sz="4" w:space="0" w:color="auto"/>
              <w:right w:val="single" w:sz="4" w:space="0" w:color="000000"/>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2011</w:t>
            </w:r>
          </w:p>
        </w:tc>
        <w:tc>
          <w:tcPr>
            <w:tcW w:w="2182" w:type="dxa"/>
            <w:gridSpan w:val="2"/>
            <w:tcBorders>
              <w:top w:val="nil"/>
              <w:left w:val="nil"/>
              <w:bottom w:val="single" w:sz="4" w:space="0" w:color="auto"/>
              <w:right w:val="single" w:sz="4" w:space="0" w:color="000000"/>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2012</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
        </w:tc>
        <w:tc>
          <w:tcPr>
            <w:tcW w:w="898" w:type="dxa"/>
            <w:tcBorders>
              <w:top w:val="nil"/>
              <w:left w:val="nil"/>
              <w:bottom w:val="single" w:sz="4" w:space="0" w:color="auto"/>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budget</w:t>
            </w:r>
          </w:p>
        </w:tc>
        <w:tc>
          <w:tcPr>
            <w:tcW w:w="742" w:type="dxa"/>
            <w:tcBorders>
              <w:top w:val="nil"/>
              <w:left w:val="nil"/>
              <w:bottom w:val="single" w:sz="4" w:space="0" w:color="auto"/>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betaling</w:t>
            </w:r>
          </w:p>
        </w:tc>
        <w:tc>
          <w:tcPr>
            <w:tcW w:w="1178" w:type="dxa"/>
            <w:tcBorders>
              <w:top w:val="nil"/>
              <w:left w:val="nil"/>
              <w:bottom w:val="single" w:sz="4" w:space="0" w:color="auto"/>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budget</w:t>
            </w:r>
          </w:p>
        </w:tc>
        <w:tc>
          <w:tcPr>
            <w:tcW w:w="849" w:type="dxa"/>
            <w:tcBorders>
              <w:top w:val="nil"/>
              <w:left w:val="nil"/>
              <w:bottom w:val="single" w:sz="4" w:space="0" w:color="auto"/>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betaling</w:t>
            </w:r>
          </w:p>
        </w:tc>
        <w:tc>
          <w:tcPr>
            <w:tcW w:w="1333" w:type="dxa"/>
            <w:tcBorders>
              <w:top w:val="nil"/>
              <w:left w:val="single" w:sz="4" w:space="0" w:color="auto"/>
              <w:bottom w:val="single" w:sz="4" w:space="0" w:color="auto"/>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budget</w:t>
            </w:r>
          </w:p>
        </w:tc>
        <w:tc>
          <w:tcPr>
            <w:tcW w:w="849" w:type="dxa"/>
            <w:tcBorders>
              <w:top w:val="nil"/>
              <w:left w:val="nil"/>
              <w:bottom w:val="single" w:sz="4" w:space="0" w:color="auto"/>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betaling</w:t>
            </w:r>
          </w:p>
        </w:tc>
      </w:tr>
      <w:tr w:rsidR="00BC01B8" w:rsidRPr="00CC3F3F" w:rsidTr="009C07FD">
        <w:trPr>
          <w:trHeight w:val="300"/>
        </w:trPr>
        <w:tc>
          <w:tcPr>
            <w:tcW w:w="3620" w:type="dxa"/>
            <w:tcBorders>
              <w:top w:val="single" w:sz="4" w:space="0" w:color="auto"/>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TINA</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100</w:t>
            </w: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i/>
                <w:iCs/>
                <w:szCs w:val="22"/>
                <w:lang w:val="nl-BE" w:eastAsia="nl-BE"/>
              </w:rPr>
            </w:pPr>
            <w:r w:rsidRPr="00CC3F3F">
              <w:rPr>
                <w:i/>
                <w:iCs/>
                <w:szCs w:val="22"/>
                <w:lang w:val="nl-BE" w:eastAsia="nl-BE"/>
              </w:rPr>
              <w:t>50</w:t>
            </w:r>
          </w:p>
        </w:tc>
        <w:tc>
          <w:tcPr>
            <w:tcW w:w="1333" w:type="dxa"/>
            <w:tcBorders>
              <w:top w:val="nil"/>
              <w:left w:val="single" w:sz="4" w:space="0" w:color="auto"/>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TINA</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100</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i/>
                <w:iCs/>
                <w:szCs w:val="22"/>
                <w:lang w:val="nl-BE" w:eastAsia="nl-BE"/>
              </w:rPr>
            </w:pPr>
            <w:r w:rsidRPr="00CC3F3F">
              <w:rPr>
                <w:i/>
                <w:iCs/>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roofErr w:type="spellStart"/>
            <w:r w:rsidRPr="00CC3F3F">
              <w:rPr>
                <w:color w:val="000000"/>
                <w:szCs w:val="22"/>
                <w:lang w:val="nl-BE" w:eastAsia="nl-BE"/>
              </w:rPr>
              <w:t>Arkimedes</w:t>
            </w:r>
            <w:proofErr w:type="spellEnd"/>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100</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szCs w:val="22"/>
                <w:lang w:val="nl-BE" w:eastAsia="nl-BE"/>
              </w:rPr>
            </w:pPr>
            <w:r w:rsidRPr="00CC3F3F">
              <w:rPr>
                <w:szCs w:val="22"/>
                <w:lang w:val="nl-BE" w:eastAsia="nl-BE"/>
              </w:rPr>
              <w:t>30</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szCs w:val="22"/>
                <w:lang w:val="nl-BE" w:eastAsia="nl-BE"/>
              </w:rPr>
            </w:pPr>
            <w:r w:rsidRPr="00CC3F3F">
              <w:rPr>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VIA-</w:t>
            </w:r>
            <w:proofErr w:type="spellStart"/>
            <w:r w:rsidRPr="00CC3F3F">
              <w:rPr>
                <w:color w:val="000000"/>
                <w:szCs w:val="22"/>
                <w:lang w:val="nl-BE" w:eastAsia="nl-BE"/>
              </w:rPr>
              <w:t>invest</w:t>
            </w:r>
            <w:proofErr w:type="spellEnd"/>
            <w:r w:rsidRPr="00CC3F3F">
              <w:rPr>
                <w:color w:val="000000"/>
                <w:szCs w:val="22"/>
                <w:lang w:val="nl-BE" w:eastAsia="nl-BE"/>
              </w:rPr>
              <w:t xml:space="preserve"> (deel PMV)</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20,4</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5,1</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innovatie</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w:t>
            </w: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i/>
                <w:iCs/>
                <w:color w:val="FF0000"/>
                <w:szCs w:val="22"/>
                <w:lang w:val="nl-BE" w:eastAsia="nl-BE"/>
              </w:rPr>
            </w:pPr>
            <w:r w:rsidRPr="00CC3F3F">
              <w:rPr>
                <w:i/>
                <w:iCs/>
                <w:color w:val="FF0000"/>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xml:space="preserve">Kap verhoging VMH / </w:t>
            </w:r>
            <w:proofErr w:type="spellStart"/>
            <w:r w:rsidRPr="00CC3F3F">
              <w:rPr>
                <w:color w:val="000000"/>
                <w:szCs w:val="22"/>
                <w:lang w:val="nl-BE" w:eastAsia="nl-BE"/>
              </w:rPr>
              <w:t>Aquafin</w:t>
            </w:r>
            <w:proofErr w:type="spellEnd"/>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100</w:t>
            </w: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50</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12,5</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Vlaams Energiebedrijf</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200</w:t>
            </w: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szCs w:val="22"/>
                <w:lang w:val="nl-BE" w:eastAsia="nl-BE"/>
              </w:rPr>
            </w:pPr>
            <w:r w:rsidRPr="00CC3F3F">
              <w:rPr>
                <w:szCs w:val="22"/>
                <w:lang w:val="nl-BE" w:eastAsia="nl-BE"/>
              </w:rPr>
              <w:t>50</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PPS</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60</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i/>
                <w:iCs/>
                <w:color w:val="FF0000"/>
                <w:szCs w:val="22"/>
                <w:lang w:val="nl-BE" w:eastAsia="nl-BE"/>
              </w:rPr>
            </w:pPr>
            <w:r w:rsidRPr="00CC3F3F">
              <w:rPr>
                <w:i/>
                <w:iCs/>
                <w:color w:val="FF0000"/>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xml:space="preserve">NV </w:t>
            </w:r>
            <w:proofErr w:type="spellStart"/>
            <w:r w:rsidRPr="00CC3F3F">
              <w:rPr>
                <w:color w:val="000000"/>
                <w:szCs w:val="22"/>
                <w:lang w:val="nl-BE" w:eastAsia="nl-BE"/>
              </w:rPr>
              <w:t>Schoolinvest</w:t>
            </w:r>
            <w:proofErr w:type="spellEnd"/>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1,25</w:t>
            </w: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VIA-</w:t>
            </w:r>
            <w:proofErr w:type="spellStart"/>
            <w:r w:rsidRPr="00CC3F3F">
              <w:rPr>
                <w:color w:val="000000"/>
                <w:szCs w:val="22"/>
                <w:lang w:val="nl-BE" w:eastAsia="nl-BE"/>
              </w:rPr>
              <w:t>invest</w:t>
            </w:r>
            <w:proofErr w:type="spellEnd"/>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19,6</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4,9</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Budget 2012</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150</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rPr>
                <w:color w:val="000000"/>
                <w:szCs w:val="22"/>
                <w:lang w:val="nl-BE" w:eastAsia="nl-BE"/>
              </w:rPr>
            </w:pPr>
            <w:r w:rsidRPr="00CC3F3F">
              <w:rPr>
                <w:color w:val="000000"/>
                <w:szCs w:val="22"/>
                <w:lang w:val="nl-BE" w:eastAsia="nl-BE"/>
              </w:rPr>
              <w:t> </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roofErr w:type="spellStart"/>
            <w:r w:rsidRPr="00CC3F3F">
              <w:rPr>
                <w:color w:val="000000"/>
                <w:szCs w:val="22"/>
                <w:lang w:val="nl-BE" w:eastAsia="nl-BE"/>
              </w:rPr>
              <w:t>Diestsepoort</w:t>
            </w:r>
            <w:proofErr w:type="spellEnd"/>
            <w:r w:rsidRPr="00CC3F3F">
              <w:rPr>
                <w:color w:val="000000"/>
                <w:szCs w:val="22"/>
                <w:lang w:val="nl-BE" w:eastAsia="nl-BE"/>
              </w:rPr>
              <w:t xml:space="preserve"> </w:t>
            </w:r>
          </w:p>
        </w:tc>
        <w:tc>
          <w:tcPr>
            <w:tcW w:w="89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742"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szCs w:val="22"/>
                <w:lang w:val="nl-BE" w:eastAsia="nl-BE"/>
              </w:rPr>
            </w:pPr>
            <w:r w:rsidRPr="00CC3F3F">
              <w:rPr>
                <w:szCs w:val="22"/>
                <w:lang w:val="nl-BE" w:eastAsia="nl-BE"/>
              </w:rPr>
              <w:t> </w:t>
            </w:r>
          </w:p>
        </w:tc>
        <w:tc>
          <w:tcPr>
            <w:tcW w:w="1178"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szCs w:val="22"/>
                <w:lang w:val="nl-BE" w:eastAsia="nl-BE"/>
              </w:rPr>
            </w:pPr>
            <w:r w:rsidRPr="00CC3F3F">
              <w:rPr>
                <w:szCs w:val="22"/>
                <w:lang w:val="nl-BE" w:eastAsia="nl-BE"/>
              </w:rPr>
              <w:t> </w:t>
            </w:r>
          </w:p>
        </w:tc>
        <w:tc>
          <w:tcPr>
            <w:tcW w:w="1333" w:type="dxa"/>
            <w:tcBorders>
              <w:top w:val="nil"/>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 </w:t>
            </w:r>
          </w:p>
        </w:tc>
        <w:tc>
          <w:tcPr>
            <w:tcW w:w="849" w:type="dxa"/>
            <w:tcBorders>
              <w:top w:val="nil"/>
              <w:left w:val="nil"/>
              <w:bottom w:val="nil"/>
              <w:right w:val="single" w:sz="4" w:space="0" w:color="auto"/>
            </w:tcBorders>
            <w:shd w:val="clear" w:color="auto" w:fill="auto"/>
            <w:noWrap/>
            <w:vAlign w:val="bottom"/>
            <w:hideMark/>
          </w:tcPr>
          <w:p w:rsidR="00BC01B8" w:rsidRPr="00CC3F3F" w:rsidRDefault="00BC01B8" w:rsidP="009C07FD">
            <w:pPr>
              <w:jc w:val="center"/>
              <w:rPr>
                <w:i/>
                <w:iCs/>
                <w:szCs w:val="22"/>
                <w:lang w:val="nl-BE" w:eastAsia="nl-BE"/>
              </w:rPr>
            </w:pPr>
            <w:r w:rsidRPr="00CC3F3F">
              <w:rPr>
                <w:i/>
                <w:iCs/>
                <w:szCs w:val="22"/>
                <w:lang w:val="nl-BE" w:eastAsia="nl-BE"/>
              </w:rPr>
              <w:t>18,38</w:t>
            </w:r>
          </w:p>
        </w:tc>
      </w:tr>
      <w:tr w:rsidR="00BC01B8" w:rsidRPr="00CC3F3F" w:rsidTr="009C07FD">
        <w:trPr>
          <w:trHeight w:val="315"/>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
        </w:tc>
        <w:tc>
          <w:tcPr>
            <w:tcW w:w="898" w:type="dxa"/>
            <w:tcBorders>
              <w:top w:val="double" w:sz="6" w:space="0" w:color="auto"/>
              <w:left w:val="nil"/>
              <w:bottom w:val="nil"/>
              <w:right w:val="nil"/>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421,25</w:t>
            </w:r>
          </w:p>
        </w:tc>
        <w:tc>
          <w:tcPr>
            <w:tcW w:w="742" w:type="dxa"/>
            <w:tcBorders>
              <w:top w:val="double" w:sz="6" w:space="0" w:color="auto"/>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50</w:t>
            </w:r>
          </w:p>
        </w:tc>
        <w:tc>
          <w:tcPr>
            <w:tcW w:w="1178" w:type="dxa"/>
            <w:tcBorders>
              <w:top w:val="double" w:sz="6" w:space="0" w:color="auto"/>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300</w:t>
            </w:r>
          </w:p>
        </w:tc>
        <w:tc>
          <w:tcPr>
            <w:tcW w:w="849" w:type="dxa"/>
            <w:tcBorders>
              <w:top w:val="double" w:sz="6" w:space="0" w:color="auto"/>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102,5</w:t>
            </w:r>
          </w:p>
        </w:tc>
        <w:tc>
          <w:tcPr>
            <w:tcW w:w="1333" w:type="dxa"/>
            <w:tcBorders>
              <w:top w:val="double" w:sz="6" w:space="0" w:color="auto"/>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Pr>
                <w:color w:val="000000"/>
                <w:szCs w:val="22"/>
                <w:lang w:val="nl-BE" w:eastAsia="nl-BE"/>
              </w:rPr>
              <w:t>150</w:t>
            </w:r>
          </w:p>
        </w:tc>
        <w:tc>
          <w:tcPr>
            <w:tcW w:w="849" w:type="dxa"/>
            <w:tcBorders>
              <w:top w:val="double" w:sz="6" w:space="0" w:color="auto"/>
              <w:left w:val="nil"/>
              <w:bottom w:val="nil"/>
              <w:right w:val="single" w:sz="4" w:space="0" w:color="auto"/>
            </w:tcBorders>
            <w:shd w:val="clear" w:color="auto" w:fill="auto"/>
            <w:noWrap/>
            <w:vAlign w:val="bottom"/>
            <w:hideMark/>
          </w:tcPr>
          <w:p w:rsidR="00BC01B8" w:rsidRPr="00CC3F3F" w:rsidRDefault="00BC01B8" w:rsidP="009C07FD">
            <w:pPr>
              <w:jc w:val="center"/>
              <w:rPr>
                <w:color w:val="000000"/>
                <w:szCs w:val="22"/>
                <w:lang w:val="nl-BE" w:eastAsia="nl-BE"/>
              </w:rPr>
            </w:pPr>
            <w:r w:rsidRPr="00CC3F3F">
              <w:rPr>
                <w:color w:val="000000"/>
                <w:szCs w:val="22"/>
                <w:lang w:val="nl-BE" w:eastAsia="nl-BE"/>
              </w:rPr>
              <w:t>68,38</w:t>
            </w:r>
          </w:p>
        </w:tc>
      </w:tr>
      <w:tr w:rsidR="00BC01B8" w:rsidRPr="00CC3F3F" w:rsidTr="009C07FD">
        <w:trPr>
          <w:trHeight w:val="300"/>
        </w:trPr>
        <w:tc>
          <w:tcPr>
            <w:tcW w:w="3620"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
        </w:tc>
        <w:tc>
          <w:tcPr>
            <w:tcW w:w="898" w:type="dxa"/>
            <w:tcBorders>
              <w:top w:val="nil"/>
              <w:left w:val="nil"/>
              <w:bottom w:val="nil"/>
              <w:right w:val="nil"/>
            </w:tcBorders>
            <w:shd w:val="clear" w:color="auto" w:fill="auto"/>
            <w:noWrap/>
            <w:vAlign w:val="bottom"/>
          </w:tcPr>
          <w:p w:rsidR="00BC01B8" w:rsidRPr="00CC3F3F" w:rsidRDefault="00BC01B8" w:rsidP="009C07FD">
            <w:pPr>
              <w:jc w:val="right"/>
              <w:rPr>
                <w:color w:val="000000"/>
                <w:szCs w:val="22"/>
                <w:lang w:val="nl-BE" w:eastAsia="nl-BE"/>
              </w:rPr>
            </w:pPr>
          </w:p>
        </w:tc>
        <w:tc>
          <w:tcPr>
            <w:tcW w:w="742" w:type="dxa"/>
            <w:tcBorders>
              <w:top w:val="nil"/>
              <w:left w:val="nil"/>
              <w:bottom w:val="nil"/>
              <w:right w:val="nil"/>
            </w:tcBorders>
            <w:shd w:val="clear" w:color="auto" w:fill="auto"/>
            <w:noWrap/>
            <w:vAlign w:val="bottom"/>
          </w:tcPr>
          <w:p w:rsidR="00BC01B8" w:rsidRPr="00CC3F3F" w:rsidRDefault="00BC01B8" w:rsidP="009C07FD">
            <w:pPr>
              <w:rPr>
                <w:color w:val="000000"/>
                <w:szCs w:val="22"/>
                <w:lang w:val="nl-BE" w:eastAsia="nl-BE"/>
              </w:rPr>
            </w:pPr>
          </w:p>
        </w:tc>
        <w:tc>
          <w:tcPr>
            <w:tcW w:w="1178" w:type="dxa"/>
            <w:tcBorders>
              <w:top w:val="nil"/>
              <w:left w:val="nil"/>
              <w:bottom w:val="nil"/>
              <w:right w:val="nil"/>
            </w:tcBorders>
            <w:shd w:val="clear" w:color="auto" w:fill="auto"/>
            <w:noWrap/>
            <w:vAlign w:val="bottom"/>
          </w:tcPr>
          <w:p w:rsidR="00BC01B8" w:rsidRPr="00CC3F3F" w:rsidRDefault="00BC01B8" w:rsidP="009C07FD">
            <w:pPr>
              <w:jc w:val="right"/>
              <w:rPr>
                <w:color w:val="000000"/>
                <w:szCs w:val="22"/>
                <w:lang w:val="nl-BE" w:eastAsia="nl-BE"/>
              </w:rPr>
            </w:pPr>
          </w:p>
        </w:tc>
        <w:tc>
          <w:tcPr>
            <w:tcW w:w="849" w:type="dxa"/>
            <w:tcBorders>
              <w:top w:val="nil"/>
              <w:left w:val="nil"/>
              <w:bottom w:val="nil"/>
              <w:right w:val="nil"/>
            </w:tcBorders>
            <w:shd w:val="clear" w:color="auto" w:fill="auto"/>
            <w:noWrap/>
            <w:vAlign w:val="bottom"/>
          </w:tcPr>
          <w:p w:rsidR="00BC01B8" w:rsidRPr="00CC3F3F" w:rsidRDefault="00BC01B8" w:rsidP="009C07FD">
            <w:pPr>
              <w:rPr>
                <w:color w:val="000000"/>
                <w:szCs w:val="22"/>
                <w:lang w:val="nl-BE" w:eastAsia="nl-BE"/>
              </w:rPr>
            </w:pPr>
          </w:p>
        </w:tc>
        <w:tc>
          <w:tcPr>
            <w:tcW w:w="1333" w:type="dxa"/>
            <w:tcBorders>
              <w:top w:val="nil"/>
              <w:left w:val="nil"/>
              <w:bottom w:val="nil"/>
              <w:right w:val="nil"/>
            </w:tcBorders>
            <w:shd w:val="clear" w:color="auto" w:fill="auto"/>
            <w:noWrap/>
            <w:vAlign w:val="bottom"/>
          </w:tcPr>
          <w:p w:rsidR="00BC01B8" w:rsidRPr="00CC3F3F" w:rsidRDefault="00BC01B8" w:rsidP="009C07FD">
            <w:pPr>
              <w:jc w:val="right"/>
              <w:rPr>
                <w:color w:val="000000"/>
                <w:szCs w:val="22"/>
                <w:lang w:val="nl-BE" w:eastAsia="nl-BE"/>
              </w:rPr>
            </w:pPr>
          </w:p>
        </w:tc>
        <w:tc>
          <w:tcPr>
            <w:tcW w:w="849" w:type="dxa"/>
            <w:tcBorders>
              <w:top w:val="nil"/>
              <w:left w:val="nil"/>
              <w:bottom w:val="nil"/>
              <w:right w:val="nil"/>
            </w:tcBorders>
            <w:shd w:val="clear" w:color="auto" w:fill="auto"/>
            <w:noWrap/>
            <w:vAlign w:val="bottom"/>
            <w:hideMark/>
          </w:tcPr>
          <w:p w:rsidR="00BC01B8" w:rsidRPr="00CC3F3F" w:rsidRDefault="00BC01B8" w:rsidP="009C07FD">
            <w:pPr>
              <w:rPr>
                <w:color w:val="000000"/>
                <w:szCs w:val="22"/>
                <w:lang w:val="nl-BE" w:eastAsia="nl-BE"/>
              </w:rPr>
            </w:pPr>
          </w:p>
        </w:tc>
      </w:tr>
    </w:tbl>
    <w:p w:rsidR="00BC01B8" w:rsidRDefault="00BC01B8" w:rsidP="00BC01B8">
      <w:pPr>
        <w:jc w:val="both"/>
        <w:rPr>
          <w:szCs w:val="22"/>
        </w:rPr>
      </w:pPr>
    </w:p>
    <w:p w:rsidR="00BC01B8" w:rsidRDefault="00BC01B8" w:rsidP="00BC01B8">
      <w:pPr>
        <w:jc w:val="both"/>
      </w:pPr>
      <w:r>
        <w:rPr>
          <w:szCs w:val="22"/>
        </w:rPr>
        <w:t xml:space="preserve">De vertraging in de uitvoering van de verschillende kapitaalsparticipaties is te wijten aan verschillende factoren. </w:t>
      </w:r>
      <w:r>
        <w:t>Sommige van de dossiers werden nog niet beslissingsrijp gevonden voor agendering op de Vlaamse Regering. Door de strengere Europese normen voor participaties is er op voorhand een grondige screening of het voorziene project zal voldoen aan de Europese kwalificatievereisten van een ESR 8-uitgave. Daarnaast hebben sommige investeringen een lange doorlooptijd en worden deze pas uitbetaald in functie van de realisaties en de behoefte aan financieringsmiddelen.</w:t>
      </w:r>
    </w:p>
    <w:p w:rsidR="00BC01B8" w:rsidRDefault="00BC01B8" w:rsidP="00BC01B8">
      <w:pPr>
        <w:jc w:val="both"/>
      </w:pPr>
    </w:p>
    <w:p w:rsidR="00BC01B8" w:rsidRDefault="00BC01B8" w:rsidP="00BC01B8">
      <w:pPr>
        <w:jc w:val="both"/>
      </w:pPr>
      <w:r>
        <w:t>Voor de vertraging bij de MOW-projecten (Via-</w:t>
      </w:r>
      <w:proofErr w:type="spellStart"/>
      <w:r>
        <w:t>invest</w:t>
      </w:r>
      <w:proofErr w:type="spellEnd"/>
      <w:r>
        <w:t xml:space="preserve">, </w:t>
      </w:r>
      <w:proofErr w:type="spellStart"/>
      <w:r>
        <w:t>Lijninvest</w:t>
      </w:r>
      <w:proofErr w:type="spellEnd"/>
      <w:r>
        <w:t xml:space="preserve"> en Vlaamse Havens) verwijs ik naar de commissie Mobiliteit en Openbare werken waar de jaarlijkse rapportering MOW inzake alternatieve financiering werd besproken. </w:t>
      </w:r>
    </w:p>
    <w:p w:rsidR="00BC01B8" w:rsidRDefault="00BC01B8" w:rsidP="00BC01B8">
      <w:pPr>
        <w:jc w:val="both"/>
      </w:pPr>
    </w:p>
    <w:p w:rsidR="00BC01B8" w:rsidRDefault="00BC01B8" w:rsidP="00BC01B8">
      <w:pPr>
        <w:jc w:val="both"/>
      </w:pPr>
      <w:r>
        <w:t xml:space="preserve">Voor PMV (Tina, </w:t>
      </w:r>
      <w:proofErr w:type="spellStart"/>
      <w:r>
        <w:t>Arkimedes</w:t>
      </w:r>
      <w:proofErr w:type="spellEnd"/>
      <w:r>
        <w:t>, Via-</w:t>
      </w:r>
      <w:proofErr w:type="spellStart"/>
      <w:r>
        <w:t>invest</w:t>
      </w:r>
      <w:proofErr w:type="spellEnd"/>
      <w:r>
        <w:t xml:space="preserve">) zijn de verdere betalingen van de gebudgetteerde middelen voorzien in de loop van 2013 tot en met 2016. </w:t>
      </w:r>
    </w:p>
    <w:p w:rsidR="005042C4" w:rsidRDefault="005042C4" w:rsidP="000E7B6C">
      <w:pPr>
        <w:jc w:val="both"/>
      </w:pPr>
    </w:p>
    <w:p w:rsidR="006A6E4E" w:rsidRDefault="006A6E4E" w:rsidP="000E7B6C">
      <w:pPr>
        <w:jc w:val="both"/>
      </w:pPr>
    </w:p>
    <w:p w:rsidR="005042C4" w:rsidRDefault="005042C4" w:rsidP="000E7B6C">
      <w:pPr>
        <w:jc w:val="both"/>
        <w:rPr>
          <w:b/>
          <w:smallCaps/>
          <w:color w:val="FF0000"/>
          <w:u w:val="single"/>
        </w:rPr>
      </w:pPr>
      <w:r w:rsidRPr="005042C4">
        <w:rPr>
          <w:b/>
          <w:smallCaps/>
          <w:color w:val="FF0000"/>
          <w:u w:val="single"/>
        </w:rPr>
        <w:t>bijlage</w:t>
      </w:r>
    </w:p>
    <w:p w:rsidR="005042C4" w:rsidRPr="006A6E4E" w:rsidRDefault="005042C4" w:rsidP="000E7B6C">
      <w:pPr>
        <w:jc w:val="both"/>
        <w:rPr>
          <w:b/>
          <w:smallCaps/>
          <w:u w:val="single"/>
        </w:rPr>
      </w:pPr>
    </w:p>
    <w:p w:rsidR="005042C4" w:rsidRPr="005042C4" w:rsidRDefault="005042C4" w:rsidP="005042C4">
      <w:pPr>
        <w:ind w:left="426" w:hanging="426"/>
        <w:jc w:val="both"/>
      </w:pPr>
      <w:r>
        <w:t>Overzicht oorzaken onder</w:t>
      </w:r>
      <w:r w:rsidR="006A6E4E">
        <w:t>benutting bij de FFEU-projecten</w:t>
      </w:r>
      <w:bookmarkStart w:id="6" w:name="_GoBack"/>
      <w:bookmarkEnd w:id="6"/>
    </w:p>
    <w:sectPr w:rsidR="005042C4" w:rsidRPr="005042C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85" w:rsidRDefault="00100F85">
      <w:r>
        <w:separator/>
      </w:r>
    </w:p>
  </w:endnote>
  <w:endnote w:type="continuationSeparator" w:id="0">
    <w:p w:rsidR="00100F85" w:rsidRDefault="0010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85" w:rsidRDefault="00100F85">
      <w:r>
        <w:separator/>
      </w:r>
    </w:p>
  </w:footnote>
  <w:footnote w:type="continuationSeparator" w:id="0">
    <w:p w:rsidR="00100F85" w:rsidRDefault="0010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2340B"/>
    <w:rsid w:val="00042574"/>
    <w:rsid w:val="00060CAF"/>
    <w:rsid w:val="000704E0"/>
    <w:rsid w:val="00077CB6"/>
    <w:rsid w:val="00092E90"/>
    <w:rsid w:val="000976E9"/>
    <w:rsid w:val="000C2BF2"/>
    <w:rsid w:val="000C4E8C"/>
    <w:rsid w:val="000E0169"/>
    <w:rsid w:val="000E6FDF"/>
    <w:rsid w:val="000E7B6C"/>
    <w:rsid w:val="000F3532"/>
    <w:rsid w:val="000F457E"/>
    <w:rsid w:val="00100F85"/>
    <w:rsid w:val="00113D30"/>
    <w:rsid w:val="00115A86"/>
    <w:rsid w:val="00117812"/>
    <w:rsid w:val="00123221"/>
    <w:rsid w:val="00142290"/>
    <w:rsid w:val="00145C80"/>
    <w:rsid w:val="00162ED2"/>
    <w:rsid w:val="001637DE"/>
    <w:rsid w:val="00175898"/>
    <w:rsid w:val="0018437F"/>
    <w:rsid w:val="001C385B"/>
    <w:rsid w:val="001C6D2A"/>
    <w:rsid w:val="001C767D"/>
    <w:rsid w:val="001F0CF2"/>
    <w:rsid w:val="00210C07"/>
    <w:rsid w:val="002200AB"/>
    <w:rsid w:val="002268AA"/>
    <w:rsid w:val="00226CB5"/>
    <w:rsid w:val="0029398C"/>
    <w:rsid w:val="002A7BA2"/>
    <w:rsid w:val="002B5D7E"/>
    <w:rsid w:val="002C5F33"/>
    <w:rsid w:val="0031095D"/>
    <w:rsid w:val="00326A58"/>
    <w:rsid w:val="003568BA"/>
    <w:rsid w:val="00357979"/>
    <w:rsid w:val="00365143"/>
    <w:rsid w:val="003750AC"/>
    <w:rsid w:val="00392DD0"/>
    <w:rsid w:val="003C33C2"/>
    <w:rsid w:val="003D4A9C"/>
    <w:rsid w:val="00414B2D"/>
    <w:rsid w:val="00432AB7"/>
    <w:rsid w:val="00436455"/>
    <w:rsid w:val="00457E62"/>
    <w:rsid w:val="004809DA"/>
    <w:rsid w:val="004859AB"/>
    <w:rsid w:val="004B2A99"/>
    <w:rsid w:val="004C133F"/>
    <w:rsid w:val="004C1A8D"/>
    <w:rsid w:val="004D7536"/>
    <w:rsid w:val="004E548B"/>
    <w:rsid w:val="004F6C81"/>
    <w:rsid w:val="005042C4"/>
    <w:rsid w:val="0051455A"/>
    <w:rsid w:val="00542EC1"/>
    <w:rsid w:val="00586236"/>
    <w:rsid w:val="00593EEB"/>
    <w:rsid w:val="005B50D5"/>
    <w:rsid w:val="005B757C"/>
    <w:rsid w:val="005D17E7"/>
    <w:rsid w:val="005E38CA"/>
    <w:rsid w:val="005F3B71"/>
    <w:rsid w:val="00601D11"/>
    <w:rsid w:val="006021A3"/>
    <w:rsid w:val="006114D8"/>
    <w:rsid w:val="00613AA2"/>
    <w:rsid w:val="006260E2"/>
    <w:rsid w:val="006A5636"/>
    <w:rsid w:val="006A5864"/>
    <w:rsid w:val="006A6E4E"/>
    <w:rsid w:val="006B7E6F"/>
    <w:rsid w:val="006C5EEB"/>
    <w:rsid w:val="006E0A01"/>
    <w:rsid w:val="006E2F76"/>
    <w:rsid w:val="007103D2"/>
    <w:rsid w:val="0071248C"/>
    <w:rsid w:val="007252C7"/>
    <w:rsid w:val="00747203"/>
    <w:rsid w:val="007529A1"/>
    <w:rsid w:val="00776442"/>
    <w:rsid w:val="0078256A"/>
    <w:rsid w:val="007927A3"/>
    <w:rsid w:val="007B21BB"/>
    <w:rsid w:val="007C7B7A"/>
    <w:rsid w:val="007D0E2A"/>
    <w:rsid w:val="007D2CE5"/>
    <w:rsid w:val="007D3128"/>
    <w:rsid w:val="00803804"/>
    <w:rsid w:val="00806962"/>
    <w:rsid w:val="008112DC"/>
    <w:rsid w:val="008241FD"/>
    <w:rsid w:val="00824514"/>
    <w:rsid w:val="008250E1"/>
    <w:rsid w:val="00826146"/>
    <w:rsid w:val="00834D15"/>
    <w:rsid w:val="00851FDB"/>
    <w:rsid w:val="00873C65"/>
    <w:rsid w:val="0088734A"/>
    <w:rsid w:val="008D5DB4"/>
    <w:rsid w:val="009058B7"/>
    <w:rsid w:val="00924130"/>
    <w:rsid w:val="00927D62"/>
    <w:rsid w:val="00941C06"/>
    <w:rsid w:val="00944B1F"/>
    <w:rsid w:val="00947E8A"/>
    <w:rsid w:val="00953DDC"/>
    <w:rsid w:val="00954DC8"/>
    <w:rsid w:val="009663B8"/>
    <w:rsid w:val="00990DDA"/>
    <w:rsid w:val="0099419F"/>
    <w:rsid w:val="00995BF9"/>
    <w:rsid w:val="009B0541"/>
    <w:rsid w:val="009C2AA0"/>
    <w:rsid w:val="009D6AD7"/>
    <w:rsid w:val="009D7043"/>
    <w:rsid w:val="009D763F"/>
    <w:rsid w:val="009F53E3"/>
    <w:rsid w:val="009F5B1B"/>
    <w:rsid w:val="009F5FD8"/>
    <w:rsid w:val="00A075B3"/>
    <w:rsid w:val="00A10835"/>
    <w:rsid w:val="00A21360"/>
    <w:rsid w:val="00A539B7"/>
    <w:rsid w:val="00A737E8"/>
    <w:rsid w:val="00A81356"/>
    <w:rsid w:val="00A9424B"/>
    <w:rsid w:val="00A947B3"/>
    <w:rsid w:val="00AC572C"/>
    <w:rsid w:val="00AD6E12"/>
    <w:rsid w:val="00AE1829"/>
    <w:rsid w:val="00AE58C0"/>
    <w:rsid w:val="00AE63FA"/>
    <w:rsid w:val="00AF1FF0"/>
    <w:rsid w:val="00B05DD7"/>
    <w:rsid w:val="00B13E54"/>
    <w:rsid w:val="00B233AB"/>
    <w:rsid w:val="00B417DF"/>
    <w:rsid w:val="00B45EB2"/>
    <w:rsid w:val="00B51A62"/>
    <w:rsid w:val="00B523F1"/>
    <w:rsid w:val="00B65213"/>
    <w:rsid w:val="00B65D8D"/>
    <w:rsid w:val="00BA4671"/>
    <w:rsid w:val="00BC01B8"/>
    <w:rsid w:val="00BC4515"/>
    <w:rsid w:val="00BE425A"/>
    <w:rsid w:val="00C12557"/>
    <w:rsid w:val="00C16D61"/>
    <w:rsid w:val="00C22806"/>
    <w:rsid w:val="00C23819"/>
    <w:rsid w:val="00C517EF"/>
    <w:rsid w:val="00C51D62"/>
    <w:rsid w:val="00C83DE3"/>
    <w:rsid w:val="00C93043"/>
    <w:rsid w:val="00C94C4A"/>
    <w:rsid w:val="00CA45DB"/>
    <w:rsid w:val="00CE1D4A"/>
    <w:rsid w:val="00CE6203"/>
    <w:rsid w:val="00CF525E"/>
    <w:rsid w:val="00CF6877"/>
    <w:rsid w:val="00D03C03"/>
    <w:rsid w:val="00D06C22"/>
    <w:rsid w:val="00D13702"/>
    <w:rsid w:val="00D20DEB"/>
    <w:rsid w:val="00D30EAF"/>
    <w:rsid w:val="00D41ABB"/>
    <w:rsid w:val="00D65ABD"/>
    <w:rsid w:val="00D71D99"/>
    <w:rsid w:val="00D754F2"/>
    <w:rsid w:val="00D84C17"/>
    <w:rsid w:val="00D861C5"/>
    <w:rsid w:val="00DA59E3"/>
    <w:rsid w:val="00DB41C0"/>
    <w:rsid w:val="00DB6963"/>
    <w:rsid w:val="00DC32B0"/>
    <w:rsid w:val="00DC4DB6"/>
    <w:rsid w:val="00DF25FE"/>
    <w:rsid w:val="00E13862"/>
    <w:rsid w:val="00E33DD8"/>
    <w:rsid w:val="00E55200"/>
    <w:rsid w:val="00E663EC"/>
    <w:rsid w:val="00E863F5"/>
    <w:rsid w:val="00EA0884"/>
    <w:rsid w:val="00EB1AA4"/>
    <w:rsid w:val="00EE566C"/>
    <w:rsid w:val="00F41B70"/>
    <w:rsid w:val="00F50C62"/>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character" w:styleId="Hyperlink">
    <w:name w:val="Hyperlink"/>
    <w:uiPriority w:val="99"/>
    <w:unhideWhenUsed/>
    <w:rsid w:val="00A539B7"/>
    <w:rPr>
      <w:color w:val="0000FF"/>
      <w:u w:val="single"/>
    </w:rPr>
  </w:style>
  <w:style w:type="paragraph" w:styleId="Lijstalinea">
    <w:name w:val="List Paragraph"/>
    <w:basedOn w:val="Standaard"/>
    <w:uiPriority w:val="34"/>
    <w:qFormat/>
    <w:rsid w:val="00504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character" w:styleId="Hyperlink">
    <w:name w:val="Hyperlink"/>
    <w:uiPriority w:val="99"/>
    <w:unhideWhenUsed/>
    <w:rsid w:val="00A539B7"/>
    <w:rPr>
      <w:color w:val="0000FF"/>
      <w:u w:val="single"/>
    </w:rPr>
  </w:style>
  <w:style w:type="paragraph" w:styleId="Lijstalinea">
    <w:name w:val="List Paragraph"/>
    <w:basedOn w:val="Standaard"/>
    <w:uiPriority w:val="34"/>
    <w:qFormat/>
    <w:rsid w:val="0050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9215">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333</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2013-04-19T09:27:00Z</cp:lastPrinted>
  <dcterms:created xsi:type="dcterms:W3CDTF">2014-02-13T10:24:00Z</dcterms:created>
  <dcterms:modified xsi:type="dcterms:W3CDTF">2014-02-24T08:50:00Z</dcterms:modified>
</cp:coreProperties>
</file>