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274" w:rsidRPr="003234C3" w:rsidRDefault="00E92274" w:rsidP="00E92274">
      <w:pPr>
        <w:jc w:val="both"/>
        <w:outlineLvl w:val="0"/>
        <w:rPr>
          <w:rFonts w:ascii="Times New Roman Vet" w:hAnsi="Times New Roman Vet"/>
          <w:b/>
          <w:smallCaps/>
          <w:sz w:val="22"/>
          <w:szCs w:val="22"/>
          <w:lang w:val="nl-BE"/>
        </w:rPr>
      </w:pPr>
      <w:r w:rsidRPr="003234C3">
        <w:rPr>
          <w:rFonts w:ascii="Times New Roman Vet" w:hAnsi="Times New Roman Vet"/>
          <w:b/>
          <w:smallCaps/>
          <w:sz w:val="22"/>
          <w:szCs w:val="22"/>
          <w:lang w:val="nl-BE"/>
        </w:rPr>
        <w:t xml:space="preserve">kris </w:t>
      </w:r>
      <w:proofErr w:type="spellStart"/>
      <w:r w:rsidRPr="003234C3">
        <w:rPr>
          <w:rFonts w:ascii="Times New Roman Vet" w:hAnsi="Times New Roman Vet"/>
          <w:b/>
          <w:smallCaps/>
          <w:sz w:val="22"/>
          <w:szCs w:val="22"/>
          <w:lang w:val="nl-BE"/>
        </w:rPr>
        <w:t>peeters</w:t>
      </w:r>
      <w:proofErr w:type="spellEnd"/>
    </w:p>
    <w:p w:rsidR="00E92274" w:rsidRPr="003234C3" w:rsidRDefault="00E92274" w:rsidP="00E92274">
      <w:pPr>
        <w:jc w:val="both"/>
        <w:rPr>
          <w:smallCaps/>
          <w:sz w:val="22"/>
          <w:szCs w:val="22"/>
          <w:lang w:val="nl-BE"/>
        </w:rPr>
      </w:pPr>
      <w:r w:rsidRPr="003234C3">
        <w:rPr>
          <w:smallCaps/>
          <w:sz w:val="22"/>
          <w:szCs w:val="22"/>
          <w:lang w:val="nl-BE"/>
        </w:rPr>
        <w:t xml:space="preserve">minister-president van de </w:t>
      </w:r>
      <w:proofErr w:type="spellStart"/>
      <w:r w:rsidRPr="003234C3">
        <w:rPr>
          <w:smallCaps/>
          <w:sz w:val="22"/>
          <w:szCs w:val="22"/>
          <w:lang w:val="nl-BE"/>
        </w:rPr>
        <w:t>vlaamse</w:t>
      </w:r>
      <w:proofErr w:type="spellEnd"/>
      <w:r w:rsidRPr="003234C3">
        <w:rPr>
          <w:smallCaps/>
          <w:sz w:val="22"/>
          <w:szCs w:val="22"/>
          <w:lang w:val="nl-BE"/>
        </w:rPr>
        <w:t xml:space="preserve"> regering, </w:t>
      </w:r>
      <w:proofErr w:type="spellStart"/>
      <w:r w:rsidRPr="003234C3">
        <w:rPr>
          <w:smallCaps/>
          <w:sz w:val="22"/>
          <w:szCs w:val="22"/>
          <w:lang w:val="nl-BE"/>
        </w:rPr>
        <w:t>vlaams</w:t>
      </w:r>
      <w:proofErr w:type="spellEnd"/>
      <w:r w:rsidRPr="003234C3">
        <w:rPr>
          <w:smallCaps/>
          <w:sz w:val="22"/>
          <w:szCs w:val="22"/>
          <w:lang w:val="nl-BE"/>
        </w:rPr>
        <w:t xml:space="preserve"> minister van economie, buitenlands beleid, landbouw en plattelandsbeleid</w:t>
      </w:r>
    </w:p>
    <w:p w:rsidR="00E92274" w:rsidRPr="003234C3" w:rsidRDefault="00E92274" w:rsidP="00E92274">
      <w:pPr>
        <w:pStyle w:val="StandaardSV"/>
        <w:pBdr>
          <w:bottom w:val="single" w:sz="4" w:space="1" w:color="auto"/>
        </w:pBdr>
        <w:rPr>
          <w:lang w:val="nl-BE"/>
        </w:rPr>
      </w:pPr>
    </w:p>
    <w:p w:rsidR="00E92274" w:rsidRPr="003234C3" w:rsidRDefault="00E92274" w:rsidP="00E92274">
      <w:pPr>
        <w:jc w:val="both"/>
        <w:rPr>
          <w:sz w:val="22"/>
        </w:rPr>
      </w:pPr>
    </w:p>
    <w:p w:rsidR="003234C3" w:rsidRPr="003234C3" w:rsidRDefault="003234C3" w:rsidP="003234C3">
      <w:pPr>
        <w:jc w:val="both"/>
        <w:outlineLvl w:val="0"/>
        <w:rPr>
          <w:rFonts w:ascii="Times New Roman Vet" w:hAnsi="Times New Roman Vet"/>
          <w:b/>
          <w:smallCaps/>
          <w:sz w:val="22"/>
          <w:szCs w:val="22"/>
          <w:lang w:val="nl-BE"/>
        </w:rPr>
      </w:pPr>
      <w:r w:rsidRPr="003234C3">
        <w:rPr>
          <w:rFonts w:ascii="Times New Roman Vet" w:hAnsi="Times New Roman Vet"/>
          <w:b/>
          <w:smallCaps/>
          <w:sz w:val="22"/>
          <w:szCs w:val="22"/>
          <w:lang w:val="nl-BE"/>
        </w:rPr>
        <w:t>antwoord</w:t>
      </w:r>
    </w:p>
    <w:p w:rsidR="00E92274" w:rsidRPr="003234C3" w:rsidRDefault="00757E65" w:rsidP="003234C3">
      <w:pPr>
        <w:jc w:val="both"/>
        <w:outlineLvl w:val="0"/>
        <w:rPr>
          <w:sz w:val="22"/>
        </w:rPr>
      </w:pPr>
      <w:r>
        <w:rPr>
          <w:sz w:val="22"/>
        </w:rPr>
        <w:t>o</w:t>
      </w:r>
      <w:r w:rsidR="003234C3" w:rsidRPr="003234C3">
        <w:rPr>
          <w:sz w:val="22"/>
        </w:rPr>
        <w:t>p v</w:t>
      </w:r>
      <w:r w:rsidR="00E92274" w:rsidRPr="003234C3">
        <w:rPr>
          <w:sz w:val="22"/>
        </w:rPr>
        <w:t>raag nr. 214</w:t>
      </w:r>
      <w:r w:rsidR="003234C3" w:rsidRPr="003234C3">
        <w:rPr>
          <w:sz w:val="22"/>
        </w:rPr>
        <w:t xml:space="preserve"> </w:t>
      </w:r>
      <w:r w:rsidR="00E92274" w:rsidRPr="003234C3">
        <w:rPr>
          <w:sz w:val="22"/>
        </w:rPr>
        <w:t>van 9 december 2013</w:t>
      </w:r>
    </w:p>
    <w:p w:rsidR="00E92274" w:rsidRPr="003234C3" w:rsidRDefault="00E92274" w:rsidP="00E92274">
      <w:pPr>
        <w:jc w:val="both"/>
        <w:rPr>
          <w:b/>
          <w:sz w:val="22"/>
        </w:rPr>
      </w:pPr>
      <w:r w:rsidRPr="003234C3">
        <w:rPr>
          <w:sz w:val="22"/>
        </w:rPr>
        <w:t xml:space="preserve">van </w:t>
      </w:r>
      <w:proofErr w:type="spellStart"/>
      <w:r w:rsidRPr="003234C3">
        <w:rPr>
          <w:b/>
          <w:smallCaps/>
          <w:sz w:val="22"/>
        </w:rPr>
        <w:t>tine</w:t>
      </w:r>
      <w:proofErr w:type="spellEnd"/>
      <w:r w:rsidRPr="003234C3">
        <w:rPr>
          <w:b/>
          <w:smallCaps/>
          <w:sz w:val="22"/>
        </w:rPr>
        <w:t xml:space="preserve"> </w:t>
      </w:r>
      <w:proofErr w:type="spellStart"/>
      <w:r w:rsidRPr="003234C3">
        <w:rPr>
          <w:b/>
          <w:smallCaps/>
          <w:sz w:val="22"/>
        </w:rPr>
        <w:t>eerlingen</w:t>
      </w:r>
      <w:proofErr w:type="spellEnd"/>
    </w:p>
    <w:p w:rsidR="00E92274" w:rsidRPr="003234C3" w:rsidRDefault="00E92274" w:rsidP="00E92274">
      <w:pPr>
        <w:pBdr>
          <w:bottom w:val="single" w:sz="4" w:space="1" w:color="auto"/>
        </w:pBdr>
        <w:jc w:val="both"/>
        <w:rPr>
          <w:sz w:val="22"/>
        </w:rPr>
      </w:pPr>
    </w:p>
    <w:p w:rsidR="00E92274" w:rsidRPr="00757E65" w:rsidRDefault="00E92274" w:rsidP="00E92274">
      <w:pPr>
        <w:pStyle w:val="StandaardSV"/>
        <w:rPr>
          <w:szCs w:val="22"/>
        </w:rPr>
      </w:pPr>
    </w:p>
    <w:p w:rsidR="00E92274" w:rsidRPr="00757E65" w:rsidRDefault="00E92274" w:rsidP="00E92274">
      <w:pPr>
        <w:pStyle w:val="StandaardSV"/>
        <w:rPr>
          <w:szCs w:val="22"/>
        </w:rPr>
      </w:pPr>
    </w:p>
    <w:p w:rsidR="00D32881" w:rsidRPr="00757E65" w:rsidRDefault="003234C3" w:rsidP="00757E65">
      <w:pPr>
        <w:pStyle w:val="StandaardSV"/>
        <w:numPr>
          <w:ilvl w:val="0"/>
          <w:numId w:val="7"/>
        </w:numPr>
        <w:tabs>
          <w:tab w:val="left" w:pos="426"/>
        </w:tabs>
        <w:ind w:left="709" w:hanging="709"/>
        <w:rPr>
          <w:szCs w:val="22"/>
        </w:rPr>
      </w:pPr>
      <w:r w:rsidRPr="00757E65">
        <w:rPr>
          <w:szCs w:val="22"/>
        </w:rPr>
        <w:t>a)</w:t>
      </w:r>
      <w:r w:rsidR="00757E65">
        <w:rPr>
          <w:szCs w:val="22"/>
        </w:rPr>
        <w:tab/>
      </w:r>
      <w:r w:rsidR="00D32881" w:rsidRPr="00757E65">
        <w:rPr>
          <w:szCs w:val="22"/>
        </w:rPr>
        <w:t>In 2012 werd een belangrijke daling in totale consumptie van antibacteriële middelen ten opzichte van de voorgaande jaren vastgesteld, maar het is moeilijk om dit met zekerheid aan een bepaalde oorzaak te koppelen. Wel kan opgemerkt worden dat sedert januari 2012 AMCRA van start is gegaan in België. In het eerste werkjaar van AMCRA is er heel wat energie gestopt in de sensibilisatie van alle betrokken partijen met betrekking tot de noodzaak van een verantwoorde reductie van het antibio</w:t>
      </w:r>
      <w:r w:rsidR="00AB0E35" w:rsidRPr="00757E65">
        <w:rPr>
          <w:szCs w:val="22"/>
        </w:rPr>
        <w:t>ticumgebruik. Wij denken</w:t>
      </w:r>
      <w:r w:rsidR="00D32881" w:rsidRPr="00757E65">
        <w:rPr>
          <w:szCs w:val="22"/>
        </w:rPr>
        <w:t xml:space="preserve"> dat de huidige resultaten een eerste teken zijn van het effect van deze inspanningen.</w:t>
      </w:r>
    </w:p>
    <w:p w:rsidR="00D32881" w:rsidRPr="00757E65" w:rsidRDefault="00D32881" w:rsidP="00757E65">
      <w:pPr>
        <w:pStyle w:val="StandaardSV"/>
        <w:ind w:left="708"/>
        <w:rPr>
          <w:szCs w:val="22"/>
        </w:rPr>
      </w:pPr>
      <w:r w:rsidRPr="00757E65">
        <w:rPr>
          <w:szCs w:val="22"/>
        </w:rPr>
        <w:t>Daarnaast wordt gewerkt aan een data-collectiesysteem</w:t>
      </w:r>
      <w:r w:rsidR="00AD763D" w:rsidRPr="00757E65">
        <w:rPr>
          <w:szCs w:val="22"/>
        </w:rPr>
        <w:t xml:space="preserve">, werden verschillende gidsen opgesteld, werden mogelijke maatregelen voor autoregulatie </w:t>
      </w:r>
      <w:proofErr w:type="spellStart"/>
      <w:r w:rsidR="00AD763D" w:rsidRPr="00757E65">
        <w:rPr>
          <w:szCs w:val="22"/>
        </w:rPr>
        <w:t>opgelijst</w:t>
      </w:r>
      <w:proofErr w:type="spellEnd"/>
      <w:r w:rsidR="00AD763D" w:rsidRPr="00757E65">
        <w:rPr>
          <w:szCs w:val="22"/>
        </w:rPr>
        <w:t xml:space="preserve">, werd er een (tijdelijke) toestemming verkregen voor het gebruik van </w:t>
      </w:r>
      <w:r w:rsidR="001F2779" w:rsidRPr="00757E65">
        <w:rPr>
          <w:szCs w:val="22"/>
        </w:rPr>
        <w:t>z</w:t>
      </w:r>
      <w:r w:rsidR="00AD763D" w:rsidRPr="00757E65">
        <w:rPr>
          <w:szCs w:val="22"/>
        </w:rPr>
        <w:t>inkoxide bij gespeende biggen, en zijn er werkgroepen actief die adviezen voorbereiden in functie van vragen van de stuurgroep. Een uitgebreidere beschrijving van de werking van AMCRA werd ook gegeven in het antwoord op de vraag om uitleg nr. 174</w:t>
      </w:r>
      <w:r w:rsidR="00BC3B66" w:rsidRPr="00757E65">
        <w:rPr>
          <w:szCs w:val="22"/>
        </w:rPr>
        <w:t>.</w:t>
      </w:r>
      <w:r w:rsidR="00AD763D" w:rsidRPr="00757E65">
        <w:rPr>
          <w:szCs w:val="22"/>
        </w:rPr>
        <w:t xml:space="preserve"> </w:t>
      </w:r>
    </w:p>
    <w:p w:rsidR="00D32881" w:rsidRPr="00757E65" w:rsidRDefault="00D32881" w:rsidP="00D32881">
      <w:pPr>
        <w:pStyle w:val="StandaardSV"/>
        <w:rPr>
          <w:szCs w:val="22"/>
        </w:rPr>
      </w:pPr>
    </w:p>
    <w:p w:rsidR="00D32881" w:rsidRPr="00757E65" w:rsidRDefault="00D32881" w:rsidP="00757E65">
      <w:pPr>
        <w:pStyle w:val="StandaardSV"/>
        <w:ind w:left="708"/>
        <w:rPr>
          <w:szCs w:val="22"/>
        </w:rPr>
      </w:pPr>
      <w:r w:rsidRPr="00757E65">
        <w:rPr>
          <w:szCs w:val="22"/>
        </w:rPr>
        <w:t>De invloed op de resultaten van de werking van het AMCRA wordt pas verwacht in de cijfers van 2013</w:t>
      </w:r>
      <w:r w:rsidR="00BC3B66" w:rsidRPr="00757E65">
        <w:rPr>
          <w:szCs w:val="22"/>
        </w:rPr>
        <w:t>.</w:t>
      </w:r>
    </w:p>
    <w:p w:rsidR="00BF1349" w:rsidRPr="00757E65" w:rsidRDefault="00BF1349" w:rsidP="00D32881">
      <w:pPr>
        <w:pStyle w:val="StandaardSV"/>
        <w:rPr>
          <w:szCs w:val="22"/>
        </w:rPr>
      </w:pPr>
    </w:p>
    <w:p w:rsidR="00BF1349" w:rsidRPr="00757E65" w:rsidRDefault="00BF1349" w:rsidP="00757E65">
      <w:pPr>
        <w:pStyle w:val="StandaardSV"/>
        <w:ind w:left="708"/>
        <w:rPr>
          <w:szCs w:val="22"/>
        </w:rPr>
      </w:pPr>
      <w:r w:rsidRPr="00757E65">
        <w:rPr>
          <w:szCs w:val="22"/>
        </w:rPr>
        <w:t>In de loop van het voorjaar van 2014 worden de resultaten van de surveillance van het antibioticumgebruik bij dieren (</w:t>
      </w:r>
      <w:proofErr w:type="spellStart"/>
      <w:r w:rsidRPr="00757E65">
        <w:rPr>
          <w:szCs w:val="22"/>
        </w:rPr>
        <w:t>BelVetSac</w:t>
      </w:r>
      <w:proofErr w:type="spellEnd"/>
      <w:r w:rsidRPr="00757E65">
        <w:rPr>
          <w:szCs w:val="22"/>
        </w:rPr>
        <w:t xml:space="preserve"> rapport) voor het jaar 2013 verwacht en dan zal kunnen nagegaan worden of de daling van het antibioticumgebruik zich verderzet</w:t>
      </w:r>
      <w:r w:rsidR="004B2EC8" w:rsidRPr="00757E65">
        <w:rPr>
          <w:szCs w:val="22"/>
        </w:rPr>
        <w:t>.</w:t>
      </w:r>
      <w:r w:rsidRPr="00757E65">
        <w:rPr>
          <w:szCs w:val="22"/>
        </w:rPr>
        <w:t xml:space="preserve"> </w:t>
      </w:r>
    </w:p>
    <w:p w:rsidR="003234C3" w:rsidRPr="00757E65" w:rsidRDefault="003234C3" w:rsidP="00110176">
      <w:pPr>
        <w:pStyle w:val="StandaardSV"/>
        <w:rPr>
          <w:szCs w:val="22"/>
        </w:rPr>
      </w:pPr>
    </w:p>
    <w:p w:rsidR="00110176" w:rsidRPr="00757E65" w:rsidRDefault="003234C3" w:rsidP="00757E65">
      <w:pPr>
        <w:pStyle w:val="StandaardSV"/>
        <w:ind w:left="426"/>
        <w:rPr>
          <w:szCs w:val="22"/>
        </w:rPr>
      </w:pPr>
      <w:r w:rsidRPr="00757E65">
        <w:rPr>
          <w:szCs w:val="22"/>
        </w:rPr>
        <w:t>b)</w:t>
      </w:r>
    </w:p>
    <w:p w:rsidR="00110176" w:rsidRPr="00757E65" w:rsidRDefault="00110176" w:rsidP="00110176">
      <w:pPr>
        <w:pStyle w:val="StandaardSV"/>
        <w:rPr>
          <w:szCs w:val="22"/>
        </w:rPr>
      </w:pPr>
    </w:p>
    <w:tbl>
      <w:tblPr>
        <w:tblStyle w:val="Tabelraster"/>
        <w:tblW w:w="0" w:type="auto"/>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3070"/>
        <w:gridCol w:w="3071"/>
        <w:gridCol w:w="3071"/>
      </w:tblGrid>
      <w:tr w:rsidR="003234C3" w:rsidRPr="003234C3" w:rsidTr="00110176">
        <w:tc>
          <w:tcPr>
            <w:tcW w:w="3070" w:type="dxa"/>
            <w:tcBorders>
              <w:top w:val="single" w:sz="12" w:space="0" w:color="auto"/>
              <w:bottom w:val="single" w:sz="12" w:space="0" w:color="auto"/>
            </w:tcBorders>
          </w:tcPr>
          <w:p w:rsidR="00110176" w:rsidRPr="003234C3" w:rsidRDefault="00110176" w:rsidP="00110176">
            <w:pPr>
              <w:pStyle w:val="StandaardSV"/>
            </w:pPr>
          </w:p>
        </w:tc>
        <w:tc>
          <w:tcPr>
            <w:tcW w:w="3071" w:type="dxa"/>
            <w:tcBorders>
              <w:top w:val="single" w:sz="12" w:space="0" w:color="auto"/>
              <w:bottom w:val="single" w:sz="12" w:space="0" w:color="auto"/>
            </w:tcBorders>
          </w:tcPr>
          <w:p w:rsidR="00110176" w:rsidRPr="003234C3" w:rsidRDefault="00110176" w:rsidP="00110176">
            <w:pPr>
              <w:pStyle w:val="StandaardSV"/>
            </w:pPr>
            <w:r w:rsidRPr="003234C3">
              <w:t>Mg/PCU</w:t>
            </w:r>
          </w:p>
        </w:tc>
        <w:tc>
          <w:tcPr>
            <w:tcW w:w="3071" w:type="dxa"/>
            <w:tcBorders>
              <w:top w:val="single" w:sz="12" w:space="0" w:color="auto"/>
              <w:bottom w:val="single" w:sz="12" w:space="0" w:color="auto"/>
            </w:tcBorders>
          </w:tcPr>
          <w:p w:rsidR="00110176" w:rsidRPr="003234C3" w:rsidRDefault="00110176" w:rsidP="00110176">
            <w:pPr>
              <w:pStyle w:val="StandaardSV"/>
            </w:pPr>
            <w:r w:rsidRPr="003234C3">
              <w:t>ton</w:t>
            </w:r>
          </w:p>
        </w:tc>
      </w:tr>
      <w:tr w:rsidR="003234C3" w:rsidRPr="003234C3" w:rsidTr="00110176">
        <w:tc>
          <w:tcPr>
            <w:tcW w:w="3070" w:type="dxa"/>
            <w:tcBorders>
              <w:top w:val="single" w:sz="12" w:space="0" w:color="auto"/>
            </w:tcBorders>
          </w:tcPr>
          <w:p w:rsidR="00110176" w:rsidRPr="003234C3" w:rsidRDefault="00110176" w:rsidP="00110176">
            <w:pPr>
              <w:pStyle w:val="StandaardSV"/>
            </w:pPr>
            <w:r w:rsidRPr="003234C3">
              <w:t>België</w:t>
            </w:r>
          </w:p>
        </w:tc>
        <w:tc>
          <w:tcPr>
            <w:tcW w:w="3071" w:type="dxa"/>
            <w:tcBorders>
              <w:top w:val="single" w:sz="12" w:space="0" w:color="auto"/>
            </w:tcBorders>
          </w:tcPr>
          <w:p w:rsidR="00110176" w:rsidRPr="003234C3" w:rsidRDefault="00110176" w:rsidP="00110176">
            <w:pPr>
              <w:pStyle w:val="StandaardSV"/>
            </w:pPr>
            <w:r w:rsidRPr="003234C3">
              <w:t>175</w:t>
            </w:r>
          </w:p>
        </w:tc>
        <w:tc>
          <w:tcPr>
            <w:tcW w:w="3071" w:type="dxa"/>
            <w:tcBorders>
              <w:top w:val="single" w:sz="12" w:space="0" w:color="auto"/>
            </w:tcBorders>
          </w:tcPr>
          <w:p w:rsidR="00110176" w:rsidRPr="003234C3" w:rsidRDefault="00110176" w:rsidP="00110176">
            <w:pPr>
              <w:pStyle w:val="StandaardSV"/>
            </w:pPr>
            <w:r w:rsidRPr="003234C3">
              <w:t>297</w:t>
            </w:r>
          </w:p>
        </w:tc>
      </w:tr>
      <w:tr w:rsidR="003234C3" w:rsidRPr="003234C3" w:rsidTr="00110176">
        <w:tc>
          <w:tcPr>
            <w:tcW w:w="3070" w:type="dxa"/>
          </w:tcPr>
          <w:p w:rsidR="00110176" w:rsidRPr="003234C3" w:rsidRDefault="00110176" w:rsidP="00110176">
            <w:pPr>
              <w:pStyle w:val="StandaardSV"/>
            </w:pPr>
            <w:r w:rsidRPr="003234C3">
              <w:t>Nederland</w:t>
            </w:r>
          </w:p>
        </w:tc>
        <w:tc>
          <w:tcPr>
            <w:tcW w:w="3071" w:type="dxa"/>
          </w:tcPr>
          <w:p w:rsidR="00110176" w:rsidRPr="003234C3" w:rsidRDefault="00110176" w:rsidP="00110176">
            <w:pPr>
              <w:pStyle w:val="StandaardSV"/>
            </w:pPr>
            <w:r w:rsidRPr="003234C3">
              <w:t>114</w:t>
            </w:r>
          </w:p>
        </w:tc>
        <w:tc>
          <w:tcPr>
            <w:tcW w:w="3071" w:type="dxa"/>
          </w:tcPr>
          <w:p w:rsidR="00110176" w:rsidRPr="003234C3" w:rsidRDefault="00110176" w:rsidP="00110176">
            <w:pPr>
              <w:pStyle w:val="StandaardSV"/>
            </w:pPr>
            <w:r w:rsidRPr="003234C3">
              <w:t>363</w:t>
            </w:r>
          </w:p>
        </w:tc>
      </w:tr>
      <w:tr w:rsidR="003234C3" w:rsidRPr="003234C3" w:rsidTr="00110176">
        <w:tc>
          <w:tcPr>
            <w:tcW w:w="3070" w:type="dxa"/>
          </w:tcPr>
          <w:p w:rsidR="00110176" w:rsidRPr="003234C3" w:rsidRDefault="00110176" w:rsidP="00110176">
            <w:pPr>
              <w:pStyle w:val="StandaardSV"/>
            </w:pPr>
            <w:r w:rsidRPr="003234C3">
              <w:t>Frankrijk</w:t>
            </w:r>
          </w:p>
        </w:tc>
        <w:tc>
          <w:tcPr>
            <w:tcW w:w="3071" w:type="dxa"/>
          </w:tcPr>
          <w:p w:rsidR="00110176" w:rsidRPr="003234C3" w:rsidRDefault="00110176" w:rsidP="00110176">
            <w:pPr>
              <w:pStyle w:val="StandaardSV"/>
            </w:pPr>
            <w:r w:rsidRPr="003234C3">
              <w:t>117</w:t>
            </w:r>
          </w:p>
        </w:tc>
        <w:tc>
          <w:tcPr>
            <w:tcW w:w="3071" w:type="dxa"/>
          </w:tcPr>
          <w:p w:rsidR="00110176" w:rsidRPr="003234C3" w:rsidRDefault="00110176" w:rsidP="00110176">
            <w:pPr>
              <w:pStyle w:val="StandaardSV"/>
            </w:pPr>
            <w:r w:rsidRPr="003234C3">
              <w:t>896</w:t>
            </w:r>
          </w:p>
        </w:tc>
      </w:tr>
      <w:tr w:rsidR="003234C3" w:rsidRPr="003234C3" w:rsidTr="00110176">
        <w:tc>
          <w:tcPr>
            <w:tcW w:w="3070" w:type="dxa"/>
          </w:tcPr>
          <w:p w:rsidR="00110176" w:rsidRPr="003234C3" w:rsidRDefault="00110176" w:rsidP="00110176">
            <w:pPr>
              <w:pStyle w:val="StandaardSV"/>
            </w:pPr>
            <w:r w:rsidRPr="003234C3">
              <w:t>Duitsland</w:t>
            </w:r>
          </w:p>
        </w:tc>
        <w:tc>
          <w:tcPr>
            <w:tcW w:w="3071" w:type="dxa"/>
          </w:tcPr>
          <w:p w:rsidR="00110176" w:rsidRPr="003234C3" w:rsidRDefault="00110176" w:rsidP="00110176">
            <w:pPr>
              <w:pStyle w:val="StandaardSV"/>
            </w:pPr>
            <w:r w:rsidRPr="003234C3">
              <w:t>211</w:t>
            </w:r>
          </w:p>
        </w:tc>
        <w:tc>
          <w:tcPr>
            <w:tcW w:w="3071" w:type="dxa"/>
          </w:tcPr>
          <w:p w:rsidR="00110176" w:rsidRPr="003234C3" w:rsidRDefault="00110176" w:rsidP="00110176">
            <w:pPr>
              <w:pStyle w:val="StandaardSV"/>
            </w:pPr>
            <w:r w:rsidRPr="003234C3">
              <w:t>1819</w:t>
            </w:r>
          </w:p>
        </w:tc>
      </w:tr>
      <w:tr w:rsidR="003234C3" w:rsidRPr="003234C3" w:rsidTr="00110176">
        <w:tc>
          <w:tcPr>
            <w:tcW w:w="3070" w:type="dxa"/>
          </w:tcPr>
          <w:p w:rsidR="00110176" w:rsidRPr="003234C3" w:rsidRDefault="00110176" w:rsidP="00110176">
            <w:pPr>
              <w:pStyle w:val="StandaardSV"/>
            </w:pPr>
            <w:r w:rsidRPr="003234C3">
              <w:t>Denemarken</w:t>
            </w:r>
          </w:p>
        </w:tc>
        <w:tc>
          <w:tcPr>
            <w:tcW w:w="3071" w:type="dxa"/>
          </w:tcPr>
          <w:p w:rsidR="00110176" w:rsidRPr="003234C3" w:rsidRDefault="00110176" w:rsidP="00110176">
            <w:pPr>
              <w:pStyle w:val="StandaardSV"/>
            </w:pPr>
            <w:r w:rsidRPr="003234C3">
              <w:t>43</w:t>
            </w:r>
          </w:p>
        </w:tc>
        <w:tc>
          <w:tcPr>
            <w:tcW w:w="3071" w:type="dxa"/>
          </w:tcPr>
          <w:p w:rsidR="00110176" w:rsidRPr="003234C3" w:rsidRDefault="00110176" w:rsidP="00110176">
            <w:pPr>
              <w:pStyle w:val="StandaardSV"/>
            </w:pPr>
            <w:r w:rsidRPr="003234C3">
              <w:t>106</w:t>
            </w:r>
          </w:p>
        </w:tc>
      </w:tr>
      <w:tr w:rsidR="003234C3" w:rsidRPr="003234C3" w:rsidTr="00110176">
        <w:tc>
          <w:tcPr>
            <w:tcW w:w="3070" w:type="dxa"/>
          </w:tcPr>
          <w:p w:rsidR="00110176" w:rsidRPr="003234C3" w:rsidRDefault="00110176" w:rsidP="00110176">
            <w:pPr>
              <w:pStyle w:val="StandaardSV"/>
            </w:pPr>
            <w:r w:rsidRPr="003234C3">
              <w:t>Noorwegen</w:t>
            </w:r>
          </w:p>
        </w:tc>
        <w:tc>
          <w:tcPr>
            <w:tcW w:w="3071" w:type="dxa"/>
          </w:tcPr>
          <w:p w:rsidR="00110176" w:rsidRPr="003234C3" w:rsidRDefault="00110176" w:rsidP="00110176">
            <w:pPr>
              <w:pStyle w:val="StandaardSV"/>
            </w:pPr>
            <w:r w:rsidRPr="003234C3">
              <w:t>3,7</w:t>
            </w:r>
          </w:p>
        </w:tc>
        <w:tc>
          <w:tcPr>
            <w:tcW w:w="3071" w:type="dxa"/>
          </w:tcPr>
          <w:p w:rsidR="00110176" w:rsidRPr="003234C3" w:rsidRDefault="00110176" w:rsidP="00110176">
            <w:pPr>
              <w:pStyle w:val="StandaardSV"/>
            </w:pPr>
            <w:r w:rsidRPr="003234C3">
              <w:t>6,2</w:t>
            </w:r>
          </w:p>
        </w:tc>
      </w:tr>
      <w:tr w:rsidR="003234C3" w:rsidRPr="003234C3" w:rsidTr="00110176">
        <w:tc>
          <w:tcPr>
            <w:tcW w:w="3070" w:type="dxa"/>
          </w:tcPr>
          <w:p w:rsidR="00110176" w:rsidRPr="003234C3" w:rsidRDefault="00110176" w:rsidP="00110176">
            <w:pPr>
              <w:pStyle w:val="StandaardSV"/>
            </w:pPr>
            <w:r w:rsidRPr="003234C3">
              <w:t>Zweden</w:t>
            </w:r>
          </w:p>
        </w:tc>
        <w:tc>
          <w:tcPr>
            <w:tcW w:w="3071" w:type="dxa"/>
          </w:tcPr>
          <w:p w:rsidR="00110176" w:rsidRPr="003234C3" w:rsidRDefault="00110176" w:rsidP="00110176">
            <w:pPr>
              <w:pStyle w:val="StandaardSV"/>
            </w:pPr>
            <w:r w:rsidRPr="003234C3">
              <w:t>13,6</w:t>
            </w:r>
          </w:p>
        </w:tc>
        <w:tc>
          <w:tcPr>
            <w:tcW w:w="3071" w:type="dxa"/>
          </w:tcPr>
          <w:p w:rsidR="00110176" w:rsidRPr="003234C3" w:rsidRDefault="00110176" w:rsidP="00110176">
            <w:pPr>
              <w:pStyle w:val="StandaardSV"/>
            </w:pPr>
            <w:r w:rsidRPr="003234C3">
              <w:t>11</w:t>
            </w:r>
          </w:p>
        </w:tc>
      </w:tr>
    </w:tbl>
    <w:p w:rsidR="00110176" w:rsidRPr="00757E65" w:rsidRDefault="00110176" w:rsidP="00110176">
      <w:pPr>
        <w:pStyle w:val="StandaardSV"/>
        <w:rPr>
          <w:sz w:val="18"/>
          <w:szCs w:val="18"/>
        </w:rPr>
      </w:pPr>
      <w:r w:rsidRPr="00757E65">
        <w:rPr>
          <w:sz w:val="18"/>
          <w:szCs w:val="18"/>
        </w:rPr>
        <w:t>Cijfers ESVAC rapport 2011</w:t>
      </w:r>
    </w:p>
    <w:p w:rsidR="00110176" w:rsidRPr="003234C3" w:rsidRDefault="00110176" w:rsidP="00110176">
      <w:pPr>
        <w:pStyle w:val="StandaardSV"/>
      </w:pPr>
    </w:p>
    <w:p w:rsidR="00110176" w:rsidRPr="003234C3" w:rsidRDefault="00110176" w:rsidP="00757E65">
      <w:pPr>
        <w:ind w:left="709"/>
      </w:pPr>
      <w:r w:rsidRPr="003234C3">
        <w:t xml:space="preserve">De data </w:t>
      </w:r>
      <w:r w:rsidR="008C3275" w:rsidRPr="003234C3">
        <w:t>van</w:t>
      </w:r>
      <w:r w:rsidRPr="003234C3">
        <w:t xml:space="preserve"> het ESVAC rapport omvatten gegevens van 2011. </w:t>
      </w:r>
    </w:p>
    <w:p w:rsidR="00BF1349" w:rsidRPr="003234C3" w:rsidRDefault="00BF1349" w:rsidP="00757E65">
      <w:pPr>
        <w:pStyle w:val="StandaardSV"/>
        <w:ind w:left="709"/>
      </w:pPr>
    </w:p>
    <w:p w:rsidR="00BF1349" w:rsidRPr="003234C3" w:rsidRDefault="00BF1349" w:rsidP="00757E65">
      <w:pPr>
        <w:pStyle w:val="StandaardSV"/>
        <w:ind w:left="709"/>
      </w:pPr>
      <w:r w:rsidRPr="003234C3">
        <w:t xml:space="preserve">Deze cijfers tonen aan dat België in vergelijking met de andere opgesomde landen een grote consument van </w:t>
      </w:r>
      <w:r w:rsidR="004B2EC8" w:rsidRPr="003234C3">
        <w:t>antibiotica</w:t>
      </w:r>
      <w:r w:rsidRPr="003234C3">
        <w:t xml:space="preserve"> is in verhouding tot het aantal aanwezige dieren. Het is echter wel belangrijk ook op te merken dat deze cijfers niet zomaar met mekaar vergelijkbaar zijn omdat de samenstelling van de veestapel (aandeel varkens / pluimvee / kalveren / …) in ieder </w:t>
      </w:r>
      <w:r w:rsidR="004B2EC8" w:rsidRPr="003234C3">
        <w:t>land</w:t>
      </w:r>
      <w:r w:rsidRPr="003234C3">
        <w:t xml:space="preserve"> verschillend is</w:t>
      </w:r>
      <w:r w:rsidR="004B2EC8" w:rsidRPr="003234C3">
        <w:t>,</w:t>
      </w:r>
      <w:r w:rsidRPr="003234C3">
        <w:t xml:space="preserve"> wat ook zijn invloed kan hebben op het </w:t>
      </w:r>
      <w:r w:rsidR="004B2EC8" w:rsidRPr="003234C3">
        <w:t>antibiotica</w:t>
      </w:r>
      <w:r w:rsidRPr="003234C3">
        <w:t>gebruik.</w:t>
      </w:r>
    </w:p>
    <w:p w:rsidR="00BF1349" w:rsidRPr="003234C3" w:rsidRDefault="00BF1349" w:rsidP="00757E65">
      <w:pPr>
        <w:pStyle w:val="StandaardSV"/>
        <w:ind w:left="709"/>
      </w:pPr>
    </w:p>
    <w:p w:rsidR="00E92274" w:rsidRPr="003234C3" w:rsidRDefault="00AD763D" w:rsidP="00757E65">
      <w:pPr>
        <w:pStyle w:val="StandaardSV"/>
        <w:ind w:left="709"/>
      </w:pPr>
      <w:r w:rsidRPr="003234C3">
        <w:t xml:space="preserve">Het </w:t>
      </w:r>
      <w:r w:rsidR="00D32881" w:rsidRPr="003234C3">
        <w:t>AMCRA</w:t>
      </w:r>
      <w:r w:rsidRPr="003234C3">
        <w:t xml:space="preserve"> is </w:t>
      </w:r>
      <w:r w:rsidR="00D32881" w:rsidRPr="003234C3">
        <w:t xml:space="preserve">pas operationeel vanaf januari 2012, </w:t>
      </w:r>
      <w:r w:rsidRPr="003234C3">
        <w:t xml:space="preserve">de </w:t>
      </w:r>
      <w:r w:rsidR="00D32881" w:rsidRPr="003234C3">
        <w:t>resultaten worden pas verwacht zichtbaar t</w:t>
      </w:r>
      <w:r w:rsidR="00BC3B66" w:rsidRPr="003234C3">
        <w:t xml:space="preserve">e zijn in de cijfers 2013 (zie ook </w:t>
      </w:r>
      <w:r w:rsidR="00D32881" w:rsidRPr="003234C3">
        <w:t>antwoord op vraag 1. a)</w:t>
      </w:r>
      <w:r w:rsidR="00BC3B66" w:rsidRPr="003234C3">
        <w:t>.</w:t>
      </w:r>
    </w:p>
    <w:p w:rsidR="00D32881" w:rsidRPr="003234C3" w:rsidRDefault="00D32881" w:rsidP="00E92274">
      <w:pPr>
        <w:pStyle w:val="StandaardSV"/>
      </w:pPr>
    </w:p>
    <w:p w:rsidR="0057548E" w:rsidRPr="003234C3" w:rsidRDefault="0057548E" w:rsidP="00757E65">
      <w:pPr>
        <w:pStyle w:val="StandaardSV"/>
        <w:numPr>
          <w:ilvl w:val="0"/>
          <w:numId w:val="7"/>
        </w:numPr>
      </w:pPr>
      <w:r w:rsidRPr="003234C3">
        <w:t xml:space="preserve">Omwille van de zeer hoge densiteit van vee in Vlaanderen zal het steeds een uitdaging blijven om weinig </w:t>
      </w:r>
      <w:r w:rsidR="00BB290A" w:rsidRPr="003234C3">
        <w:t xml:space="preserve">antibiotica </w:t>
      </w:r>
      <w:r w:rsidRPr="003234C3">
        <w:t xml:space="preserve">te gebruiken. Toch moet door een aangepaste bedrijfsvoering het </w:t>
      </w:r>
      <w:r w:rsidR="004B2EC8" w:rsidRPr="003234C3">
        <w:t>antibiotica</w:t>
      </w:r>
      <w:r w:rsidRPr="003234C3">
        <w:t xml:space="preserve"> –gebruik in belangrijke mate te verminderen zijn.</w:t>
      </w:r>
    </w:p>
    <w:p w:rsidR="0057548E" w:rsidRPr="003234C3" w:rsidRDefault="0057548E" w:rsidP="00757E65">
      <w:pPr>
        <w:pStyle w:val="StandaardSV"/>
        <w:ind w:left="360"/>
      </w:pPr>
      <w:r w:rsidRPr="003234C3">
        <w:t>Hier</w:t>
      </w:r>
      <w:r w:rsidR="004B2EC8" w:rsidRPr="003234C3">
        <w:t>voor</w:t>
      </w:r>
      <w:r w:rsidRPr="003234C3">
        <w:t xml:space="preserve"> is nog verdere sensibilisering nodig</w:t>
      </w:r>
      <w:r w:rsidR="004B2EC8" w:rsidRPr="003234C3">
        <w:t>, met het oog op</w:t>
      </w:r>
      <w:r w:rsidRPr="003234C3">
        <w:t xml:space="preserve"> een nog betere hygiëne, meer bio</w:t>
      </w:r>
      <w:r w:rsidR="004B2EC8" w:rsidRPr="003234C3">
        <w:t>-</w:t>
      </w:r>
      <w:r w:rsidRPr="003234C3">
        <w:t xml:space="preserve">veiligheid, vaccinatie. </w:t>
      </w:r>
    </w:p>
    <w:p w:rsidR="0057548E" w:rsidRPr="003234C3" w:rsidRDefault="0057548E" w:rsidP="00757E65">
      <w:pPr>
        <w:pStyle w:val="StandaardSV"/>
        <w:ind w:left="360"/>
      </w:pPr>
      <w:r w:rsidRPr="003234C3">
        <w:t>Kwaliteitsvolle diergeneeskund</w:t>
      </w:r>
      <w:r w:rsidR="004B2EC8" w:rsidRPr="003234C3">
        <w:t>ig</w:t>
      </w:r>
      <w:r w:rsidRPr="003234C3">
        <w:t>e begeleiding en strenge algemene preventie van ziekte insleep zullen hierbij onontbeerlijk zijn.</w:t>
      </w:r>
      <w:r w:rsidR="00BB290A" w:rsidRPr="003234C3">
        <w:t xml:space="preserve"> Onderzoek van de </w:t>
      </w:r>
      <w:r w:rsidR="00BC3B66" w:rsidRPr="003234C3">
        <w:t>U</w:t>
      </w:r>
      <w:r w:rsidR="00BB290A" w:rsidRPr="003234C3">
        <w:t xml:space="preserve">niversiteit Gent </w:t>
      </w:r>
      <w:r w:rsidR="004B2EC8" w:rsidRPr="003234C3">
        <w:t>hieromtrent</w:t>
      </w:r>
      <w:r w:rsidR="00BB290A" w:rsidRPr="003234C3">
        <w:t xml:space="preserve"> toont duidelijk aan dat op bedrijven met een betere bio</w:t>
      </w:r>
      <w:r w:rsidR="004B2EC8" w:rsidRPr="003234C3">
        <w:t>-</w:t>
      </w:r>
      <w:r w:rsidR="00BB290A" w:rsidRPr="003234C3">
        <w:t>veiligheid en betere dierziek</w:t>
      </w:r>
      <w:r w:rsidR="004B2EC8" w:rsidRPr="003234C3">
        <w:t>t</w:t>
      </w:r>
      <w:r w:rsidR="00BB290A" w:rsidRPr="003234C3">
        <w:t>epreventie er wel</w:t>
      </w:r>
      <w:r w:rsidR="004B2EC8" w:rsidRPr="003234C3">
        <w:t xml:space="preserve"> </w:t>
      </w:r>
      <w:r w:rsidR="00BB290A" w:rsidRPr="003234C3">
        <w:t>degelijk minder antibiotica word</w:t>
      </w:r>
      <w:r w:rsidR="004B2EC8" w:rsidRPr="003234C3">
        <w:t>t</w:t>
      </w:r>
      <w:r w:rsidR="00BB290A" w:rsidRPr="003234C3">
        <w:t xml:space="preserve"> gebruikt. Begeleiden van bedrijven die bereid zijn hun ma</w:t>
      </w:r>
      <w:r w:rsidR="004B2EC8" w:rsidRPr="003234C3">
        <w:t>n</w:t>
      </w:r>
      <w:r w:rsidR="00BB290A" w:rsidRPr="003234C3">
        <w:t xml:space="preserve">agement aan te passen en te optimaliseren kan tot spectaculaire dalingen van het antibioticumgebruik </w:t>
      </w:r>
      <w:r w:rsidR="004B2EC8" w:rsidRPr="003234C3">
        <w:t>(</w:t>
      </w:r>
      <w:r w:rsidR="00BB290A" w:rsidRPr="003234C3">
        <w:t>tot zelfs 50%</w:t>
      </w:r>
      <w:r w:rsidR="004B2EC8" w:rsidRPr="003234C3">
        <w:t>)</w:t>
      </w:r>
      <w:r w:rsidR="00BB290A" w:rsidRPr="003234C3">
        <w:t xml:space="preserve"> leiden</w:t>
      </w:r>
      <w:r w:rsidR="004B2EC8" w:rsidRPr="003234C3">
        <w:t>,</w:t>
      </w:r>
      <w:r w:rsidR="00BB290A" w:rsidRPr="003234C3">
        <w:t xml:space="preserve"> zonder dat de productieresultaten daar onder lijden. </w:t>
      </w:r>
    </w:p>
    <w:p w:rsidR="00BB290A" w:rsidRPr="003234C3" w:rsidRDefault="00BB290A" w:rsidP="0057548E">
      <w:pPr>
        <w:pStyle w:val="StandaardSV"/>
      </w:pPr>
    </w:p>
    <w:p w:rsidR="0057548E" w:rsidRPr="003234C3" w:rsidRDefault="004B2EC8" w:rsidP="00757E65">
      <w:pPr>
        <w:pStyle w:val="StandaardSV"/>
        <w:ind w:left="360"/>
      </w:pPr>
      <w:r w:rsidRPr="003234C3">
        <w:t xml:space="preserve">De mogelijkheid om </w:t>
      </w:r>
      <w:proofErr w:type="spellStart"/>
      <w:r w:rsidR="0057548E" w:rsidRPr="003234C3">
        <w:t>ZnO</w:t>
      </w:r>
      <w:proofErr w:type="spellEnd"/>
      <w:r w:rsidR="0057548E" w:rsidRPr="003234C3">
        <w:t xml:space="preserve"> </w:t>
      </w:r>
      <w:r w:rsidRPr="003234C3">
        <w:t xml:space="preserve">te gebruiken bij </w:t>
      </w:r>
      <w:r w:rsidR="0057548E" w:rsidRPr="003234C3">
        <w:t xml:space="preserve">gespeende biggen </w:t>
      </w:r>
      <w:r w:rsidRPr="003234C3">
        <w:t xml:space="preserve">zal </w:t>
      </w:r>
      <w:r w:rsidR="0057548E" w:rsidRPr="003234C3">
        <w:t>de noodzaak om andere middelen te gebruiken</w:t>
      </w:r>
      <w:r w:rsidR="00BC3B66" w:rsidRPr="003234C3">
        <w:t>,</w:t>
      </w:r>
      <w:r w:rsidR="0057548E" w:rsidRPr="003234C3">
        <w:t xml:space="preserve"> </w:t>
      </w:r>
      <w:r w:rsidRPr="003234C3">
        <w:t xml:space="preserve">doen </w:t>
      </w:r>
      <w:r w:rsidR="0057548E" w:rsidRPr="003234C3">
        <w:t>dalen</w:t>
      </w:r>
      <w:r w:rsidR="00BB290A" w:rsidRPr="003234C3">
        <w:t>.</w:t>
      </w:r>
    </w:p>
    <w:p w:rsidR="00AD763D" w:rsidRPr="003234C3" w:rsidRDefault="00AD763D" w:rsidP="00E92274">
      <w:pPr>
        <w:pStyle w:val="StandaardSV"/>
      </w:pPr>
    </w:p>
    <w:p w:rsidR="00BB290A" w:rsidRPr="003234C3" w:rsidRDefault="00BB290A" w:rsidP="00757E65">
      <w:pPr>
        <w:pStyle w:val="StandaardSV"/>
        <w:numPr>
          <w:ilvl w:val="0"/>
          <w:numId w:val="7"/>
        </w:numPr>
      </w:pPr>
      <w:r w:rsidRPr="003234C3">
        <w:t xml:space="preserve">Het </w:t>
      </w:r>
      <w:r w:rsidR="004B2EC8" w:rsidRPr="003234C3">
        <w:t>is</w:t>
      </w:r>
      <w:r w:rsidRPr="003234C3">
        <w:t xml:space="preserve"> niet </w:t>
      </w:r>
      <w:r w:rsidR="004B2EC8" w:rsidRPr="003234C3">
        <w:t xml:space="preserve">correct </w:t>
      </w:r>
      <w:r w:rsidR="007F27A7" w:rsidRPr="003234C3">
        <w:t xml:space="preserve">om te stellen </w:t>
      </w:r>
      <w:r w:rsidRPr="003234C3">
        <w:t xml:space="preserve">dat AMCRA een advies heeft gegeven om deze </w:t>
      </w:r>
      <w:r w:rsidR="004B2EC8" w:rsidRPr="003234C3">
        <w:t>antibiotica</w:t>
      </w:r>
      <w:r w:rsidRPr="003234C3">
        <w:t xml:space="preserve"> te verbieden. Er is wel een advies gegeven om deze </w:t>
      </w:r>
      <w:r w:rsidR="004B2EC8" w:rsidRPr="003234C3">
        <w:t>antibiotica</w:t>
      </w:r>
      <w:r w:rsidRPr="003234C3">
        <w:t xml:space="preserve"> enkel en alleen </w:t>
      </w:r>
      <w:r w:rsidR="004B2EC8" w:rsidRPr="003234C3">
        <w:t>in te zetten</w:t>
      </w:r>
      <w:r w:rsidRPr="003234C3">
        <w:t xml:space="preserve"> als kan aangetoond worden via diagnostiek en antibiogram dat er geen andere beschikbare antibiotica kunnen gebruikt worden. AMCRA is van mening dat als deze producten absoluut nodig zijn (als niets anders werkt)</w:t>
      </w:r>
      <w:r w:rsidR="00BC3B66" w:rsidRPr="003234C3">
        <w:t>,</w:t>
      </w:r>
      <w:r w:rsidRPr="003234C3">
        <w:t xml:space="preserve"> ze in functie van de diergezondheid en het dierenwelzijn moeten kunnen ingezet worden.</w:t>
      </w:r>
    </w:p>
    <w:p w:rsidR="00BB290A" w:rsidRPr="003234C3" w:rsidRDefault="00BB290A" w:rsidP="00E92274">
      <w:pPr>
        <w:pStyle w:val="StandaardSV"/>
      </w:pPr>
    </w:p>
    <w:p w:rsidR="005D1691" w:rsidRPr="003234C3" w:rsidRDefault="00757E65" w:rsidP="00757E65">
      <w:pPr>
        <w:pStyle w:val="StandaardSV"/>
        <w:numPr>
          <w:ilvl w:val="0"/>
          <w:numId w:val="7"/>
        </w:numPr>
        <w:tabs>
          <w:tab w:val="left" w:pos="426"/>
        </w:tabs>
        <w:ind w:left="709" w:hanging="709"/>
      </w:pPr>
      <w:r>
        <w:t>a)</w:t>
      </w:r>
      <w:r>
        <w:tab/>
      </w:r>
      <w:r w:rsidR="005D1691" w:rsidRPr="003234C3">
        <w:t xml:space="preserve">In 2013 is een analyse gemaakt over de manier waarop een dergelijk </w:t>
      </w:r>
      <w:proofErr w:type="spellStart"/>
      <w:r w:rsidR="005D1691" w:rsidRPr="003234C3">
        <w:t>datacollectiesysteem</w:t>
      </w:r>
      <w:proofErr w:type="spellEnd"/>
      <w:r w:rsidR="005D1691" w:rsidRPr="003234C3">
        <w:t xml:space="preserve"> best kon ontwikkeld worden. Uit de 3 mogelijke pistes (volledig nieuw systeem, overnemen bestaand systeem uit buitenland, systeem aansluitend bij </w:t>
      </w:r>
      <w:proofErr w:type="spellStart"/>
      <w:r w:rsidR="005D1691" w:rsidRPr="003234C3">
        <w:t>Sanitel</w:t>
      </w:r>
      <w:proofErr w:type="spellEnd"/>
      <w:r w:rsidR="005D1691" w:rsidRPr="003234C3">
        <w:t>) werd gekozen voor de derde optie. Begin 2014 zal begonnen worden met de ontwikkeling ervan, met als doel om in de 2</w:t>
      </w:r>
      <w:r w:rsidR="005D1691" w:rsidRPr="003234C3">
        <w:rPr>
          <w:vertAlign w:val="superscript"/>
        </w:rPr>
        <w:t>de</w:t>
      </w:r>
      <w:r w:rsidR="005D1691" w:rsidRPr="003234C3">
        <w:t xml:space="preserve"> helft van 2014 over een operationeel systeem te beschikken.</w:t>
      </w:r>
    </w:p>
    <w:p w:rsidR="005D1691" w:rsidRPr="003234C3" w:rsidRDefault="005D1691" w:rsidP="000668B4">
      <w:pPr>
        <w:pStyle w:val="StandaardSV"/>
      </w:pPr>
    </w:p>
    <w:p w:rsidR="00BB290A" w:rsidRPr="003234C3" w:rsidRDefault="005D1691" w:rsidP="00757E65">
      <w:pPr>
        <w:pStyle w:val="StandaardSV"/>
        <w:ind w:left="708"/>
      </w:pPr>
      <w:r w:rsidRPr="003234C3">
        <w:t xml:space="preserve">Intussen hebben ook </w:t>
      </w:r>
      <w:proofErr w:type="spellStart"/>
      <w:r w:rsidRPr="003234C3">
        <w:t>Belporc</w:t>
      </w:r>
      <w:proofErr w:type="spellEnd"/>
      <w:r w:rsidRPr="003234C3">
        <w:t xml:space="preserve"> en </w:t>
      </w:r>
      <w:proofErr w:type="spellStart"/>
      <w:r w:rsidRPr="003234C3">
        <w:t>Belplume</w:t>
      </w:r>
      <w:proofErr w:type="spellEnd"/>
      <w:r w:rsidRPr="003234C3">
        <w:t xml:space="preserve"> een eigen systeem ontwikkeld aansluitend bij het Duitse kwaliteitssysteem Q&amp;S (</w:t>
      </w:r>
      <w:proofErr w:type="spellStart"/>
      <w:r w:rsidRPr="003234C3">
        <w:t>Qualität</w:t>
      </w:r>
      <w:proofErr w:type="spellEnd"/>
      <w:r w:rsidRPr="003234C3">
        <w:t xml:space="preserve"> &amp; </w:t>
      </w:r>
      <w:proofErr w:type="spellStart"/>
      <w:r w:rsidRPr="003234C3">
        <w:t>Sicherheit</w:t>
      </w:r>
      <w:proofErr w:type="spellEnd"/>
      <w:r w:rsidRPr="003234C3">
        <w:t xml:space="preserve">) en in het kader van export naar Duitsland. De hier verzamelde gegevens zullen eveneens geïntegreerd worden in </w:t>
      </w:r>
      <w:r w:rsidR="00681746" w:rsidRPr="003234C3">
        <w:t xml:space="preserve">het </w:t>
      </w:r>
      <w:r w:rsidRPr="003234C3">
        <w:t>systeem dat door het FA</w:t>
      </w:r>
      <w:r w:rsidR="001F2779" w:rsidRPr="003234C3">
        <w:t>VV</w:t>
      </w:r>
      <w:r w:rsidRPr="003234C3">
        <w:t xml:space="preserve"> wordt ontwikkeld. </w:t>
      </w:r>
    </w:p>
    <w:p w:rsidR="00681746" w:rsidRPr="003234C3" w:rsidRDefault="00681746" w:rsidP="00E92274">
      <w:pPr>
        <w:pStyle w:val="StandaardSV"/>
      </w:pPr>
    </w:p>
    <w:p w:rsidR="00681746" w:rsidRPr="003234C3" w:rsidRDefault="003234C3" w:rsidP="00757E65">
      <w:pPr>
        <w:pStyle w:val="StandaardSV"/>
        <w:ind w:left="709" w:hanging="283"/>
      </w:pPr>
      <w:r w:rsidRPr="003234C3">
        <w:t>b)</w:t>
      </w:r>
      <w:r w:rsidR="00757E65">
        <w:tab/>
      </w:r>
      <w:r w:rsidR="00681746" w:rsidRPr="003234C3">
        <w:t xml:space="preserve">Dierengezondheidszorg Vlaanderen </w:t>
      </w:r>
      <w:r w:rsidR="00C44946" w:rsidRPr="003234C3">
        <w:t>neemt</w:t>
      </w:r>
      <w:r w:rsidR="00681746" w:rsidRPr="003234C3">
        <w:t xml:space="preserve"> in het kader van </w:t>
      </w:r>
      <w:r w:rsidR="00C44946" w:rsidRPr="003234C3">
        <w:t>het</w:t>
      </w:r>
      <w:r w:rsidR="00681746" w:rsidRPr="003234C3">
        <w:t xml:space="preserve"> offici</w:t>
      </w:r>
      <w:r w:rsidR="003C2FC2" w:rsidRPr="003234C3">
        <w:t>ë</w:t>
      </w:r>
      <w:r w:rsidR="00681746" w:rsidRPr="003234C3">
        <w:t>l</w:t>
      </w:r>
      <w:r w:rsidR="003C2FC2" w:rsidRPr="003234C3">
        <w:t>e</w:t>
      </w:r>
      <w:r w:rsidR="00681746" w:rsidRPr="003234C3">
        <w:t xml:space="preserve"> </w:t>
      </w:r>
      <w:r w:rsidR="00C44946" w:rsidRPr="003234C3">
        <w:t xml:space="preserve">controleplan ook stalen bij verschillende diersoorten. Als in deze stalen indicatorkiemen (E. coli, </w:t>
      </w:r>
      <w:proofErr w:type="spellStart"/>
      <w:r w:rsidR="00C44946" w:rsidRPr="003234C3">
        <w:t>enterococcen</w:t>
      </w:r>
      <w:proofErr w:type="spellEnd"/>
      <w:r w:rsidR="00C44946" w:rsidRPr="003234C3">
        <w:t>) worden teruggevonden, wordt door het CODA een resistentiebepaling uitgevoerd.</w:t>
      </w:r>
      <w:r w:rsidR="00681746" w:rsidRPr="003234C3">
        <w:t xml:space="preserve"> </w:t>
      </w:r>
      <w:r w:rsidR="00C44946" w:rsidRPr="003234C3">
        <w:t>Bedoeling is om ook d</w:t>
      </w:r>
      <w:r w:rsidR="00681746" w:rsidRPr="003234C3">
        <w:t>e</w:t>
      </w:r>
      <w:r w:rsidR="00C44946" w:rsidRPr="003234C3">
        <w:t>ze</w:t>
      </w:r>
      <w:r w:rsidR="00681746" w:rsidRPr="003234C3">
        <w:t xml:space="preserve"> resultaten terug</w:t>
      </w:r>
      <w:r w:rsidR="00C44946" w:rsidRPr="003234C3">
        <w:t xml:space="preserve"> te </w:t>
      </w:r>
      <w:r w:rsidR="00681746" w:rsidRPr="003234C3">
        <w:t>ko</w:t>
      </w:r>
      <w:r w:rsidR="00C24304" w:rsidRPr="003234C3">
        <w:t>ppel</w:t>
      </w:r>
      <w:r w:rsidR="00C44946" w:rsidRPr="003234C3">
        <w:t>en</w:t>
      </w:r>
      <w:r w:rsidR="00C24304" w:rsidRPr="003234C3">
        <w:t xml:space="preserve"> met het </w:t>
      </w:r>
      <w:proofErr w:type="spellStart"/>
      <w:r w:rsidR="00C24304" w:rsidRPr="003234C3">
        <w:t>datacollectiesysteem</w:t>
      </w:r>
      <w:proofErr w:type="spellEnd"/>
      <w:r w:rsidR="00C24304" w:rsidRPr="003234C3">
        <w:t>-in-ontwikkeling.</w:t>
      </w:r>
    </w:p>
    <w:p w:rsidR="00BC3B4F" w:rsidRPr="00757E65" w:rsidRDefault="00BC3B4F" w:rsidP="00757E65">
      <w:pPr>
        <w:jc w:val="both"/>
        <w:rPr>
          <w:sz w:val="22"/>
          <w:szCs w:val="22"/>
        </w:rPr>
      </w:pPr>
    </w:p>
    <w:p w:rsidR="0057548E" w:rsidRPr="00757E65" w:rsidRDefault="0057548E" w:rsidP="00757E65">
      <w:pPr>
        <w:pStyle w:val="Lijstalinea"/>
        <w:numPr>
          <w:ilvl w:val="0"/>
          <w:numId w:val="7"/>
        </w:numPr>
        <w:jc w:val="both"/>
        <w:rPr>
          <w:rFonts w:ascii="Times New Roman" w:hAnsi="Times New Roman" w:cs="Times New Roman"/>
        </w:rPr>
      </w:pPr>
      <w:r w:rsidRPr="00757E65">
        <w:rPr>
          <w:rFonts w:ascii="Times New Roman" w:hAnsi="Times New Roman" w:cs="Times New Roman"/>
        </w:rPr>
        <w:t>In het kader van de oproep demoprojecten 2012, thema “Antibioticagebruik in de veehouderij: reductie van antibioticagebruik”</w:t>
      </w:r>
      <w:r w:rsidR="003C2FC2" w:rsidRPr="00757E65">
        <w:rPr>
          <w:rFonts w:ascii="Times New Roman" w:hAnsi="Times New Roman" w:cs="Times New Roman"/>
        </w:rPr>
        <w:t xml:space="preserve"> </w:t>
      </w:r>
      <w:r w:rsidRPr="00757E65">
        <w:rPr>
          <w:rFonts w:ascii="Times New Roman" w:hAnsi="Times New Roman" w:cs="Times New Roman"/>
        </w:rPr>
        <w:t>zijn er 2 lopende projecten (looptijd 2013-2015) goedgekeurd:</w:t>
      </w:r>
    </w:p>
    <w:p w:rsidR="00757E65" w:rsidRDefault="00757E65" w:rsidP="00757E65">
      <w:pPr>
        <w:jc w:val="both"/>
        <w:rPr>
          <w:sz w:val="22"/>
          <w:szCs w:val="22"/>
        </w:rPr>
      </w:pPr>
    </w:p>
    <w:p w:rsidR="0057548E" w:rsidRPr="00757E65" w:rsidRDefault="0057548E" w:rsidP="00757E65">
      <w:pPr>
        <w:ind w:left="360"/>
        <w:jc w:val="both"/>
        <w:rPr>
          <w:sz w:val="22"/>
          <w:szCs w:val="22"/>
        </w:rPr>
      </w:pPr>
      <w:r w:rsidRPr="00757E65">
        <w:rPr>
          <w:sz w:val="22"/>
          <w:szCs w:val="22"/>
        </w:rPr>
        <w:t xml:space="preserve">1/ </w:t>
      </w:r>
      <w:hyperlink r:id="rId6" w:history="1">
        <w:r w:rsidRPr="00757E65">
          <w:rPr>
            <w:sz w:val="22"/>
            <w:szCs w:val="22"/>
          </w:rPr>
          <w:t>Verantwoord antibioticagebruik in de intensieve veehouderij</w:t>
        </w:r>
      </w:hyperlink>
    </w:p>
    <w:p w:rsidR="00757E65" w:rsidRDefault="00757E65" w:rsidP="00757E65">
      <w:pPr>
        <w:pStyle w:val="Normaalweb"/>
        <w:spacing w:before="0" w:beforeAutospacing="0" w:after="0" w:afterAutospacing="0"/>
        <w:jc w:val="both"/>
        <w:rPr>
          <w:rFonts w:eastAsia="Times New Roman"/>
          <w:sz w:val="22"/>
          <w:szCs w:val="22"/>
          <w:lang w:val="nl-NL" w:eastAsia="nl-NL"/>
        </w:rPr>
      </w:pPr>
    </w:p>
    <w:p w:rsidR="0057548E" w:rsidRPr="00757E65" w:rsidRDefault="0057548E" w:rsidP="00757E65">
      <w:pPr>
        <w:pStyle w:val="Normaalweb"/>
        <w:spacing w:before="0" w:beforeAutospacing="0" w:after="0" w:afterAutospacing="0"/>
        <w:ind w:left="360"/>
        <w:jc w:val="both"/>
        <w:rPr>
          <w:rFonts w:eastAsia="Times New Roman"/>
          <w:sz w:val="22"/>
          <w:szCs w:val="22"/>
          <w:lang w:val="nl-NL" w:eastAsia="nl-NL"/>
        </w:rPr>
      </w:pPr>
      <w:r w:rsidRPr="00757E65">
        <w:rPr>
          <w:rFonts w:eastAsia="Times New Roman"/>
          <w:sz w:val="22"/>
          <w:szCs w:val="22"/>
          <w:lang w:val="nl-NL" w:eastAsia="nl-NL"/>
        </w:rPr>
        <w:t xml:space="preserve">Uitvoerders: </w:t>
      </w:r>
      <w:proofErr w:type="spellStart"/>
      <w:r w:rsidRPr="00757E65">
        <w:rPr>
          <w:rFonts w:eastAsia="Times New Roman"/>
          <w:sz w:val="22"/>
          <w:szCs w:val="22"/>
          <w:lang w:val="nl-NL" w:eastAsia="nl-NL"/>
        </w:rPr>
        <w:t>BoerenBond</w:t>
      </w:r>
      <w:proofErr w:type="spellEnd"/>
      <w:r w:rsidRPr="00757E65">
        <w:rPr>
          <w:rFonts w:eastAsia="Times New Roman"/>
          <w:sz w:val="22"/>
          <w:szCs w:val="22"/>
          <w:lang w:val="nl-NL" w:eastAsia="nl-NL"/>
        </w:rPr>
        <w:t xml:space="preserve">, </w:t>
      </w:r>
      <w:proofErr w:type="spellStart"/>
      <w:r w:rsidRPr="00757E65">
        <w:rPr>
          <w:rFonts w:eastAsia="Times New Roman"/>
          <w:sz w:val="22"/>
          <w:szCs w:val="22"/>
          <w:lang w:val="nl-NL" w:eastAsia="nl-NL"/>
        </w:rPr>
        <w:t>Vives</w:t>
      </w:r>
      <w:proofErr w:type="spellEnd"/>
      <w:r w:rsidRPr="00757E65">
        <w:rPr>
          <w:rFonts w:eastAsia="Times New Roman"/>
          <w:sz w:val="22"/>
          <w:szCs w:val="22"/>
          <w:lang w:val="nl-NL" w:eastAsia="nl-NL"/>
        </w:rPr>
        <w:t xml:space="preserve"> Roeselare, Universiteit Gent Faculteit Diergeneeskunde, Dieren</w:t>
      </w:r>
      <w:r w:rsidR="00757E65">
        <w:rPr>
          <w:rFonts w:eastAsia="Times New Roman"/>
          <w:sz w:val="22"/>
          <w:szCs w:val="22"/>
          <w:lang w:val="nl-NL" w:eastAsia="nl-NL"/>
        </w:rPr>
        <w:t>gezondheidszorg Vlaanderen vzw, Proefbedrijf</w:t>
      </w:r>
      <w:bookmarkStart w:id="0" w:name="_GoBack"/>
      <w:bookmarkEnd w:id="0"/>
      <w:r w:rsidRPr="00757E65">
        <w:rPr>
          <w:rFonts w:eastAsia="Times New Roman"/>
          <w:sz w:val="22"/>
          <w:szCs w:val="22"/>
          <w:lang w:val="nl-NL" w:eastAsia="nl-NL"/>
        </w:rPr>
        <w:t xml:space="preserve"> Pluimveehouderij vzw.</w:t>
      </w:r>
    </w:p>
    <w:p w:rsidR="0057548E" w:rsidRPr="00757E65" w:rsidRDefault="0057548E" w:rsidP="00757E65">
      <w:pPr>
        <w:pStyle w:val="Normaalweb"/>
        <w:spacing w:before="0" w:beforeAutospacing="0" w:after="0" w:afterAutospacing="0"/>
        <w:jc w:val="both"/>
        <w:rPr>
          <w:rFonts w:eastAsia="Times New Roman"/>
          <w:sz w:val="22"/>
          <w:szCs w:val="22"/>
          <w:lang w:val="nl-NL" w:eastAsia="nl-NL"/>
        </w:rPr>
      </w:pPr>
    </w:p>
    <w:p w:rsidR="0057548E" w:rsidRPr="00757E65" w:rsidRDefault="0057548E" w:rsidP="00757E65">
      <w:pPr>
        <w:ind w:left="360"/>
        <w:jc w:val="both"/>
        <w:rPr>
          <w:sz w:val="22"/>
          <w:szCs w:val="22"/>
        </w:rPr>
      </w:pPr>
      <w:r w:rsidRPr="00757E65">
        <w:rPr>
          <w:sz w:val="22"/>
          <w:szCs w:val="22"/>
        </w:rPr>
        <w:t xml:space="preserve">Voor de vleeskalversector zal  aan de hand van bedrijfsbezoeken de reeds aanwezige informatie over het antibioticumgebruik verder vervolledigd en gevalideerd worden. Er zal o.a. beeldmateriaal worden verzameld om protocollen te kunnen stofferen ter reductie van antibioticumgebruik. </w:t>
      </w:r>
    </w:p>
    <w:p w:rsidR="0057548E" w:rsidRPr="00757E65" w:rsidRDefault="0057548E" w:rsidP="00757E65">
      <w:pPr>
        <w:pStyle w:val="Normaalweb"/>
        <w:spacing w:before="0" w:beforeAutospacing="0" w:after="0" w:afterAutospacing="0"/>
        <w:ind w:left="360"/>
        <w:jc w:val="both"/>
        <w:rPr>
          <w:rFonts w:eastAsia="Times New Roman"/>
          <w:sz w:val="22"/>
          <w:szCs w:val="22"/>
          <w:lang w:val="nl-NL" w:eastAsia="nl-NL"/>
        </w:rPr>
      </w:pPr>
      <w:r w:rsidRPr="00757E65">
        <w:rPr>
          <w:rFonts w:eastAsia="Times New Roman"/>
          <w:sz w:val="22"/>
          <w:szCs w:val="22"/>
          <w:lang w:val="nl-NL" w:eastAsia="nl-NL"/>
        </w:rPr>
        <w:t>Voor varkens en pluimvee zullen de resultaten uit een eerder proje</w:t>
      </w:r>
      <w:r w:rsidR="00BC3B66" w:rsidRPr="00757E65">
        <w:rPr>
          <w:rFonts w:eastAsia="Times New Roman"/>
          <w:sz w:val="22"/>
          <w:szCs w:val="22"/>
          <w:lang w:val="nl-NL" w:eastAsia="nl-NL"/>
        </w:rPr>
        <w:t>ct worden aangevuld en vertaald</w:t>
      </w:r>
      <w:r w:rsidRPr="00757E65">
        <w:rPr>
          <w:rFonts w:eastAsia="Times New Roman"/>
          <w:sz w:val="22"/>
          <w:szCs w:val="22"/>
          <w:lang w:val="nl-NL" w:eastAsia="nl-NL"/>
        </w:rPr>
        <w:t>, aangepast aan de doelgroep.</w:t>
      </w:r>
    </w:p>
    <w:p w:rsidR="0057548E" w:rsidRDefault="0057548E" w:rsidP="00757E65">
      <w:pPr>
        <w:ind w:left="360"/>
        <w:jc w:val="both"/>
        <w:rPr>
          <w:sz w:val="22"/>
          <w:szCs w:val="22"/>
        </w:rPr>
      </w:pPr>
      <w:r w:rsidRPr="00757E65">
        <w:rPr>
          <w:sz w:val="22"/>
          <w:szCs w:val="22"/>
        </w:rPr>
        <w:t xml:space="preserve">Er zal in de voorlichtingscampagne maximaal ingezet worden op het gebruik van alternatieve vormen waarbij </w:t>
      </w:r>
      <w:r w:rsidR="001F2779" w:rsidRPr="00757E65">
        <w:rPr>
          <w:sz w:val="22"/>
          <w:szCs w:val="22"/>
        </w:rPr>
        <w:t>telers</w:t>
      </w:r>
      <w:r w:rsidRPr="00757E65">
        <w:rPr>
          <w:sz w:val="22"/>
          <w:szCs w:val="22"/>
        </w:rPr>
        <w:t xml:space="preserve"> zullen getuigen vanuit hun dagelijkse bedrijfspraktijk. </w:t>
      </w:r>
    </w:p>
    <w:p w:rsidR="00757E65" w:rsidRPr="00757E65" w:rsidRDefault="00757E65" w:rsidP="00757E65">
      <w:pPr>
        <w:ind w:left="360"/>
        <w:jc w:val="both"/>
        <w:rPr>
          <w:sz w:val="22"/>
          <w:szCs w:val="22"/>
        </w:rPr>
      </w:pPr>
    </w:p>
    <w:p w:rsidR="0057548E" w:rsidRPr="00757E65" w:rsidRDefault="0057548E" w:rsidP="00757E65">
      <w:pPr>
        <w:ind w:left="360"/>
        <w:jc w:val="both"/>
        <w:rPr>
          <w:sz w:val="22"/>
          <w:szCs w:val="22"/>
        </w:rPr>
      </w:pPr>
      <w:r w:rsidRPr="00757E65">
        <w:rPr>
          <w:sz w:val="22"/>
          <w:szCs w:val="22"/>
        </w:rPr>
        <w:t>2/ Verantwoord gebruik van antibiotica in de Vlaamse melkveehouderij door communicatie, opleiding en begeleiding</w:t>
      </w:r>
    </w:p>
    <w:p w:rsidR="00757E65" w:rsidRDefault="00757E65" w:rsidP="00757E65">
      <w:pPr>
        <w:pStyle w:val="Normaalweb"/>
        <w:spacing w:before="0" w:beforeAutospacing="0" w:after="0" w:afterAutospacing="0"/>
        <w:jc w:val="both"/>
        <w:rPr>
          <w:rFonts w:eastAsia="Times New Roman"/>
          <w:sz w:val="22"/>
          <w:szCs w:val="22"/>
          <w:lang w:val="nl-NL" w:eastAsia="nl-NL"/>
        </w:rPr>
      </w:pPr>
    </w:p>
    <w:p w:rsidR="0057548E" w:rsidRPr="00757E65" w:rsidRDefault="0057548E" w:rsidP="00757E65">
      <w:pPr>
        <w:pStyle w:val="Normaalweb"/>
        <w:spacing w:before="0" w:beforeAutospacing="0" w:after="0" w:afterAutospacing="0"/>
        <w:ind w:left="360"/>
        <w:jc w:val="both"/>
        <w:rPr>
          <w:rFonts w:eastAsia="Times New Roman"/>
          <w:sz w:val="22"/>
          <w:szCs w:val="22"/>
          <w:lang w:val="nl-NL" w:eastAsia="nl-NL"/>
        </w:rPr>
      </w:pPr>
      <w:r w:rsidRPr="00757E65">
        <w:rPr>
          <w:rFonts w:eastAsia="Times New Roman"/>
          <w:sz w:val="22"/>
          <w:szCs w:val="22"/>
          <w:lang w:val="nl-NL" w:eastAsia="nl-NL"/>
        </w:rPr>
        <w:t xml:space="preserve">Uitvoerders hiervan </w:t>
      </w:r>
      <w:r w:rsidR="003C2FC2" w:rsidRPr="00757E65">
        <w:rPr>
          <w:rFonts w:eastAsia="Times New Roman"/>
          <w:sz w:val="22"/>
          <w:szCs w:val="22"/>
          <w:lang w:val="nl-NL" w:eastAsia="nl-NL"/>
        </w:rPr>
        <w:t>zijn</w:t>
      </w:r>
      <w:r w:rsidRPr="00757E65">
        <w:rPr>
          <w:rFonts w:eastAsia="Times New Roman"/>
          <w:sz w:val="22"/>
          <w:szCs w:val="22"/>
          <w:lang w:val="nl-NL" w:eastAsia="nl-NL"/>
        </w:rPr>
        <w:t xml:space="preserve"> MCC-Vlaanderen, DGZ-Vlaanderen, Boerenbond, BCZ-CBL, Hooibeekhoeve, schoolhoeve </w:t>
      </w:r>
      <w:proofErr w:type="spellStart"/>
      <w:r w:rsidRPr="00757E65">
        <w:rPr>
          <w:rFonts w:eastAsia="Times New Roman"/>
          <w:sz w:val="22"/>
          <w:szCs w:val="22"/>
          <w:lang w:val="nl-NL" w:eastAsia="nl-NL"/>
        </w:rPr>
        <w:t>Axelwalle</w:t>
      </w:r>
      <w:proofErr w:type="spellEnd"/>
      <w:r w:rsidR="003C2FC2" w:rsidRPr="00757E65">
        <w:rPr>
          <w:rFonts w:eastAsia="Times New Roman"/>
          <w:sz w:val="22"/>
          <w:szCs w:val="22"/>
          <w:lang w:val="nl-NL" w:eastAsia="nl-NL"/>
        </w:rPr>
        <w:t xml:space="preserve"> en</w:t>
      </w:r>
      <w:r w:rsidRPr="00757E65">
        <w:rPr>
          <w:rFonts w:eastAsia="Times New Roman"/>
          <w:sz w:val="22"/>
          <w:szCs w:val="22"/>
          <w:lang w:val="nl-NL" w:eastAsia="nl-NL"/>
        </w:rPr>
        <w:t xml:space="preserve"> PVL </w:t>
      </w:r>
      <w:proofErr w:type="spellStart"/>
      <w:r w:rsidRPr="00757E65">
        <w:rPr>
          <w:rFonts w:eastAsia="Times New Roman"/>
          <w:sz w:val="22"/>
          <w:szCs w:val="22"/>
          <w:lang w:val="nl-NL" w:eastAsia="nl-NL"/>
        </w:rPr>
        <w:t>Bocholt</w:t>
      </w:r>
      <w:proofErr w:type="spellEnd"/>
      <w:r w:rsidR="003C2FC2" w:rsidRPr="00757E65">
        <w:rPr>
          <w:rFonts w:eastAsia="Times New Roman"/>
          <w:sz w:val="22"/>
          <w:szCs w:val="22"/>
          <w:lang w:val="nl-NL" w:eastAsia="nl-NL"/>
        </w:rPr>
        <w:t>.</w:t>
      </w:r>
    </w:p>
    <w:sectPr w:rsidR="0057548E" w:rsidRPr="00757E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E4FB8"/>
    <w:multiLevelType w:val="hybridMultilevel"/>
    <w:tmpl w:val="74D8E2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23802425"/>
    <w:multiLevelType w:val="hybridMultilevel"/>
    <w:tmpl w:val="A4863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8825D6"/>
    <w:multiLevelType w:val="hybridMultilevel"/>
    <w:tmpl w:val="34DC2818"/>
    <w:lvl w:ilvl="0" w:tplc="0813000F">
      <w:start w:val="5"/>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DFC62E5"/>
    <w:multiLevelType w:val="hybridMultilevel"/>
    <w:tmpl w:val="75129F92"/>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30FF6787"/>
    <w:multiLevelType w:val="hybridMultilevel"/>
    <w:tmpl w:val="C2BE97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339B7075"/>
    <w:multiLevelType w:val="hybridMultilevel"/>
    <w:tmpl w:val="EFA8A368"/>
    <w:lvl w:ilvl="0" w:tplc="0813000F">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C321774"/>
    <w:multiLevelType w:val="hybridMultilevel"/>
    <w:tmpl w:val="9926EC9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nsid w:val="797D10F7"/>
    <w:multiLevelType w:val="hybridMultilevel"/>
    <w:tmpl w:val="CBC02EF8"/>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74"/>
    <w:rsid w:val="000668B4"/>
    <w:rsid w:val="00110176"/>
    <w:rsid w:val="001F2779"/>
    <w:rsid w:val="003234C3"/>
    <w:rsid w:val="003C2FC2"/>
    <w:rsid w:val="004B2EC8"/>
    <w:rsid w:val="0057548E"/>
    <w:rsid w:val="005D1691"/>
    <w:rsid w:val="00681746"/>
    <w:rsid w:val="00757E65"/>
    <w:rsid w:val="007F27A7"/>
    <w:rsid w:val="008C3275"/>
    <w:rsid w:val="00AB0E35"/>
    <w:rsid w:val="00AD763D"/>
    <w:rsid w:val="00B97BD6"/>
    <w:rsid w:val="00BB290A"/>
    <w:rsid w:val="00BC3B4F"/>
    <w:rsid w:val="00BC3B66"/>
    <w:rsid w:val="00BF0FA3"/>
    <w:rsid w:val="00BF1349"/>
    <w:rsid w:val="00C24304"/>
    <w:rsid w:val="00C44946"/>
    <w:rsid w:val="00CE480A"/>
    <w:rsid w:val="00D32881"/>
    <w:rsid w:val="00E922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27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E92274"/>
    <w:pPr>
      <w:jc w:val="both"/>
    </w:pPr>
    <w:rPr>
      <w:b/>
      <w:smallCaps/>
      <w:sz w:val="22"/>
    </w:rPr>
  </w:style>
  <w:style w:type="paragraph" w:customStyle="1" w:styleId="StandaardSV">
    <w:name w:val="Standaard SV"/>
    <w:basedOn w:val="Standaard"/>
    <w:link w:val="StandaardSVChar"/>
    <w:rsid w:val="00E92274"/>
    <w:pPr>
      <w:jc w:val="both"/>
    </w:pPr>
    <w:rPr>
      <w:sz w:val="22"/>
    </w:rPr>
  </w:style>
  <w:style w:type="character" w:customStyle="1" w:styleId="StandaardSVChar">
    <w:name w:val="Standaard SV Char"/>
    <w:link w:val="StandaardSV"/>
    <w:locked/>
    <w:rsid w:val="00E92274"/>
    <w:rPr>
      <w:rFonts w:ascii="Times New Roman" w:eastAsia="Times New Roman" w:hAnsi="Times New Roman" w:cs="Times New Roman"/>
      <w:szCs w:val="20"/>
      <w:lang w:val="nl-NL" w:eastAsia="nl-NL"/>
    </w:rPr>
  </w:style>
  <w:style w:type="table" w:styleId="Tabelraster">
    <w:name w:val="Table Grid"/>
    <w:basedOn w:val="Standaardtabel"/>
    <w:uiPriority w:val="59"/>
    <w:rsid w:val="0011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10176"/>
    <w:pPr>
      <w:ind w:left="720"/>
    </w:pPr>
    <w:rPr>
      <w:rFonts w:ascii="Calibri" w:eastAsiaTheme="minorHAnsi" w:hAnsi="Calibri" w:cs="Calibri"/>
      <w:sz w:val="22"/>
      <w:szCs w:val="22"/>
      <w:lang w:val="nl-BE" w:eastAsia="nl-BE"/>
    </w:rPr>
  </w:style>
  <w:style w:type="character" w:styleId="Hyperlink">
    <w:name w:val="Hyperlink"/>
    <w:basedOn w:val="Standaardalinea-lettertype"/>
    <w:uiPriority w:val="99"/>
    <w:unhideWhenUsed/>
    <w:rsid w:val="0057548E"/>
    <w:rPr>
      <w:color w:val="0000FF"/>
      <w:u w:val="single"/>
    </w:rPr>
  </w:style>
  <w:style w:type="paragraph" w:styleId="Normaalweb">
    <w:name w:val="Normal (Web)"/>
    <w:basedOn w:val="Standaard"/>
    <w:uiPriority w:val="99"/>
    <w:unhideWhenUsed/>
    <w:rsid w:val="0057548E"/>
    <w:pPr>
      <w:spacing w:before="100" w:beforeAutospacing="1" w:after="100" w:afterAutospacing="1"/>
    </w:pPr>
    <w:rPr>
      <w:rFonts w:eastAsiaTheme="minorHAnsi"/>
      <w:szCs w:val="24"/>
      <w:lang w:val="nl-BE" w:eastAsia="nl-BE"/>
    </w:rPr>
  </w:style>
  <w:style w:type="character" w:styleId="Verwijzingopmerking">
    <w:name w:val="annotation reference"/>
    <w:basedOn w:val="Standaardalinea-lettertype"/>
    <w:uiPriority w:val="99"/>
    <w:semiHidden/>
    <w:unhideWhenUsed/>
    <w:rsid w:val="00BB290A"/>
    <w:rPr>
      <w:sz w:val="16"/>
      <w:szCs w:val="16"/>
    </w:rPr>
  </w:style>
  <w:style w:type="paragraph" w:styleId="Tekstopmerking">
    <w:name w:val="annotation text"/>
    <w:basedOn w:val="Standaard"/>
    <w:link w:val="TekstopmerkingChar"/>
    <w:uiPriority w:val="99"/>
    <w:semiHidden/>
    <w:unhideWhenUsed/>
    <w:rsid w:val="00BB290A"/>
    <w:rPr>
      <w:sz w:val="20"/>
    </w:rPr>
  </w:style>
  <w:style w:type="character" w:customStyle="1" w:styleId="TekstopmerkingChar">
    <w:name w:val="Tekst opmerking Char"/>
    <w:basedOn w:val="Standaardalinea-lettertype"/>
    <w:link w:val="Tekstopmerking"/>
    <w:uiPriority w:val="99"/>
    <w:semiHidden/>
    <w:rsid w:val="00BB290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B290A"/>
    <w:rPr>
      <w:b/>
      <w:bCs/>
    </w:rPr>
  </w:style>
  <w:style w:type="character" w:customStyle="1" w:styleId="OnderwerpvanopmerkingChar">
    <w:name w:val="Onderwerp van opmerking Char"/>
    <w:basedOn w:val="TekstopmerkingChar"/>
    <w:link w:val="Onderwerpvanopmerking"/>
    <w:uiPriority w:val="99"/>
    <w:semiHidden/>
    <w:rsid w:val="00BB290A"/>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BB290A"/>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90A"/>
    <w:rPr>
      <w:rFonts w:ascii="Tahoma" w:eastAsia="Times New Roman" w:hAnsi="Tahoma" w:cs="Tahoma"/>
      <w:sz w:val="16"/>
      <w:szCs w:val="16"/>
      <w:lang w:val="nl-NL" w:eastAsia="nl-NL"/>
    </w:rPr>
  </w:style>
  <w:style w:type="character" w:customStyle="1" w:styleId="st1">
    <w:name w:val="st1"/>
    <w:basedOn w:val="Standaardalinea-lettertype"/>
    <w:rsid w:val="005D16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274"/>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VlaamsParlement">
    <w:name w:val="SV Vlaams Parlement"/>
    <w:basedOn w:val="Standaard"/>
    <w:rsid w:val="00E92274"/>
    <w:pPr>
      <w:jc w:val="both"/>
    </w:pPr>
    <w:rPr>
      <w:b/>
      <w:smallCaps/>
      <w:sz w:val="22"/>
    </w:rPr>
  </w:style>
  <w:style w:type="paragraph" w:customStyle="1" w:styleId="StandaardSV">
    <w:name w:val="Standaard SV"/>
    <w:basedOn w:val="Standaard"/>
    <w:link w:val="StandaardSVChar"/>
    <w:rsid w:val="00E92274"/>
    <w:pPr>
      <w:jc w:val="both"/>
    </w:pPr>
    <w:rPr>
      <w:sz w:val="22"/>
    </w:rPr>
  </w:style>
  <w:style w:type="character" w:customStyle="1" w:styleId="StandaardSVChar">
    <w:name w:val="Standaard SV Char"/>
    <w:link w:val="StandaardSV"/>
    <w:locked/>
    <w:rsid w:val="00E92274"/>
    <w:rPr>
      <w:rFonts w:ascii="Times New Roman" w:eastAsia="Times New Roman" w:hAnsi="Times New Roman" w:cs="Times New Roman"/>
      <w:szCs w:val="20"/>
      <w:lang w:val="nl-NL" w:eastAsia="nl-NL"/>
    </w:rPr>
  </w:style>
  <w:style w:type="table" w:styleId="Tabelraster">
    <w:name w:val="Table Grid"/>
    <w:basedOn w:val="Standaardtabel"/>
    <w:uiPriority w:val="59"/>
    <w:rsid w:val="001101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110176"/>
    <w:pPr>
      <w:ind w:left="720"/>
    </w:pPr>
    <w:rPr>
      <w:rFonts w:ascii="Calibri" w:eastAsiaTheme="minorHAnsi" w:hAnsi="Calibri" w:cs="Calibri"/>
      <w:sz w:val="22"/>
      <w:szCs w:val="22"/>
      <w:lang w:val="nl-BE" w:eastAsia="nl-BE"/>
    </w:rPr>
  </w:style>
  <w:style w:type="character" w:styleId="Hyperlink">
    <w:name w:val="Hyperlink"/>
    <w:basedOn w:val="Standaardalinea-lettertype"/>
    <w:uiPriority w:val="99"/>
    <w:unhideWhenUsed/>
    <w:rsid w:val="0057548E"/>
    <w:rPr>
      <w:color w:val="0000FF"/>
      <w:u w:val="single"/>
    </w:rPr>
  </w:style>
  <w:style w:type="paragraph" w:styleId="Normaalweb">
    <w:name w:val="Normal (Web)"/>
    <w:basedOn w:val="Standaard"/>
    <w:uiPriority w:val="99"/>
    <w:unhideWhenUsed/>
    <w:rsid w:val="0057548E"/>
    <w:pPr>
      <w:spacing w:before="100" w:beforeAutospacing="1" w:after="100" w:afterAutospacing="1"/>
    </w:pPr>
    <w:rPr>
      <w:rFonts w:eastAsiaTheme="minorHAnsi"/>
      <w:szCs w:val="24"/>
      <w:lang w:val="nl-BE" w:eastAsia="nl-BE"/>
    </w:rPr>
  </w:style>
  <w:style w:type="character" w:styleId="Verwijzingopmerking">
    <w:name w:val="annotation reference"/>
    <w:basedOn w:val="Standaardalinea-lettertype"/>
    <w:uiPriority w:val="99"/>
    <w:semiHidden/>
    <w:unhideWhenUsed/>
    <w:rsid w:val="00BB290A"/>
    <w:rPr>
      <w:sz w:val="16"/>
      <w:szCs w:val="16"/>
    </w:rPr>
  </w:style>
  <w:style w:type="paragraph" w:styleId="Tekstopmerking">
    <w:name w:val="annotation text"/>
    <w:basedOn w:val="Standaard"/>
    <w:link w:val="TekstopmerkingChar"/>
    <w:uiPriority w:val="99"/>
    <w:semiHidden/>
    <w:unhideWhenUsed/>
    <w:rsid w:val="00BB290A"/>
    <w:rPr>
      <w:sz w:val="20"/>
    </w:rPr>
  </w:style>
  <w:style w:type="character" w:customStyle="1" w:styleId="TekstopmerkingChar">
    <w:name w:val="Tekst opmerking Char"/>
    <w:basedOn w:val="Standaardalinea-lettertype"/>
    <w:link w:val="Tekstopmerking"/>
    <w:uiPriority w:val="99"/>
    <w:semiHidden/>
    <w:rsid w:val="00BB290A"/>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BB290A"/>
    <w:rPr>
      <w:b/>
      <w:bCs/>
    </w:rPr>
  </w:style>
  <w:style w:type="character" w:customStyle="1" w:styleId="OnderwerpvanopmerkingChar">
    <w:name w:val="Onderwerp van opmerking Char"/>
    <w:basedOn w:val="TekstopmerkingChar"/>
    <w:link w:val="Onderwerpvanopmerking"/>
    <w:uiPriority w:val="99"/>
    <w:semiHidden/>
    <w:rsid w:val="00BB290A"/>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BB290A"/>
    <w:rPr>
      <w:rFonts w:ascii="Tahoma" w:hAnsi="Tahoma" w:cs="Tahoma"/>
      <w:sz w:val="16"/>
      <w:szCs w:val="16"/>
    </w:rPr>
  </w:style>
  <w:style w:type="character" w:customStyle="1" w:styleId="BallontekstChar">
    <w:name w:val="Ballontekst Char"/>
    <w:basedOn w:val="Standaardalinea-lettertype"/>
    <w:link w:val="Ballontekst"/>
    <w:uiPriority w:val="99"/>
    <w:semiHidden/>
    <w:rsid w:val="00BB290A"/>
    <w:rPr>
      <w:rFonts w:ascii="Tahoma" w:eastAsia="Times New Roman" w:hAnsi="Tahoma" w:cs="Tahoma"/>
      <w:sz w:val="16"/>
      <w:szCs w:val="16"/>
      <w:lang w:val="nl-NL" w:eastAsia="nl-NL"/>
    </w:rPr>
  </w:style>
  <w:style w:type="character" w:customStyle="1" w:styleId="st1">
    <w:name w:val="st1"/>
    <w:basedOn w:val="Standaardalinea-lettertype"/>
    <w:rsid w:val="005D1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18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v.vlaanderen.be/nlapps/docs/default.asp?id=307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984</Words>
  <Characters>5415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Leuven, Isabel</dc:creator>
  <cp:lastModifiedBy>Nathalie De Keyzer</cp:lastModifiedBy>
  <cp:revision>3</cp:revision>
  <cp:lastPrinted>2014-01-22T08:43:00Z</cp:lastPrinted>
  <dcterms:created xsi:type="dcterms:W3CDTF">2014-01-22T08:44:00Z</dcterms:created>
  <dcterms:modified xsi:type="dcterms:W3CDTF">2014-01-22T17:39:00Z</dcterms:modified>
</cp:coreProperties>
</file>