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D0" w:rsidRDefault="00467AD0" w:rsidP="00467AD0">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Pr>
          <w:rFonts w:ascii="Times New Roman Vet" w:hAnsi="Times New Roman Vet"/>
          <w:b/>
          <w:smallCaps/>
          <w:sz w:val="22"/>
          <w:szCs w:val="22"/>
          <w:lang w:val="nl-BE"/>
        </w:rPr>
        <w:t xml:space="preserve"> </w:t>
      </w:r>
      <w:proofErr w:type="spellStart"/>
      <w:r>
        <w:rPr>
          <w:rFonts w:ascii="Times New Roman Vet" w:hAnsi="Times New Roman Vet"/>
          <w:b/>
          <w:smallCaps/>
          <w:sz w:val="22"/>
          <w:szCs w:val="22"/>
          <w:lang w:val="nl-BE"/>
        </w:rPr>
        <w:t>muyters</w:t>
      </w:r>
      <w:proofErr w:type="spellEnd"/>
    </w:p>
    <w:p w:rsidR="00467AD0" w:rsidRDefault="00467AD0" w:rsidP="00467AD0">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Pr>
          <w:b/>
          <w:smallCaps/>
          <w:sz w:val="22"/>
          <w:szCs w:val="22"/>
          <w:lang w:val="nl-BE"/>
        </w:rPr>
        <w:t xml:space="preserve"> </w:t>
      </w:r>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E526F7">
            <w:rPr>
              <w:sz w:val="22"/>
              <w:szCs w:val="22"/>
              <w:lang w:val="nl-BE"/>
            </w:rPr>
            <w:t>82</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10-17T00:00:00Z">
            <w:dateFormat w:val="d MMMM yyyy"/>
            <w:lid w:val="nl-BE"/>
            <w:storeMappedDataAs w:val="dateTime"/>
            <w:calendar w:val="gregorian"/>
          </w:date>
        </w:sdtPr>
        <w:sdtEndPr/>
        <w:sdtContent>
          <w:r w:rsidR="00E526F7">
            <w:rPr>
              <w:sz w:val="22"/>
              <w:szCs w:val="22"/>
              <w:lang w:val="nl-BE"/>
            </w:rPr>
            <w:t>17 oktober 2013</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E526F7">
            <w:rPr>
              <w:b/>
              <w:caps/>
              <w:sz w:val="18"/>
              <w:szCs w:val="22"/>
              <w:lang w:val="nl-BE"/>
            </w:rPr>
            <w:t>Joke Quintens</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B47F5B">
          <w:pgSz w:w="11906" w:h="16838"/>
          <w:pgMar w:top="1418" w:right="1418" w:bottom="1418" w:left="1418" w:header="709" w:footer="709" w:gutter="0"/>
          <w:cols w:space="708"/>
          <w:docGrid w:linePitch="360"/>
        </w:sectPr>
      </w:pPr>
    </w:p>
    <w:p w:rsidR="0068216A" w:rsidRDefault="0068216A" w:rsidP="00B47F5B">
      <w:pPr>
        <w:jc w:val="both"/>
        <w:rPr>
          <w:sz w:val="22"/>
          <w:szCs w:val="22"/>
        </w:rPr>
      </w:pPr>
    </w:p>
    <w:p w:rsidR="00B47F5B" w:rsidRPr="005628FF" w:rsidRDefault="00B47F5B" w:rsidP="00B47F5B">
      <w:pPr>
        <w:jc w:val="both"/>
        <w:rPr>
          <w:sz w:val="22"/>
          <w:szCs w:val="22"/>
        </w:rPr>
      </w:pPr>
    </w:p>
    <w:p w:rsidR="00E526F7" w:rsidRDefault="00E526F7" w:rsidP="00B47F5B">
      <w:pPr>
        <w:pStyle w:val="StandaardSV"/>
        <w:numPr>
          <w:ilvl w:val="0"/>
          <w:numId w:val="9"/>
        </w:numPr>
        <w:tabs>
          <w:tab w:val="clear" w:pos="360"/>
          <w:tab w:val="left" w:pos="426"/>
          <w:tab w:val="num" w:pos="720"/>
        </w:tabs>
        <w:ind w:left="426" w:hanging="426"/>
        <w:jc w:val="left"/>
      </w:pPr>
      <w:r>
        <w:t xml:space="preserve">Volgende tabel geeft een overzicht van de Vlaamse centrale uitbestedingen (tenders genoemd) die lopen of opgestart werden in 2013. </w:t>
      </w:r>
      <w:r>
        <w:br/>
      </w:r>
    </w:p>
    <w:tbl>
      <w:tblPr>
        <w:tblW w:w="8930" w:type="dxa"/>
        <w:tblInd w:w="354" w:type="dxa"/>
        <w:tblCellMar>
          <w:left w:w="70" w:type="dxa"/>
          <w:right w:w="70" w:type="dxa"/>
        </w:tblCellMar>
        <w:tblLook w:val="04A0" w:firstRow="1" w:lastRow="0" w:firstColumn="1" w:lastColumn="0" w:noHBand="0" w:noVBand="1"/>
      </w:tblPr>
      <w:tblGrid>
        <w:gridCol w:w="635"/>
        <w:gridCol w:w="4097"/>
        <w:gridCol w:w="2108"/>
        <w:gridCol w:w="2144"/>
      </w:tblGrid>
      <w:tr w:rsidR="00E526F7" w:rsidTr="00E238CA">
        <w:trPr>
          <w:trHeight w:val="30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6F7" w:rsidRDefault="00E526F7" w:rsidP="00E238CA">
            <w:pPr>
              <w:tabs>
                <w:tab w:val="left" w:pos="426"/>
              </w:tabs>
              <w:ind w:left="426" w:hanging="426"/>
              <w:rPr>
                <w:i/>
                <w:iCs/>
                <w:color w:val="000000"/>
                <w:sz w:val="22"/>
                <w:szCs w:val="22"/>
              </w:rPr>
            </w:pPr>
            <w:r>
              <w:rPr>
                <w:i/>
                <w:iCs/>
                <w:color w:val="000000"/>
                <w:sz w:val="22"/>
                <w:szCs w:val="22"/>
              </w:rPr>
              <w:t>Jaar</w:t>
            </w:r>
          </w:p>
        </w:tc>
        <w:tc>
          <w:tcPr>
            <w:tcW w:w="4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6F7" w:rsidRDefault="00E526F7" w:rsidP="00E238CA">
            <w:pPr>
              <w:tabs>
                <w:tab w:val="left" w:pos="426"/>
              </w:tabs>
              <w:ind w:left="426" w:hanging="426"/>
              <w:rPr>
                <w:i/>
                <w:iCs/>
                <w:color w:val="000000"/>
                <w:sz w:val="22"/>
                <w:szCs w:val="22"/>
              </w:rPr>
            </w:pPr>
            <w:r>
              <w:rPr>
                <w:i/>
                <w:iCs/>
                <w:color w:val="000000"/>
                <w:sz w:val="22"/>
                <w:szCs w:val="22"/>
              </w:rPr>
              <w:t>Uitbesteding</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6F7" w:rsidRDefault="00E526F7" w:rsidP="00E238CA">
            <w:pPr>
              <w:tabs>
                <w:tab w:val="left" w:pos="426"/>
              </w:tabs>
              <w:ind w:left="426" w:hanging="426"/>
              <w:rPr>
                <w:i/>
                <w:iCs/>
                <w:color w:val="000000"/>
                <w:sz w:val="22"/>
                <w:szCs w:val="22"/>
              </w:rPr>
            </w:pPr>
            <w:r>
              <w:rPr>
                <w:i/>
                <w:iCs/>
                <w:color w:val="000000"/>
                <w:sz w:val="22"/>
                <w:szCs w:val="22"/>
              </w:rPr>
              <w:t>Opleiding/begeleiding</w:t>
            </w:r>
          </w:p>
        </w:tc>
        <w:tc>
          <w:tcPr>
            <w:tcW w:w="2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6F7" w:rsidRDefault="00E526F7" w:rsidP="00E238CA">
            <w:pPr>
              <w:tabs>
                <w:tab w:val="left" w:pos="426"/>
              </w:tabs>
              <w:ind w:left="426" w:hanging="426"/>
              <w:rPr>
                <w:i/>
                <w:iCs/>
                <w:color w:val="000000"/>
                <w:sz w:val="22"/>
                <w:szCs w:val="22"/>
              </w:rPr>
            </w:pPr>
            <w:r>
              <w:rPr>
                <w:i/>
                <w:iCs/>
                <w:color w:val="000000"/>
                <w:sz w:val="22"/>
                <w:szCs w:val="22"/>
              </w:rPr>
              <w:t>Looptijd uitbesteding (</w:t>
            </w:r>
            <w:proofErr w:type="spellStart"/>
            <w:r>
              <w:rPr>
                <w:i/>
                <w:iCs/>
                <w:color w:val="000000"/>
                <w:sz w:val="22"/>
                <w:szCs w:val="22"/>
              </w:rPr>
              <w:t>incl</w:t>
            </w:r>
            <w:proofErr w:type="spellEnd"/>
            <w:r>
              <w:rPr>
                <w:i/>
                <w:iCs/>
                <w:color w:val="000000"/>
                <w:sz w:val="22"/>
                <w:szCs w:val="22"/>
              </w:rPr>
              <w:t xml:space="preserve"> mogelijke verlenging) </w:t>
            </w:r>
          </w:p>
        </w:tc>
      </w:tr>
      <w:tr w:rsidR="00E526F7" w:rsidTr="00E238CA">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E526F7" w:rsidRDefault="00E526F7" w:rsidP="00E238CA">
            <w:pPr>
              <w:tabs>
                <w:tab w:val="left" w:pos="426"/>
              </w:tabs>
              <w:ind w:left="426" w:hanging="426"/>
              <w:rPr>
                <w:i/>
                <w:iCs/>
                <w:color w:val="000000"/>
                <w:sz w:val="22"/>
                <w:szCs w:val="22"/>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E526F7" w:rsidRDefault="00E526F7" w:rsidP="00E238CA">
            <w:pPr>
              <w:tabs>
                <w:tab w:val="left" w:pos="426"/>
              </w:tabs>
              <w:ind w:left="426" w:hanging="426"/>
              <w:rPr>
                <w:i/>
                <w:iCs/>
                <w:color w:val="000000"/>
                <w:sz w:val="22"/>
                <w:szCs w:val="22"/>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E526F7" w:rsidRDefault="00E526F7" w:rsidP="00E238CA">
            <w:pPr>
              <w:tabs>
                <w:tab w:val="left" w:pos="426"/>
              </w:tabs>
              <w:ind w:left="426" w:hanging="426"/>
              <w:rPr>
                <w:i/>
                <w:iCs/>
                <w:color w:val="000000"/>
                <w:sz w:val="22"/>
                <w:szCs w:val="22"/>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E526F7" w:rsidRDefault="00E526F7" w:rsidP="00E238CA">
            <w:pPr>
              <w:tabs>
                <w:tab w:val="left" w:pos="426"/>
              </w:tabs>
              <w:ind w:left="426" w:hanging="426"/>
              <w:rPr>
                <w:i/>
                <w:iCs/>
                <w:color w:val="000000"/>
                <w:sz w:val="22"/>
                <w:szCs w:val="22"/>
              </w:rPr>
            </w:pPr>
          </w:p>
        </w:tc>
      </w:tr>
      <w:tr w:rsidR="00E526F7" w:rsidTr="00E238CA">
        <w:trPr>
          <w:trHeight w:val="300"/>
        </w:trPr>
        <w:tc>
          <w:tcPr>
            <w:tcW w:w="581" w:type="dxa"/>
            <w:tcBorders>
              <w:top w:val="single" w:sz="4" w:space="0" w:color="auto"/>
              <w:left w:val="single" w:sz="4" w:space="0" w:color="auto"/>
              <w:bottom w:val="nil"/>
              <w:right w:val="nil"/>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vMerge w:val="restart"/>
            <w:tcBorders>
              <w:top w:val="single" w:sz="4" w:space="0" w:color="auto"/>
              <w:left w:val="single" w:sz="4" w:space="0" w:color="auto"/>
              <w:bottom w:val="single" w:sz="4" w:space="0" w:color="000000"/>
              <w:right w:val="nil"/>
            </w:tcBorders>
            <w:shd w:val="clear" w:color="auto" w:fill="auto"/>
            <w:vAlign w:val="center"/>
            <w:hideMark/>
          </w:tcPr>
          <w:p w:rsidR="00E526F7" w:rsidRDefault="00E526F7" w:rsidP="00E238CA">
            <w:pPr>
              <w:tabs>
                <w:tab w:val="left" w:pos="426"/>
              </w:tabs>
              <w:ind w:left="426" w:hanging="426"/>
              <w:rPr>
                <w:color w:val="000000"/>
                <w:sz w:val="22"/>
                <w:szCs w:val="22"/>
              </w:rPr>
            </w:pPr>
            <w:r>
              <w:rPr>
                <w:color w:val="000000"/>
                <w:sz w:val="22"/>
                <w:szCs w:val="22"/>
              </w:rPr>
              <w:t>TIBB: Tender intensieve begeleiding en bemiddeling naar werk</w:t>
            </w:r>
          </w:p>
        </w:tc>
        <w:tc>
          <w:tcPr>
            <w:tcW w:w="2108" w:type="dxa"/>
            <w:tcBorders>
              <w:top w:val="single" w:sz="4" w:space="0" w:color="auto"/>
              <w:left w:val="single" w:sz="4" w:space="0" w:color="auto"/>
              <w:bottom w:val="nil"/>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Begeleiding</w:t>
            </w:r>
          </w:p>
        </w:tc>
        <w:tc>
          <w:tcPr>
            <w:tcW w:w="2144" w:type="dxa"/>
            <w:tcBorders>
              <w:top w:val="single" w:sz="4" w:space="0" w:color="auto"/>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01/01/2011 tem 31/12/2013</w:t>
            </w:r>
          </w:p>
        </w:tc>
      </w:tr>
      <w:tr w:rsidR="00E526F7" w:rsidTr="00E238CA">
        <w:trPr>
          <w:trHeight w:val="300"/>
        </w:trPr>
        <w:tc>
          <w:tcPr>
            <w:tcW w:w="581" w:type="dxa"/>
            <w:tcBorders>
              <w:top w:val="nil"/>
              <w:left w:val="single" w:sz="4" w:space="0" w:color="auto"/>
              <w:right w:val="nil"/>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vMerge/>
            <w:tcBorders>
              <w:top w:val="nil"/>
              <w:left w:val="single" w:sz="4" w:space="0" w:color="auto"/>
              <w:bottom w:val="single" w:sz="4" w:space="0" w:color="auto"/>
              <w:right w:val="nil"/>
            </w:tcBorders>
            <w:vAlign w:val="center"/>
            <w:hideMark/>
          </w:tcPr>
          <w:p w:rsidR="00E526F7" w:rsidRDefault="00E526F7" w:rsidP="00E238CA">
            <w:pPr>
              <w:tabs>
                <w:tab w:val="left" w:pos="426"/>
              </w:tabs>
              <w:ind w:left="426" w:hanging="426"/>
              <w:rPr>
                <w:color w:val="000000"/>
                <w:sz w:val="22"/>
                <w:szCs w:val="22"/>
              </w:rPr>
            </w:pPr>
          </w:p>
        </w:tc>
        <w:tc>
          <w:tcPr>
            <w:tcW w:w="2108" w:type="dxa"/>
            <w:tcBorders>
              <w:top w:val="nil"/>
              <w:left w:val="single" w:sz="4" w:space="0" w:color="auto"/>
              <w:bottom w:val="single" w:sz="4" w:space="0" w:color="auto"/>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r>
      <w:tr w:rsidR="00E526F7" w:rsidTr="00E238CA">
        <w:trPr>
          <w:trHeight w:val="300"/>
        </w:trPr>
        <w:tc>
          <w:tcPr>
            <w:tcW w:w="581" w:type="dxa"/>
            <w:tcBorders>
              <w:top w:val="nil"/>
              <w:left w:val="single" w:sz="4" w:space="0" w:color="auto"/>
              <w:right w:val="single" w:sz="4" w:space="0" w:color="auto"/>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2013</w:t>
            </w:r>
          </w:p>
        </w:tc>
        <w:tc>
          <w:tcPr>
            <w:tcW w:w="4097" w:type="dxa"/>
            <w:tcBorders>
              <w:top w:val="single" w:sz="4" w:space="0" w:color="auto"/>
              <w:left w:val="single" w:sz="4" w:space="0" w:color="auto"/>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Tender competentieversterking (TCV)</w:t>
            </w:r>
          </w:p>
        </w:tc>
        <w:tc>
          <w:tcPr>
            <w:tcW w:w="2108" w:type="dxa"/>
            <w:tcBorders>
              <w:top w:val="single" w:sz="4" w:space="0" w:color="auto"/>
              <w:left w:val="single" w:sz="4" w:space="0" w:color="auto"/>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Opleiding</w:t>
            </w:r>
          </w:p>
        </w:tc>
        <w:tc>
          <w:tcPr>
            <w:tcW w:w="2144" w:type="dxa"/>
            <w:tcBorders>
              <w:top w:val="single" w:sz="4" w:space="0" w:color="auto"/>
              <w:left w:val="single" w:sz="4" w:space="0" w:color="auto"/>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01/01/2012 tem 31/12/2014</w:t>
            </w:r>
          </w:p>
        </w:tc>
      </w:tr>
      <w:tr w:rsidR="00E526F7" w:rsidTr="00E238CA">
        <w:trPr>
          <w:trHeight w:val="300"/>
        </w:trPr>
        <w:tc>
          <w:tcPr>
            <w:tcW w:w="581" w:type="dxa"/>
            <w:tcBorders>
              <w:left w:val="single" w:sz="4" w:space="0" w:color="auto"/>
              <w:bottom w:val="nil"/>
              <w:right w:val="nil"/>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tcBorders>
              <w:left w:val="single" w:sz="4" w:space="0" w:color="auto"/>
              <w:bottom w:val="single" w:sz="4" w:space="0" w:color="auto"/>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c>
          <w:tcPr>
            <w:tcW w:w="2108" w:type="dxa"/>
            <w:tcBorders>
              <w:left w:val="nil"/>
              <w:bottom w:val="single" w:sz="4" w:space="0" w:color="auto"/>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c>
          <w:tcPr>
            <w:tcW w:w="2144" w:type="dxa"/>
            <w:tcBorders>
              <w:left w:val="single" w:sz="4" w:space="0" w:color="auto"/>
              <w:bottom w:val="single" w:sz="4" w:space="0" w:color="auto"/>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r>
      <w:tr w:rsidR="00E526F7" w:rsidTr="00E238CA">
        <w:trPr>
          <w:trHeight w:val="300"/>
        </w:trPr>
        <w:tc>
          <w:tcPr>
            <w:tcW w:w="581" w:type="dxa"/>
            <w:tcBorders>
              <w:top w:val="nil"/>
              <w:left w:val="single" w:sz="4" w:space="0" w:color="auto"/>
              <w:bottom w:val="nil"/>
              <w:right w:val="nil"/>
            </w:tcBorders>
            <w:shd w:val="clear" w:color="auto" w:fill="auto"/>
            <w:noWrap/>
            <w:vAlign w:val="bottom"/>
            <w:hideMark/>
          </w:tcPr>
          <w:p w:rsidR="00E526F7" w:rsidRDefault="00E526F7" w:rsidP="00E238CA">
            <w:pPr>
              <w:tabs>
                <w:tab w:val="left" w:pos="426"/>
              </w:tabs>
              <w:ind w:left="426" w:hanging="426"/>
              <w:rPr>
                <w:i/>
                <w:iCs/>
                <w:color w:val="000000"/>
                <w:sz w:val="22"/>
                <w:szCs w:val="22"/>
              </w:rPr>
            </w:pPr>
          </w:p>
        </w:tc>
        <w:tc>
          <w:tcPr>
            <w:tcW w:w="4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6F7" w:rsidRDefault="00E526F7" w:rsidP="00E238CA">
            <w:pPr>
              <w:tabs>
                <w:tab w:val="left" w:pos="426"/>
              </w:tabs>
              <w:ind w:left="426" w:hanging="426"/>
              <w:rPr>
                <w:color w:val="000000"/>
                <w:sz w:val="22"/>
                <w:szCs w:val="22"/>
              </w:rPr>
            </w:pPr>
            <w:r>
              <w:rPr>
                <w:color w:val="000000"/>
                <w:sz w:val="22"/>
                <w:szCs w:val="22"/>
              </w:rPr>
              <w:t>TIBB2: Tender intensieve begeleiding en bemiddeling naar werk</w:t>
            </w:r>
          </w:p>
        </w:tc>
        <w:tc>
          <w:tcPr>
            <w:tcW w:w="2108" w:type="dxa"/>
            <w:tcBorders>
              <w:top w:val="single" w:sz="4" w:space="0" w:color="auto"/>
              <w:left w:val="nil"/>
              <w:bottom w:val="nil"/>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Begeleiding</w:t>
            </w:r>
          </w:p>
        </w:tc>
        <w:tc>
          <w:tcPr>
            <w:tcW w:w="2144" w:type="dxa"/>
            <w:tcBorders>
              <w:top w:val="single" w:sz="4" w:space="0" w:color="auto"/>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01/10/2012 tem 31/12/2015</w:t>
            </w:r>
          </w:p>
        </w:tc>
      </w:tr>
      <w:tr w:rsidR="00E526F7" w:rsidTr="00E238CA">
        <w:trPr>
          <w:trHeight w:val="300"/>
        </w:trPr>
        <w:tc>
          <w:tcPr>
            <w:tcW w:w="581" w:type="dxa"/>
            <w:tcBorders>
              <w:top w:val="nil"/>
              <w:left w:val="single" w:sz="4" w:space="0" w:color="auto"/>
              <w:bottom w:val="nil"/>
              <w:right w:val="nil"/>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vMerge/>
            <w:tcBorders>
              <w:top w:val="nil"/>
              <w:left w:val="single" w:sz="4" w:space="0" w:color="auto"/>
              <w:bottom w:val="single" w:sz="4" w:space="0" w:color="000000"/>
              <w:right w:val="single" w:sz="4" w:space="0" w:color="auto"/>
            </w:tcBorders>
            <w:vAlign w:val="center"/>
            <w:hideMark/>
          </w:tcPr>
          <w:p w:rsidR="00E526F7" w:rsidRDefault="00E526F7" w:rsidP="00E238CA">
            <w:pPr>
              <w:tabs>
                <w:tab w:val="left" w:pos="426"/>
              </w:tabs>
              <w:ind w:left="426" w:hanging="426"/>
              <w:rPr>
                <w:color w:val="000000"/>
                <w:sz w:val="22"/>
                <w:szCs w:val="22"/>
              </w:rPr>
            </w:pPr>
          </w:p>
        </w:tc>
        <w:tc>
          <w:tcPr>
            <w:tcW w:w="2108" w:type="dxa"/>
            <w:tcBorders>
              <w:top w:val="nil"/>
              <w:left w:val="nil"/>
              <w:bottom w:val="single" w:sz="4" w:space="0" w:color="auto"/>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r>
      <w:tr w:rsidR="00E526F7" w:rsidTr="00E238CA">
        <w:trPr>
          <w:trHeight w:val="300"/>
        </w:trPr>
        <w:tc>
          <w:tcPr>
            <w:tcW w:w="581" w:type="dxa"/>
            <w:tcBorders>
              <w:top w:val="nil"/>
              <w:left w:val="single" w:sz="4" w:space="0" w:color="auto"/>
              <w:bottom w:val="nil"/>
              <w:right w:val="nil"/>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vMerge w:val="restart"/>
            <w:tcBorders>
              <w:top w:val="nil"/>
              <w:left w:val="single" w:sz="4" w:space="0" w:color="auto"/>
              <w:bottom w:val="nil"/>
              <w:right w:val="single" w:sz="4" w:space="0" w:color="auto"/>
            </w:tcBorders>
            <w:shd w:val="clear" w:color="auto" w:fill="auto"/>
            <w:vAlign w:val="center"/>
            <w:hideMark/>
          </w:tcPr>
          <w:p w:rsidR="00E526F7" w:rsidRDefault="00E526F7" w:rsidP="00E238CA">
            <w:pPr>
              <w:tabs>
                <w:tab w:val="left" w:pos="426"/>
              </w:tabs>
              <w:ind w:left="426" w:hanging="426"/>
              <w:rPr>
                <w:color w:val="000000"/>
                <w:sz w:val="22"/>
                <w:szCs w:val="22"/>
              </w:rPr>
            </w:pPr>
            <w:r>
              <w:rPr>
                <w:color w:val="000000"/>
                <w:sz w:val="22"/>
                <w:szCs w:val="22"/>
              </w:rPr>
              <w:t xml:space="preserve">Verbindende en versterkende groepstraining voor werkzoekenden in armoede met beperkte </w:t>
            </w:r>
            <w:proofErr w:type="spellStart"/>
            <w:r>
              <w:rPr>
                <w:color w:val="000000"/>
                <w:sz w:val="22"/>
                <w:szCs w:val="22"/>
              </w:rPr>
              <w:t>jobkansen</w:t>
            </w:r>
            <w:proofErr w:type="spellEnd"/>
            <w:r>
              <w:rPr>
                <w:color w:val="000000"/>
                <w:sz w:val="22"/>
                <w:szCs w:val="22"/>
              </w:rPr>
              <w:t xml:space="preserve"> en loopbaanperspectieven</w:t>
            </w:r>
          </w:p>
        </w:tc>
        <w:tc>
          <w:tcPr>
            <w:tcW w:w="2108" w:type="dxa"/>
            <w:tcBorders>
              <w:top w:val="nil"/>
              <w:left w:val="nil"/>
              <w:bottom w:val="nil"/>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Begeleiding</w:t>
            </w:r>
          </w:p>
        </w:tc>
        <w:tc>
          <w:tcPr>
            <w:tcW w:w="2144" w:type="dxa"/>
            <w:tcBorders>
              <w:top w:val="nil"/>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01/10/2012 tem 30/11/2014</w:t>
            </w:r>
          </w:p>
        </w:tc>
      </w:tr>
      <w:tr w:rsidR="00E526F7" w:rsidTr="00E238CA">
        <w:trPr>
          <w:trHeight w:val="300"/>
        </w:trPr>
        <w:tc>
          <w:tcPr>
            <w:tcW w:w="581" w:type="dxa"/>
            <w:tcBorders>
              <w:top w:val="nil"/>
              <w:left w:val="single" w:sz="4" w:space="0" w:color="auto"/>
              <w:right w:val="nil"/>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vMerge/>
            <w:tcBorders>
              <w:top w:val="nil"/>
              <w:left w:val="single" w:sz="4" w:space="0" w:color="auto"/>
              <w:bottom w:val="nil"/>
              <w:right w:val="single" w:sz="4" w:space="0" w:color="auto"/>
            </w:tcBorders>
            <w:vAlign w:val="center"/>
            <w:hideMark/>
          </w:tcPr>
          <w:p w:rsidR="00E526F7" w:rsidRDefault="00E526F7" w:rsidP="00E238CA">
            <w:pPr>
              <w:tabs>
                <w:tab w:val="left" w:pos="426"/>
              </w:tabs>
              <w:ind w:left="426" w:hanging="426"/>
              <w:rPr>
                <w:color w:val="000000"/>
                <w:sz w:val="22"/>
                <w:szCs w:val="22"/>
              </w:rPr>
            </w:pPr>
          </w:p>
        </w:tc>
        <w:tc>
          <w:tcPr>
            <w:tcW w:w="2108" w:type="dxa"/>
            <w:tcBorders>
              <w:top w:val="nil"/>
              <w:left w:val="nil"/>
              <w:bottom w:val="nil"/>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p>
        </w:tc>
        <w:tc>
          <w:tcPr>
            <w:tcW w:w="2144" w:type="dxa"/>
            <w:tcBorders>
              <w:top w:val="nil"/>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r>
      <w:tr w:rsidR="00E526F7" w:rsidTr="00E238CA">
        <w:trPr>
          <w:trHeight w:val="300"/>
        </w:trPr>
        <w:tc>
          <w:tcPr>
            <w:tcW w:w="581" w:type="dxa"/>
            <w:tcBorders>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tcBorders>
              <w:top w:val="single" w:sz="4" w:space="0" w:color="auto"/>
              <w:left w:val="nil"/>
              <w:bottom w:val="nil"/>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c>
          <w:tcPr>
            <w:tcW w:w="2108" w:type="dxa"/>
            <w:tcBorders>
              <w:top w:val="single" w:sz="4" w:space="0" w:color="auto"/>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c>
          <w:tcPr>
            <w:tcW w:w="2144" w:type="dxa"/>
            <w:tcBorders>
              <w:top w:val="single" w:sz="4" w:space="0" w:color="auto"/>
              <w:left w:val="nil"/>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r>
      <w:tr w:rsidR="00E526F7" w:rsidTr="00E238CA">
        <w:trPr>
          <w:trHeight w:val="300"/>
        </w:trPr>
        <w:tc>
          <w:tcPr>
            <w:tcW w:w="581" w:type="dxa"/>
            <w:tcBorders>
              <w:top w:val="nil"/>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i/>
                <w:iCs/>
                <w:color w:val="000000"/>
                <w:sz w:val="22"/>
                <w:szCs w:val="22"/>
              </w:rPr>
            </w:pPr>
          </w:p>
        </w:tc>
        <w:tc>
          <w:tcPr>
            <w:tcW w:w="4097" w:type="dxa"/>
            <w:vMerge w:val="restart"/>
            <w:tcBorders>
              <w:top w:val="nil"/>
              <w:left w:val="single" w:sz="4" w:space="0" w:color="auto"/>
              <w:bottom w:val="single" w:sz="4" w:space="0" w:color="000000"/>
              <w:right w:val="nil"/>
            </w:tcBorders>
            <w:shd w:val="clear" w:color="auto" w:fill="auto"/>
            <w:vAlign w:val="center"/>
            <w:hideMark/>
          </w:tcPr>
          <w:p w:rsidR="00E526F7" w:rsidRDefault="00E526F7" w:rsidP="00E238CA">
            <w:pPr>
              <w:tabs>
                <w:tab w:val="left" w:pos="426"/>
              </w:tabs>
              <w:ind w:left="426" w:hanging="426"/>
              <w:rPr>
                <w:color w:val="000000"/>
                <w:sz w:val="22"/>
                <w:szCs w:val="22"/>
              </w:rPr>
            </w:pPr>
            <w:r>
              <w:rPr>
                <w:color w:val="000000"/>
                <w:sz w:val="22"/>
                <w:szCs w:val="22"/>
              </w:rPr>
              <w:t>Uitbesteding zorgbegeleiding binnen activering van werkzoekenden (</w:t>
            </w:r>
            <w:proofErr w:type="spellStart"/>
            <w:r>
              <w:rPr>
                <w:color w:val="000000"/>
                <w:sz w:val="22"/>
                <w:szCs w:val="22"/>
              </w:rPr>
              <w:t>TAZbis</w:t>
            </w:r>
            <w:proofErr w:type="spellEnd"/>
            <w:r>
              <w:rPr>
                <w:color w:val="000000"/>
                <w:sz w:val="22"/>
                <w:szCs w:val="22"/>
              </w:rPr>
              <w:t>)</w:t>
            </w:r>
          </w:p>
        </w:tc>
        <w:tc>
          <w:tcPr>
            <w:tcW w:w="2108" w:type="dxa"/>
            <w:tcBorders>
              <w:top w:val="nil"/>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Begeleiding</w:t>
            </w:r>
          </w:p>
        </w:tc>
        <w:tc>
          <w:tcPr>
            <w:tcW w:w="2144" w:type="dxa"/>
            <w:tcBorders>
              <w:top w:val="nil"/>
              <w:left w:val="nil"/>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01/01/2013 tem 31/12/2016</w:t>
            </w:r>
          </w:p>
        </w:tc>
      </w:tr>
      <w:tr w:rsidR="00E526F7" w:rsidTr="00E238CA">
        <w:trPr>
          <w:trHeight w:val="300"/>
        </w:trPr>
        <w:tc>
          <w:tcPr>
            <w:tcW w:w="581" w:type="dxa"/>
            <w:tcBorders>
              <w:top w:val="nil"/>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vMerge/>
            <w:tcBorders>
              <w:top w:val="nil"/>
              <w:left w:val="single" w:sz="4" w:space="0" w:color="auto"/>
              <w:bottom w:val="single" w:sz="4" w:space="0" w:color="000000"/>
              <w:right w:val="nil"/>
            </w:tcBorders>
            <w:vAlign w:val="center"/>
            <w:hideMark/>
          </w:tcPr>
          <w:p w:rsidR="00E526F7" w:rsidRDefault="00E526F7" w:rsidP="00E238CA">
            <w:pPr>
              <w:tabs>
                <w:tab w:val="left" w:pos="426"/>
              </w:tabs>
              <w:ind w:left="426" w:hanging="426"/>
              <w:rPr>
                <w:color w:val="000000"/>
                <w:sz w:val="22"/>
                <w:szCs w:val="22"/>
              </w:rPr>
            </w:pPr>
          </w:p>
        </w:tc>
        <w:tc>
          <w:tcPr>
            <w:tcW w:w="2108" w:type="dxa"/>
            <w:tcBorders>
              <w:top w:val="nil"/>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c>
          <w:tcPr>
            <w:tcW w:w="2144" w:type="dxa"/>
            <w:tcBorders>
              <w:top w:val="nil"/>
              <w:left w:val="nil"/>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r>
      <w:tr w:rsidR="00E526F7" w:rsidTr="00E238CA">
        <w:trPr>
          <w:trHeight w:val="300"/>
        </w:trPr>
        <w:tc>
          <w:tcPr>
            <w:tcW w:w="581" w:type="dxa"/>
            <w:tcBorders>
              <w:top w:val="nil"/>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vMerge w:val="restart"/>
            <w:tcBorders>
              <w:top w:val="nil"/>
              <w:left w:val="single" w:sz="4" w:space="0" w:color="auto"/>
              <w:bottom w:val="single" w:sz="4" w:space="0" w:color="000000"/>
              <w:right w:val="nil"/>
            </w:tcBorders>
            <w:shd w:val="clear" w:color="auto" w:fill="auto"/>
            <w:vAlign w:val="center"/>
            <w:hideMark/>
          </w:tcPr>
          <w:p w:rsidR="00E526F7" w:rsidRDefault="00E526F7" w:rsidP="00E238CA">
            <w:pPr>
              <w:tabs>
                <w:tab w:val="left" w:pos="426"/>
              </w:tabs>
              <w:ind w:left="426" w:hanging="426"/>
              <w:rPr>
                <w:color w:val="000000"/>
                <w:sz w:val="22"/>
                <w:szCs w:val="22"/>
              </w:rPr>
            </w:pPr>
            <w:r>
              <w:rPr>
                <w:color w:val="000000"/>
                <w:sz w:val="22"/>
                <w:szCs w:val="22"/>
              </w:rPr>
              <w:t>Begeleiding diploma erkenning VDAB inwerkingsklanten</w:t>
            </w:r>
          </w:p>
        </w:tc>
        <w:tc>
          <w:tcPr>
            <w:tcW w:w="2108" w:type="dxa"/>
            <w:tcBorders>
              <w:top w:val="single" w:sz="4" w:space="0" w:color="auto"/>
              <w:left w:val="single" w:sz="4" w:space="0" w:color="auto"/>
              <w:bottom w:val="nil"/>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Begeleiding</w:t>
            </w:r>
          </w:p>
        </w:tc>
        <w:tc>
          <w:tcPr>
            <w:tcW w:w="2144" w:type="dxa"/>
            <w:tcBorders>
              <w:top w:val="single" w:sz="4" w:space="0" w:color="auto"/>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01/03/2013 tem 28/02/2015</w:t>
            </w:r>
          </w:p>
        </w:tc>
      </w:tr>
      <w:tr w:rsidR="00E526F7" w:rsidTr="00E238CA">
        <w:trPr>
          <w:trHeight w:val="300"/>
        </w:trPr>
        <w:tc>
          <w:tcPr>
            <w:tcW w:w="581" w:type="dxa"/>
            <w:tcBorders>
              <w:top w:val="nil"/>
              <w:left w:val="single" w:sz="4" w:space="0" w:color="auto"/>
              <w:bottom w:val="nil"/>
              <w:right w:val="single" w:sz="4" w:space="0" w:color="auto"/>
            </w:tcBorders>
            <w:shd w:val="clear" w:color="auto" w:fill="auto"/>
            <w:noWrap/>
            <w:vAlign w:val="bottom"/>
            <w:hideMark/>
          </w:tcPr>
          <w:p w:rsidR="00E526F7" w:rsidRDefault="00E526F7" w:rsidP="00E238CA">
            <w:pPr>
              <w:tabs>
                <w:tab w:val="left" w:pos="426"/>
              </w:tabs>
              <w:ind w:left="426" w:hanging="426"/>
              <w:rPr>
                <w:i/>
                <w:iCs/>
                <w:color w:val="000000"/>
                <w:sz w:val="22"/>
                <w:szCs w:val="22"/>
              </w:rPr>
            </w:pPr>
            <w:r>
              <w:rPr>
                <w:i/>
                <w:iCs/>
                <w:color w:val="000000"/>
                <w:sz w:val="22"/>
                <w:szCs w:val="22"/>
              </w:rPr>
              <w:t> </w:t>
            </w:r>
          </w:p>
        </w:tc>
        <w:tc>
          <w:tcPr>
            <w:tcW w:w="4097" w:type="dxa"/>
            <w:vMerge/>
            <w:tcBorders>
              <w:top w:val="nil"/>
              <w:left w:val="single" w:sz="4" w:space="0" w:color="auto"/>
              <w:bottom w:val="single" w:sz="4" w:space="0" w:color="000000"/>
              <w:right w:val="nil"/>
            </w:tcBorders>
            <w:vAlign w:val="center"/>
            <w:hideMark/>
          </w:tcPr>
          <w:p w:rsidR="00E526F7" w:rsidRDefault="00E526F7" w:rsidP="00E238CA">
            <w:pPr>
              <w:tabs>
                <w:tab w:val="left" w:pos="426"/>
              </w:tabs>
              <w:ind w:left="426" w:hanging="426"/>
              <w:rPr>
                <w:color w:val="000000"/>
                <w:sz w:val="22"/>
                <w:szCs w:val="22"/>
              </w:rPr>
            </w:pPr>
          </w:p>
        </w:tc>
        <w:tc>
          <w:tcPr>
            <w:tcW w:w="2108" w:type="dxa"/>
            <w:tcBorders>
              <w:top w:val="nil"/>
              <w:left w:val="single" w:sz="4" w:space="0" w:color="auto"/>
              <w:bottom w:val="single" w:sz="4" w:space="0" w:color="auto"/>
              <w:right w:val="nil"/>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E526F7" w:rsidRDefault="00E526F7" w:rsidP="00E238CA">
            <w:pPr>
              <w:tabs>
                <w:tab w:val="left" w:pos="426"/>
              </w:tabs>
              <w:ind w:left="426" w:hanging="426"/>
              <w:rPr>
                <w:color w:val="000000"/>
                <w:sz w:val="22"/>
                <w:szCs w:val="22"/>
              </w:rPr>
            </w:pPr>
            <w:r>
              <w:rPr>
                <w:color w:val="000000"/>
                <w:sz w:val="22"/>
                <w:szCs w:val="22"/>
              </w:rPr>
              <w:t> </w:t>
            </w:r>
          </w:p>
        </w:tc>
      </w:tr>
      <w:tr w:rsidR="00E526F7" w:rsidTr="00E238CA">
        <w:trPr>
          <w:trHeight w:val="300"/>
        </w:trPr>
        <w:tc>
          <w:tcPr>
            <w:tcW w:w="581" w:type="dxa"/>
            <w:tcBorders>
              <w:top w:val="nil"/>
              <w:left w:val="single" w:sz="4" w:space="0" w:color="auto"/>
              <w:bottom w:val="nil"/>
              <w:right w:val="single" w:sz="4" w:space="0" w:color="auto"/>
            </w:tcBorders>
            <w:shd w:val="clear" w:color="auto" w:fill="auto"/>
            <w:noWrap/>
            <w:vAlign w:val="bottom"/>
            <w:hideMark/>
          </w:tcPr>
          <w:p w:rsidR="00E526F7" w:rsidRDefault="00E526F7" w:rsidP="00B47F5B">
            <w:pPr>
              <w:tabs>
                <w:tab w:val="left" w:pos="426"/>
              </w:tabs>
              <w:ind w:left="425" w:hanging="425"/>
              <w:rPr>
                <w:i/>
                <w:iCs/>
                <w:color w:val="000000"/>
                <w:sz w:val="22"/>
                <w:szCs w:val="22"/>
              </w:rPr>
            </w:pPr>
            <w:r>
              <w:rPr>
                <w:i/>
                <w:iCs/>
                <w:color w:val="000000"/>
                <w:sz w:val="22"/>
                <w:szCs w:val="22"/>
              </w:rPr>
              <w:t> </w:t>
            </w:r>
          </w:p>
        </w:tc>
        <w:tc>
          <w:tcPr>
            <w:tcW w:w="4097" w:type="dxa"/>
            <w:vMerge w:val="restart"/>
            <w:tcBorders>
              <w:top w:val="nil"/>
              <w:left w:val="single" w:sz="4" w:space="0" w:color="auto"/>
              <w:bottom w:val="single" w:sz="4" w:space="0" w:color="auto"/>
              <w:right w:val="single" w:sz="4" w:space="0" w:color="auto"/>
            </w:tcBorders>
            <w:shd w:val="clear" w:color="auto" w:fill="auto"/>
            <w:vAlign w:val="center"/>
            <w:hideMark/>
          </w:tcPr>
          <w:p w:rsidR="00E526F7" w:rsidRDefault="00E526F7" w:rsidP="00B47F5B">
            <w:pPr>
              <w:tabs>
                <w:tab w:val="left" w:pos="426"/>
              </w:tabs>
              <w:ind w:left="425" w:hanging="425"/>
              <w:rPr>
                <w:color w:val="000000"/>
                <w:sz w:val="22"/>
                <w:szCs w:val="22"/>
              </w:rPr>
            </w:pPr>
            <w:r>
              <w:rPr>
                <w:color w:val="000000"/>
                <w:sz w:val="22"/>
                <w:szCs w:val="22"/>
              </w:rPr>
              <w:t>Uitbesteding outplacement in kader van het sociaal interventiefonds van de VDAB</w:t>
            </w:r>
          </w:p>
        </w:tc>
        <w:tc>
          <w:tcPr>
            <w:tcW w:w="2108" w:type="dxa"/>
            <w:tcBorders>
              <w:top w:val="nil"/>
              <w:left w:val="nil"/>
              <w:bottom w:val="nil"/>
              <w:right w:val="single" w:sz="4" w:space="0" w:color="auto"/>
            </w:tcBorders>
            <w:shd w:val="clear" w:color="auto" w:fill="auto"/>
            <w:noWrap/>
            <w:vAlign w:val="bottom"/>
            <w:hideMark/>
          </w:tcPr>
          <w:p w:rsidR="00E526F7" w:rsidRDefault="00E526F7" w:rsidP="00B47F5B">
            <w:pPr>
              <w:tabs>
                <w:tab w:val="left" w:pos="426"/>
              </w:tabs>
              <w:ind w:left="425" w:hanging="425"/>
              <w:rPr>
                <w:color w:val="000000"/>
                <w:sz w:val="22"/>
                <w:szCs w:val="22"/>
              </w:rPr>
            </w:pPr>
            <w:r>
              <w:rPr>
                <w:color w:val="000000"/>
                <w:sz w:val="22"/>
                <w:szCs w:val="22"/>
              </w:rPr>
              <w:t>Begeleiding</w:t>
            </w:r>
          </w:p>
        </w:tc>
        <w:tc>
          <w:tcPr>
            <w:tcW w:w="2144" w:type="dxa"/>
            <w:tcBorders>
              <w:top w:val="nil"/>
              <w:left w:val="nil"/>
              <w:bottom w:val="nil"/>
              <w:right w:val="single" w:sz="4" w:space="0" w:color="auto"/>
            </w:tcBorders>
            <w:shd w:val="clear" w:color="auto" w:fill="auto"/>
            <w:noWrap/>
            <w:vAlign w:val="bottom"/>
            <w:hideMark/>
          </w:tcPr>
          <w:p w:rsidR="00E526F7" w:rsidRDefault="00E526F7" w:rsidP="00B47F5B">
            <w:pPr>
              <w:tabs>
                <w:tab w:val="left" w:pos="426"/>
              </w:tabs>
              <w:ind w:left="425" w:hanging="425"/>
              <w:rPr>
                <w:color w:val="000000"/>
                <w:sz w:val="22"/>
                <w:szCs w:val="22"/>
              </w:rPr>
            </w:pPr>
            <w:r>
              <w:rPr>
                <w:color w:val="000000"/>
                <w:sz w:val="22"/>
                <w:szCs w:val="22"/>
              </w:rPr>
              <w:t>1/07/2013 tem 31/12/2015</w:t>
            </w:r>
          </w:p>
        </w:tc>
      </w:tr>
      <w:tr w:rsidR="00E526F7" w:rsidTr="00E238C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526F7" w:rsidRDefault="00E526F7" w:rsidP="00B47F5B">
            <w:pPr>
              <w:tabs>
                <w:tab w:val="left" w:pos="426"/>
              </w:tabs>
              <w:ind w:left="425" w:hanging="425"/>
              <w:rPr>
                <w:color w:val="000000"/>
                <w:sz w:val="22"/>
                <w:szCs w:val="22"/>
              </w:rPr>
            </w:pPr>
            <w:r>
              <w:rPr>
                <w:color w:val="000000"/>
                <w:sz w:val="22"/>
                <w:szCs w:val="22"/>
              </w:rPr>
              <w:t> </w:t>
            </w:r>
          </w:p>
        </w:tc>
        <w:tc>
          <w:tcPr>
            <w:tcW w:w="4097" w:type="dxa"/>
            <w:vMerge/>
            <w:tcBorders>
              <w:top w:val="nil"/>
              <w:left w:val="single" w:sz="4" w:space="0" w:color="auto"/>
              <w:bottom w:val="single" w:sz="4" w:space="0" w:color="auto"/>
              <w:right w:val="single" w:sz="4" w:space="0" w:color="auto"/>
            </w:tcBorders>
            <w:vAlign w:val="center"/>
            <w:hideMark/>
          </w:tcPr>
          <w:p w:rsidR="00E526F7" w:rsidRDefault="00E526F7" w:rsidP="00B47F5B">
            <w:pPr>
              <w:tabs>
                <w:tab w:val="left" w:pos="426"/>
              </w:tabs>
              <w:ind w:left="425" w:hanging="425"/>
              <w:rPr>
                <w:color w:val="000000"/>
                <w:sz w:val="22"/>
                <w:szCs w:val="22"/>
              </w:rPr>
            </w:pPr>
          </w:p>
        </w:tc>
        <w:tc>
          <w:tcPr>
            <w:tcW w:w="2108" w:type="dxa"/>
            <w:tcBorders>
              <w:top w:val="nil"/>
              <w:left w:val="nil"/>
              <w:bottom w:val="single" w:sz="4" w:space="0" w:color="auto"/>
              <w:right w:val="single" w:sz="4" w:space="0" w:color="auto"/>
            </w:tcBorders>
            <w:shd w:val="clear" w:color="auto" w:fill="auto"/>
            <w:noWrap/>
            <w:vAlign w:val="bottom"/>
            <w:hideMark/>
          </w:tcPr>
          <w:p w:rsidR="00E526F7" w:rsidRDefault="00E526F7" w:rsidP="00B47F5B">
            <w:pPr>
              <w:tabs>
                <w:tab w:val="left" w:pos="426"/>
              </w:tabs>
              <w:ind w:left="425" w:hanging="425"/>
              <w:rPr>
                <w:color w:val="000000"/>
                <w:sz w:val="22"/>
                <w:szCs w:val="22"/>
              </w:rPr>
            </w:pPr>
            <w:r>
              <w:rPr>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E526F7" w:rsidRDefault="00E526F7" w:rsidP="00B47F5B">
            <w:pPr>
              <w:tabs>
                <w:tab w:val="left" w:pos="426"/>
              </w:tabs>
              <w:ind w:left="425" w:hanging="425"/>
              <w:rPr>
                <w:color w:val="000000"/>
                <w:sz w:val="22"/>
                <w:szCs w:val="22"/>
              </w:rPr>
            </w:pPr>
            <w:r>
              <w:rPr>
                <w:color w:val="000000"/>
                <w:sz w:val="22"/>
                <w:szCs w:val="22"/>
              </w:rPr>
              <w:t> </w:t>
            </w:r>
          </w:p>
        </w:tc>
      </w:tr>
    </w:tbl>
    <w:p w:rsidR="00B47F5B" w:rsidRDefault="00B47F5B" w:rsidP="00B47F5B">
      <w:pPr>
        <w:pStyle w:val="StandaardSV"/>
        <w:tabs>
          <w:tab w:val="left" w:pos="426"/>
        </w:tabs>
        <w:ind w:left="425"/>
        <w:jc w:val="left"/>
      </w:pPr>
    </w:p>
    <w:p w:rsidR="00E526F7" w:rsidRDefault="00E526F7" w:rsidP="00B47F5B">
      <w:pPr>
        <w:pStyle w:val="StandaardSV"/>
        <w:numPr>
          <w:ilvl w:val="0"/>
          <w:numId w:val="9"/>
        </w:numPr>
        <w:tabs>
          <w:tab w:val="clear" w:pos="360"/>
          <w:tab w:val="left" w:pos="426"/>
          <w:tab w:val="num" w:pos="720"/>
        </w:tabs>
        <w:ind w:left="425" w:hanging="425"/>
      </w:pPr>
      <w:r>
        <w:t>Het procentuele aandeel van interimkantoren in de Vlaamse centrale opleidings- en begeleidingstenders waar interimkantoren gegund werden.</w:t>
      </w:r>
      <w:r w:rsidR="00B47F5B">
        <w:tab/>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244"/>
        <w:gridCol w:w="2244"/>
        <w:gridCol w:w="2245"/>
      </w:tblGrid>
      <w:tr w:rsidR="00E526F7" w:rsidTr="00E33C5A">
        <w:trPr>
          <w:trHeight w:val="1694"/>
        </w:trPr>
        <w:tc>
          <w:tcPr>
            <w:tcW w:w="2193" w:type="dxa"/>
            <w:shd w:val="clear" w:color="auto" w:fill="auto"/>
          </w:tcPr>
          <w:p w:rsidR="00E526F7" w:rsidRDefault="00E526F7" w:rsidP="00E238CA">
            <w:pPr>
              <w:pStyle w:val="StandaardSV"/>
              <w:tabs>
                <w:tab w:val="left" w:pos="426"/>
              </w:tabs>
              <w:spacing w:before="240"/>
              <w:ind w:left="426" w:hanging="426"/>
              <w:jc w:val="left"/>
            </w:pPr>
            <w:r>
              <w:t>Tender</w:t>
            </w:r>
          </w:p>
        </w:tc>
        <w:tc>
          <w:tcPr>
            <w:tcW w:w="2245" w:type="dxa"/>
            <w:shd w:val="clear" w:color="auto" w:fill="auto"/>
          </w:tcPr>
          <w:p w:rsidR="00E526F7" w:rsidRDefault="00E526F7" w:rsidP="00E238CA">
            <w:pPr>
              <w:pStyle w:val="StandaardSV"/>
              <w:tabs>
                <w:tab w:val="left" w:pos="426"/>
              </w:tabs>
              <w:spacing w:before="240"/>
              <w:ind w:left="426" w:hanging="426"/>
              <w:jc w:val="left"/>
            </w:pPr>
            <w:r>
              <w:t>% uitbesteed aan interimkantoren</w:t>
            </w:r>
          </w:p>
        </w:tc>
        <w:tc>
          <w:tcPr>
            <w:tcW w:w="2245" w:type="dxa"/>
            <w:shd w:val="clear" w:color="auto" w:fill="auto"/>
          </w:tcPr>
          <w:p w:rsidR="00E526F7" w:rsidRDefault="00E526F7" w:rsidP="00E238CA">
            <w:pPr>
              <w:pStyle w:val="StandaardSV"/>
              <w:tabs>
                <w:tab w:val="left" w:pos="426"/>
              </w:tabs>
              <w:spacing w:before="240"/>
              <w:ind w:left="426" w:hanging="426"/>
              <w:jc w:val="left"/>
            </w:pPr>
            <w:r>
              <w:t>% uitbesteed aan interimkantoren in Limburg t.a.v. totale aantal per tender op Vlaams niveau</w:t>
            </w:r>
          </w:p>
        </w:tc>
        <w:tc>
          <w:tcPr>
            <w:tcW w:w="2246" w:type="dxa"/>
            <w:shd w:val="clear" w:color="auto" w:fill="auto"/>
          </w:tcPr>
          <w:p w:rsidR="00E526F7" w:rsidRDefault="00E526F7" w:rsidP="00E238CA">
            <w:pPr>
              <w:pStyle w:val="StandaardSV"/>
              <w:tabs>
                <w:tab w:val="left" w:pos="426"/>
              </w:tabs>
              <w:spacing w:before="240"/>
              <w:ind w:left="426" w:hanging="426"/>
              <w:jc w:val="left"/>
            </w:pPr>
            <w:r>
              <w:t>% uitbesteed aan interimkantoren in Limburg t.a.v. de provincie Limburg per tender op Vlaams niveau</w:t>
            </w:r>
          </w:p>
        </w:tc>
      </w:tr>
      <w:tr w:rsidR="00E526F7" w:rsidTr="00E238CA">
        <w:tc>
          <w:tcPr>
            <w:tcW w:w="2193" w:type="dxa"/>
            <w:shd w:val="clear" w:color="auto" w:fill="auto"/>
          </w:tcPr>
          <w:p w:rsidR="00E526F7" w:rsidRDefault="00E526F7" w:rsidP="00E238CA">
            <w:pPr>
              <w:pStyle w:val="StandaardSV"/>
              <w:tabs>
                <w:tab w:val="left" w:pos="426"/>
              </w:tabs>
              <w:spacing w:before="240"/>
              <w:ind w:left="426" w:hanging="426"/>
              <w:jc w:val="left"/>
            </w:pPr>
            <w:r>
              <w:t>TIBB</w:t>
            </w:r>
          </w:p>
        </w:tc>
        <w:tc>
          <w:tcPr>
            <w:tcW w:w="2245" w:type="dxa"/>
            <w:shd w:val="clear" w:color="auto" w:fill="auto"/>
          </w:tcPr>
          <w:p w:rsidR="00E526F7" w:rsidRDefault="00E526F7" w:rsidP="00E238CA">
            <w:pPr>
              <w:pStyle w:val="StandaardSV"/>
              <w:tabs>
                <w:tab w:val="left" w:pos="426"/>
              </w:tabs>
              <w:spacing w:before="240"/>
              <w:ind w:left="426" w:hanging="426"/>
              <w:jc w:val="left"/>
            </w:pPr>
            <w:r>
              <w:t>36%</w:t>
            </w:r>
          </w:p>
        </w:tc>
        <w:tc>
          <w:tcPr>
            <w:tcW w:w="2245" w:type="dxa"/>
            <w:shd w:val="clear" w:color="auto" w:fill="auto"/>
          </w:tcPr>
          <w:p w:rsidR="00E526F7" w:rsidRDefault="00E526F7" w:rsidP="00E238CA">
            <w:pPr>
              <w:pStyle w:val="StandaardSV"/>
              <w:tabs>
                <w:tab w:val="left" w:pos="426"/>
              </w:tabs>
              <w:spacing w:before="240"/>
              <w:ind w:left="426" w:hanging="426"/>
              <w:jc w:val="left"/>
            </w:pPr>
            <w:r>
              <w:t>10,5%</w:t>
            </w:r>
          </w:p>
        </w:tc>
        <w:tc>
          <w:tcPr>
            <w:tcW w:w="2246" w:type="dxa"/>
            <w:shd w:val="clear" w:color="auto" w:fill="auto"/>
          </w:tcPr>
          <w:p w:rsidR="00E526F7" w:rsidRDefault="00E526F7" w:rsidP="00E238CA">
            <w:pPr>
              <w:pStyle w:val="StandaardSV"/>
              <w:tabs>
                <w:tab w:val="left" w:pos="426"/>
              </w:tabs>
              <w:spacing w:before="240"/>
              <w:ind w:left="426" w:hanging="426"/>
              <w:jc w:val="left"/>
            </w:pPr>
            <w:r>
              <w:t>50%</w:t>
            </w:r>
          </w:p>
        </w:tc>
      </w:tr>
      <w:tr w:rsidR="00E526F7" w:rsidTr="00E238CA">
        <w:tc>
          <w:tcPr>
            <w:tcW w:w="2193" w:type="dxa"/>
            <w:shd w:val="clear" w:color="auto" w:fill="auto"/>
          </w:tcPr>
          <w:p w:rsidR="00E526F7" w:rsidRDefault="00E526F7" w:rsidP="00E238CA">
            <w:pPr>
              <w:pStyle w:val="StandaardSV"/>
              <w:tabs>
                <w:tab w:val="left" w:pos="426"/>
              </w:tabs>
              <w:spacing w:before="240"/>
              <w:ind w:left="426" w:hanging="426"/>
              <w:jc w:val="left"/>
            </w:pPr>
            <w:r>
              <w:lastRenderedPageBreak/>
              <w:t>TIBB2</w:t>
            </w:r>
          </w:p>
        </w:tc>
        <w:tc>
          <w:tcPr>
            <w:tcW w:w="2245" w:type="dxa"/>
            <w:shd w:val="clear" w:color="auto" w:fill="auto"/>
          </w:tcPr>
          <w:p w:rsidR="00E526F7" w:rsidRDefault="00E526F7" w:rsidP="00E238CA">
            <w:pPr>
              <w:pStyle w:val="StandaardSV"/>
              <w:tabs>
                <w:tab w:val="left" w:pos="426"/>
              </w:tabs>
              <w:spacing w:before="240"/>
              <w:ind w:left="426" w:hanging="426"/>
              <w:jc w:val="left"/>
            </w:pPr>
            <w:r>
              <w:t>50%</w:t>
            </w:r>
          </w:p>
        </w:tc>
        <w:tc>
          <w:tcPr>
            <w:tcW w:w="2245" w:type="dxa"/>
            <w:shd w:val="clear" w:color="auto" w:fill="auto"/>
          </w:tcPr>
          <w:p w:rsidR="00E526F7" w:rsidRDefault="00E526F7" w:rsidP="00E238CA">
            <w:pPr>
              <w:pStyle w:val="StandaardSV"/>
              <w:tabs>
                <w:tab w:val="left" w:pos="426"/>
              </w:tabs>
              <w:spacing w:before="240"/>
              <w:ind w:left="426" w:hanging="426"/>
              <w:jc w:val="left"/>
            </w:pPr>
            <w:r>
              <w:t>7,5%</w:t>
            </w:r>
          </w:p>
        </w:tc>
        <w:tc>
          <w:tcPr>
            <w:tcW w:w="2246" w:type="dxa"/>
            <w:shd w:val="clear" w:color="auto" w:fill="auto"/>
          </w:tcPr>
          <w:p w:rsidR="00E526F7" w:rsidRDefault="00E526F7" w:rsidP="00E238CA">
            <w:pPr>
              <w:pStyle w:val="StandaardSV"/>
              <w:tabs>
                <w:tab w:val="left" w:pos="426"/>
              </w:tabs>
              <w:spacing w:before="240"/>
              <w:ind w:left="426" w:hanging="426"/>
              <w:jc w:val="left"/>
            </w:pPr>
            <w:r>
              <w:t>50%</w:t>
            </w:r>
          </w:p>
        </w:tc>
      </w:tr>
      <w:tr w:rsidR="00E526F7" w:rsidTr="00E238CA">
        <w:tc>
          <w:tcPr>
            <w:tcW w:w="2193" w:type="dxa"/>
            <w:shd w:val="clear" w:color="auto" w:fill="auto"/>
          </w:tcPr>
          <w:p w:rsidR="00E526F7" w:rsidRDefault="00E526F7" w:rsidP="00E238CA">
            <w:pPr>
              <w:pStyle w:val="StandaardSV"/>
              <w:tabs>
                <w:tab w:val="left" w:pos="426"/>
              </w:tabs>
              <w:spacing w:before="240"/>
              <w:ind w:left="426" w:hanging="426"/>
              <w:jc w:val="left"/>
            </w:pPr>
            <w:r>
              <w:t>TCV</w:t>
            </w:r>
          </w:p>
        </w:tc>
        <w:tc>
          <w:tcPr>
            <w:tcW w:w="2245" w:type="dxa"/>
            <w:shd w:val="clear" w:color="auto" w:fill="auto"/>
          </w:tcPr>
          <w:p w:rsidR="00E526F7" w:rsidRDefault="00E526F7" w:rsidP="00E238CA">
            <w:pPr>
              <w:pStyle w:val="StandaardSV"/>
              <w:tabs>
                <w:tab w:val="left" w:pos="426"/>
              </w:tabs>
              <w:spacing w:before="240"/>
              <w:ind w:left="426" w:hanging="426"/>
              <w:jc w:val="left"/>
            </w:pPr>
            <w:r>
              <w:t>10%</w:t>
            </w:r>
          </w:p>
        </w:tc>
        <w:tc>
          <w:tcPr>
            <w:tcW w:w="2245" w:type="dxa"/>
            <w:shd w:val="clear" w:color="auto" w:fill="auto"/>
          </w:tcPr>
          <w:p w:rsidR="00E526F7" w:rsidRDefault="00E526F7" w:rsidP="00E238CA">
            <w:pPr>
              <w:pStyle w:val="StandaardSV"/>
              <w:tabs>
                <w:tab w:val="left" w:pos="426"/>
              </w:tabs>
              <w:spacing w:before="240"/>
              <w:ind w:left="426" w:hanging="426"/>
              <w:jc w:val="left"/>
            </w:pPr>
            <w:r>
              <w:t>1,7%</w:t>
            </w:r>
          </w:p>
        </w:tc>
        <w:tc>
          <w:tcPr>
            <w:tcW w:w="2246" w:type="dxa"/>
            <w:shd w:val="clear" w:color="auto" w:fill="auto"/>
          </w:tcPr>
          <w:p w:rsidR="00E526F7" w:rsidRDefault="00E526F7" w:rsidP="00E238CA">
            <w:pPr>
              <w:pStyle w:val="StandaardSV"/>
              <w:tabs>
                <w:tab w:val="left" w:pos="426"/>
              </w:tabs>
              <w:spacing w:before="240"/>
              <w:ind w:left="426" w:hanging="426"/>
              <w:jc w:val="left"/>
            </w:pPr>
            <w:r>
              <w:t>11,2%</w:t>
            </w:r>
          </w:p>
        </w:tc>
      </w:tr>
      <w:tr w:rsidR="00E526F7" w:rsidTr="00E238CA">
        <w:tc>
          <w:tcPr>
            <w:tcW w:w="2193" w:type="dxa"/>
            <w:shd w:val="clear" w:color="auto" w:fill="auto"/>
          </w:tcPr>
          <w:p w:rsidR="00E526F7" w:rsidRDefault="00E526F7" w:rsidP="00B47F5B">
            <w:pPr>
              <w:pStyle w:val="StandaardSV"/>
              <w:tabs>
                <w:tab w:val="left" w:pos="426"/>
              </w:tabs>
              <w:ind w:left="425" w:hanging="425"/>
              <w:jc w:val="left"/>
            </w:pPr>
            <w:r>
              <w:t>Armoede</w:t>
            </w:r>
          </w:p>
        </w:tc>
        <w:tc>
          <w:tcPr>
            <w:tcW w:w="2245" w:type="dxa"/>
            <w:shd w:val="clear" w:color="auto" w:fill="auto"/>
          </w:tcPr>
          <w:p w:rsidR="00E526F7" w:rsidRDefault="00E526F7" w:rsidP="00B47F5B">
            <w:pPr>
              <w:pStyle w:val="StandaardSV"/>
              <w:tabs>
                <w:tab w:val="left" w:pos="426"/>
              </w:tabs>
              <w:ind w:left="425" w:hanging="425"/>
              <w:jc w:val="left"/>
            </w:pPr>
            <w:r>
              <w:t>80%</w:t>
            </w:r>
          </w:p>
        </w:tc>
        <w:tc>
          <w:tcPr>
            <w:tcW w:w="2245" w:type="dxa"/>
            <w:shd w:val="clear" w:color="auto" w:fill="auto"/>
          </w:tcPr>
          <w:p w:rsidR="00E526F7" w:rsidRDefault="00E526F7" w:rsidP="00B47F5B">
            <w:pPr>
              <w:pStyle w:val="StandaardSV"/>
              <w:tabs>
                <w:tab w:val="left" w:pos="426"/>
              </w:tabs>
              <w:ind w:left="425" w:hanging="425"/>
              <w:jc w:val="left"/>
            </w:pPr>
            <w:r>
              <w:t>20%</w:t>
            </w:r>
          </w:p>
        </w:tc>
        <w:tc>
          <w:tcPr>
            <w:tcW w:w="2246" w:type="dxa"/>
            <w:shd w:val="clear" w:color="auto" w:fill="auto"/>
          </w:tcPr>
          <w:p w:rsidR="00E526F7" w:rsidRDefault="00E526F7" w:rsidP="00B47F5B">
            <w:pPr>
              <w:pStyle w:val="StandaardSV"/>
              <w:tabs>
                <w:tab w:val="left" w:pos="426"/>
              </w:tabs>
              <w:ind w:left="425" w:hanging="425"/>
              <w:jc w:val="left"/>
            </w:pPr>
            <w:r>
              <w:t>100%</w:t>
            </w:r>
          </w:p>
        </w:tc>
      </w:tr>
    </w:tbl>
    <w:p w:rsidR="00B47F5B" w:rsidRDefault="00B47F5B" w:rsidP="00B47F5B">
      <w:pPr>
        <w:pStyle w:val="StandaardSV"/>
        <w:tabs>
          <w:tab w:val="left" w:pos="426"/>
        </w:tabs>
        <w:ind w:left="425"/>
        <w:jc w:val="left"/>
      </w:pPr>
    </w:p>
    <w:p w:rsidR="00E526F7" w:rsidRPr="008D7A5F" w:rsidRDefault="00E526F7" w:rsidP="00B47F5B">
      <w:pPr>
        <w:pStyle w:val="StandaardSV"/>
        <w:numPr>
          <w:ilvl w:val="0"/>
          <w:numId w:val="9"/>
        </w:numPr>
        <w:tabs>
          <w:tab w:val="clear" w:pos="360"/>
          <w:tab w:val="left" w:pos="426"/>
          <w:tab w:val="num" w:pos="720"/>
        </w:tabs>
        <w:ind w:left="425" w:hanging="425"/>
      </w:pPr>
      <w:r w:rsidRPr="008D7A5F">
        <w:t>Onderstaande tabel geeft het aantal werkzoekenden dat via een Vlaamse centrale tender op jaarbasis begeleid of opgeleid wordt weer.</w:t>
      </w:r>
      <w:r w:rsidR="00B47F5B">
        <w:tab/>
      </w:r>
      <w:r w:rsidRPr="008D7A5F">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3299"/>
      </w:tblGrid>
      <w:tr w:rsidR="00E526F7" w:rsidTr="00E238CA">
        <w:tc>
          <w:tcPr>
            <w:tcW w:w="4072" w:type="dxa"/>
            <w:shd w:val="clear" w:color="auto" w:fill="auto"/>
          </w:tcPr>
          <w:p w:rsidR="00E526F7" w:rsidRDefault="00E526F7" w:rsidP="00E238CA">
            <w:pPr>
              <w:pStyle w:val="StandaardSV"/>
              <w:tabs>
                <w:tab w:val="left" w:pos="426"/>
              </w:tabs>
              <w:spacing w:before="240"/>
              <w:ind w:left="426" w:hanging="426"/>
              <w:jc w:val="left"/>
            </w:pPr>
            <w:r>
              <w:t>Tender</w:t>
            </w:r>
          </w:p>
        </w:tc>
        <w:tc>
          <w:tcPr>
            <w:tcW w:w="3299" w:type="dxa"/>
            <w:shd w:val="clear" w:color="auto" w:fill="auto"/>
          </w:tcPr>
          <w:p w:rsidR="00E526F7" w:rsidRDefault="00E526F7" w:rsidP="00E238CA">
            <w:pPr>
              <w:pStyle w:val="StandaardSV"/>
              <w:tabs>
                <w:tab w:val="left" w:pos="426"/>
              </w:tabs>
              <w:spacing w:before="240"/>
              <w:ind w:left="426" w:hanging="426"/>
              <w:jc w:val="left"/>
            </w:pPr>
            <w:r>
              <w:t>Totaal aantal werkzoekenden begeleid of opgeleid</w:t>
            </w:r>
          </w:p>
        </w:tc>
      </w:tr>
      <w:tr w:rsidR="00E526F7" w:rsidTr="00E238CA">
        <w:tc>
          <w:tcPr>
            <w:tcW w:w="4072" w:type="dxa"/>
            <w:shd w:val="clear" w:color="auto" w:fill="auto"/>
          </w:tcPr>
          <w:p w:rsidR="00E526F7" w:rsidRDefault="00E526F7" w:rsidP="00E238CA">
            <w:pPr>
              <w:pStyle w:val="StandaardSV"/>
              <w:tabs>
                <w:tab w:val="left" w:pos="426"/>
              </w:tabs>
              <w:spacing w:before="240"/>
              <w:ind w:left="426" w:hanging="426"/>
              <w:jc w:val="left"/>
            </w:pPr>
            <w:r>
              <w:t>TIBB</w:t>
            </w:r>
          </w:p>
        </w:tc>
        <w:tc>
          <w:tcPr>
            <w:tcW w:w="3299" w:type="dxa"/>
            <w:shd w:val="clear" w:color="auto" w:fill="auto"/>
          </w:tcPr>
          <w:p w:rsidR="00E526F7" w:rsidRDefault="00E526F7" w:rsidP="00E238CA">
            <w:pPr>
              <w:pStyle w:val="StandaardSV"/>
              <w:tabs>
                <w:tab w:val="left" w:pos="426"/>
              </w:tabs>
              <w:spacing w:before="240"/>
              <w:ind w:left="426" w:hanging="426"/>
              <w:jc w:val="left"/>
            </w:pPr>
            <w:r>
              <w:t>11000</w:t>
            </w:r>
          </w:p>
        </w:tc>
      </w:tr>
      <w:tr w:rsidR="00E526F7" w:rsidTr="00E238CA">
        <w:tc>
          <w:tcPr>
            <w:tcW w:w="4072" w:type="dxa"/>
            <w:shd w:val="clear" w:color="auto" w:fill="auto"/>
          </w:tcPr>
          <w:p w:rsidR="00E526F7" w:rsidRDefault="00E526F7" w:rsidP="00E238CA">
            <w:pPr>
              <w:pStyle w:val="StandaardSV"/>
              <w:tabs>
                <w:tab w:val="left" w:pos="426"/>
              </w:tabs>
              <w:spacing w:before="240"/>
              <w:ind w:left="426" w:hanging="426"/>
              <w:jc w:val="left"/>
            </w:pPr>
            <w:r>
              <w:t>TIBB2</w:t>
            </w:r>
          </w:p>
        </w:tc>
        <w:tc>
          <w:tcPr>
            <w:tcW w:w="3299" w:type="dxa"/>
            <w:shd w:val="clear" w:color="auto" w:fill="auto"/>
          </w:tcPr>
          <w:p w:rsidR="00E526F7" w:rsidRDefault="00E526F7" w:rsidP="00E238CA">
            <w:pPr>
              <w:pStyle w:val="StandaardSV"/>
              <w:tabs>
                <w:tab w:val="left" w:pos="426"/>
              </w:tabs>
              <w:spacing w:before="240"/>
              <w:ind w:left="426" w:hanging="426"/>
              <w:jc w:val="left"/>
            </w:pPr>
            <w:r>
              <w:t>14000</w:t>
            </w:r>
          </w:p>
        </w:tc>
      </w:tr>
      <w:tr w:rsidR="00E526F7" w:rsidTr="00E238CA">
        <w:tc>
          <w:tcPr>
            <w:tcW w:w="4072" w:type="dxa"/>
            <w:shd w:val="clear" w:color="auto" w:fill="auto"/>
          </w:tcPr>
          <w:p w:rsidR="00E526F7" w:rsidRDefault="00E526F7" w:rsidP="00E238CA">
            <w:pPr>
              <w:pStyle w:val="StandaardSV"/>
              <w:tabs>
                <w:tab w:val="left" w:pos="426"/>
              </w:tabs>
              <w:spacing w:before="240"/>
              <w:ind w:left="426" w:hanging="426"/>
              <w:jc w:val="left"/>
            </w:pPr>
            <w:r>
              <w:t>TCV</w:t>
            </w:r>
          </w:p>
        </w:tc>
        <w:tc>
          <w:tcPr>
            <w:tcW w:w="3299" w:type="dxa"/>
            <w:shd w:val="clear" w:color="auto" w:fill="auto"/>
          </w:tcPr>
          <w:p w:rsidR="00E526F7" w:rsidRDefault="00E526F7" w:rsidP="00E238CA">
            <w:pPr>
              <w:pStyle w:val="StandaardSV"/>
              <w:tabs>
                <w:tab w:val="left" w:pos="426"/>
              </w:tabs>
              <w:spacing w:before="240"/>
              <w:ind w:left="426" w:hanging="426"/>
              <w:jc w:val="left"/>
            </w:pPr>
            <w:r>
              <w:t>1197</w:t>
            </w:r>
          </w:p>
        </w:tc>
      </w:tr>
      <w:tr w:rsidR="00E526F7" w:rsidTr="00E238CA">
        <w:tc>
          <w:tcPr>
            <w:tcW w:w="4072" w:type="dxa"/>
            <w:shd w:val="clear" w:color="auto" w:fill="auto"/>
          </w:tcPr>
          <w:p w:rsidR="00E526F7" w:rsidRDefault="00E526F7" w:rsidP="00E238CA">
            <w:pPr>
              <w:pStyle w:val="StandaardSV"/>
              <w:tabs>
                <w:tab w:val="left" w:pos="426"/>
              </w:tabs>
              <w:spacing w:before="240"/>
              <w:ind w:left="426" w:hanging="426"/>
              <w:jc w:val="left"/>
            </w:pPr>
            <w:r>
              <w:t>Armoede</w:t>
            </w:r>
          </w:p>
        </w:tc>
        <w:tc>
          <w:tcPr>
            <w:tcW w:w="3299" w:type="dxa"/>
            <w:shd w:val="clear" w:color="auto" w:fill="auto"/>
          </w:tcPr>
          <w:p w:rsidR="00E526F7" w:rsidRDefault="00E526F7" w:rsidP="00E238CA">
            <w:pPr>
              <w:pStyle w:val="StandaardSV"/>
              <w:tabs>
                <w:tab w:val="left" w:pos="426"/>
              </w:tabs>
              <w:spacing w:before="240"/>
              <w:ind w:left="426" w:hanging="426"/>
              <w:jc w:val="left"/>
            </w:pPr>
            <w:r>
              <w:t>480 tot max. 625</w:t>
            </w:r>
          </w:p>
        </w:tc>
      </w:tr>
      <w:tr w:rsidR="00E526F7" w:rsidTr="00E238CA">
        <w:tc>
          <w:tcPr>
            <w:tcW w:w="4072" w:type="dxa"/>
            <w:shd w:val="clear" w:color="auto" w:fill="auto"/>
          </w:tcPr>
          <w:p w:rsidR="00E526F7" w:rsidRDefault="00E526F7" w:rsidP="00B47F5B">
            <w:pPr>
              <w:pStyle w:val="StandaardSV"/>
              <w:tabs>
                <w:tab w:val="left" w:pos="426"/>
              </w:tabs>
              <w:ind w:left="426" w:hanging="426"/>
              <w:jc w:val="left"/>
            </w:pPr>
            <w:proofErr w:type="spellStart"/>
            <w:r>
              <w:t>TAZbis</w:t>
            </w:r>
            <w:proofErr w:type="spellEnd"/>
          </w:p>
        </w:tc>
        <w:tc>
          <w:tcPr>
            <w:tcW w:w="3299" w:type="dxa"/>
            <w:shd w:val="clear" w:color="auto" w:fill="auto"/>
          </w:tcPr>
          <w:p w:rsidR="00E526F7" w:rsidRDefault="00E526F7" w:rsidP="00B47F5B">
            <w:pPr>
              <w:pStyle w:val="StandaardSV"/>
              <w:tabs>
                <w:tab w:val="left" w:pos="426"/>
              </w:tabs>
              <w:ind w:left="426" w:hanging="426"/>
              <w:jc w:val="left"/>
            </w:pPr>
            <w:r>
              <w:t>1</w:t>
            </w:r>
            <w:r w:rsidR="00665096">
              <w:t>208</w:t>
            </w:r>
          </w:p>
        </w:tc>
      </w:tr>
    </w:tbl>
    <w:p w:rsidR="00B47F5B" w:rsidRPr="00B47F5B" w:rsidRDefault="00B47F5B" w:rsidP="00B47F5B">
      <w:pPr>
        <w:pStyle w:val="StandaardSV"/>
        <w:tabs>
          <w:tab w:val="left" w:pos="426"/>
        </w:tabs>
        <w:ind w:left="426"/>
        <w:rPr>
          <w:szCs w:val="22"/>
        </w:rPr>
      </w:pPr>
    </w:p>
    <w:p w:rsidR="00E526F7" w:rsidRDefault="00E526F7" w:rsidP="00B47F5B">
      <w:pPr>
        <w:pStyle w:val="StandaardSV"/>
        <w:numPr>
          <w:ilvl w:val="0"/>
          <w:numId w:val="9"/>
        </w:numPr>
        <w:tabs>
          <w:tab w:val="clear" w:pos="360"/>
          <w:tab w:val="left" w:pos="426"/>
          <w:tab w:val="num" w:pos="720"/>
        </w:tabs>
        <w:ind w:left="426" w:hanging="426"/>
        <w:rPr>
          <w:szCs w:val="22"/>
        </w:rPr>
      </w:pPr>
      <w:r w:rsidRPr="008D7A5F">
        <w:t xml:space="preserve">De begeleiding via een tender behelst zowel begeleiding als bemiddeling van de werkzoekende. </w:t>
      </w:r>
      <w:r>
        <w:br/>
      </w:r>
      <w:r>
        <w:br/>
      </w:r>
      <w:r w:rsidRPr="008D7A5F">
        <w:rPr>
          <w:szCs w:val="22"/>
        </w:rPr>
        <w:t xml:space="preserve">Op basis van de door de VDAB aangereikte trajectbepaling, leggen de begeleider van de dienstverlener en de werkzoekende in een eerste overleg vast welke arbeidsmarktgerichte acties nodig zijn om de werkzoekende te laten participeren aan de arbeidsmarkt. </w:t>
      </w:r>
      <w:r w:rsidR="00B47F5B">
        <w:rPr>
          <w:szCs w:val="22"/>
        </w:rPr>
        <w:tab/>
      </w:r>
      <w:r>
        <w:rPr>
          <w:szCs w:val="22"/>
        </w:rPr>
        <w:br/>
      </w:r>
      <w:r>
        <w:rPr>
          <w:szCs w:val="22"/>
        </w:rPr>
        <w:br/>
      </w:r>
      <w:r w:rsidRPr="008D7A5F">
        <w:rPr>
          <w:szCs w:val="22"/>
        </w:rPr>
        <w:t xml:space="preserve">Dit wordt geformaliseerd in de trajectovereenkomst. In de trajectovereenkomst wordt omschreven uit welke acties het traject bestaat en bevat minimaal volgende elementen: </w:t>
      </w:r>
    </w:p>
    <w:p w:rsidR="00E526F7" w:rsidRPr="00253A38" w:rsidRDefault="00E526F7" w:rsidP="00B47F5B">
      <w:pPr>
        <w:pStyle w:val="Default"/>
        <w:numPr>
          <w:ilvl w:val="0"/>
          <w:numId w:val="16"/>
        </w:numPr>
        <w:tabs>
          <w:tab w:val="left" w:pos="709"/>
        </w:tabs>
        <w:ind w:left="709" w:hanging="283"/>
        <w:jc w:val="both"/>
        <w:rPr>
          <w:rFonts w:ascii="Times New Roman" w:hAnsi="Times New Roman" w:cs="Times New Roman"/>
          <w:sz w:val="22"/>
          <w:szCs w:val="22"/>
        </w:rPr>
      </w:pPr>
      <w:r w:rsidRPr="00253A38">
        <w:rPr>
          <w:rFonts w:ascii="Times New Roman" w:hAnsi="Times New Roman" w:cs="Times New Roman"/>
          <w:sz w:val="22"/>
          <w:szCs w:val="22"/>
        </w:rPr>
        <w:t xml:space="preserve">de concrete </w:t>
      </w:r>
      <w:proofErr w:type="spellStart"/>
      <w:r w:rsidRPr="00253A38">
        <w:rPr>
          <w:rFonts w:ascii="Times New Roman" w:hAnsi="Times New Roman" w:cs="Times New Roman"/>
          <w:sz w:val="22"/>
          <w:szCs w:val="22"/>
        </w:rPr>
        <w:t>jobdoelen</w:t>
      </w:r>
      <w:proofErr w:type="spellEnd"/>
      <w:r w:rsidRPr="00253A38">
        <w:rPr>
          <w:rFonts w:ascii="Times New Roman" w:hAnsi="Times New Roman" w:cs="Times New Roman"/>
          <w:sz w:val="22"/>
          <w:szCs w:val="22"/>
        </w:rPr>
        <w:t xml:space="preserve"> </w:t>
      </w:r>
    </w:p>
    <w:p w:rsidR="00E526F7" w:rsidRPr="00253A38" w:rsidRDefault="00E526F7" w:rsidP="00B47F5B">
      <w:pPr>
        <w:pStyle w:val="Default"/>
        <w:numPr>
          <w:ilvl w:val="0"/>
          <w:numId w:val="16"/>
        </w:numPr>
        <w:tabs>
          <w:tab w:val="left" w:pos="709"/>
        </w:tabs>
        <w:ind w:left="709" w:hanging="283"/>
        <w:jc w:val="both"/>
        <w:rPr>
          <w:rFonts w:ascii="Times New Roman" w:hAnsi="Times New Roman" w:cs="Times New Roman"/>
          <w:sz w:val="22"/>
          <w:szCs w:val="22"/>
        </w:rPr>
      </w:pPr>
      <w:r w:rsidRPr="00253A38">
        <w:rPr>
          <w:rFonts w:ascii="Times New Roman" w:hAnsi="Times New Roman" w:cs="Times New Roman"/>
          <w:sz w:val="22"/>
          <w:szCs w:val="22"/>
        </w:rPr>
        <w:t xml:space="preserve">stappen en acties in functie van een duurzame tewerkstelling </w:t>
      </w:r>
      <w:r>
        <w:rPr>
          <w:rFonts w:ascii="Times New Roman" w:hAnsi="Times New Roman" w:cs="Times New Roman"/>
          <w:sz w:val="22"/>
          <w:szCs w:val="22"/>
        </w:rPr>
        <w:t xml:space="preserve">zoals vb. het aanpakken van specifieke </w:t>
      </w:r>
      <w:proofErr w:type="spellStart"/>
      <w:r>
        <w:rPr>
          <w:rFonts w:ascii="Times New Roman" w:hAnsi="Times New Roman" w:cs="Times New Roman"/>
          <w:sz w:val="22"/>
          <w:szCs w:val="22"/>
        </w:rPr>
        <w:t>werkgerelateerde</w:t>
      </w:r>
      <w:proofErr w:type="spellEnd"/>
      <w:r>
        <w:rPr>
          <w:rFonts w:ascii="Times New Roman" w:hAnsi="Times New Roman" w:cs="Times New Roman"/>
          <w:sz w:val="22"/>
          <w:szCs w:val="22"/>
        </w:rPr>
        <w:t xml:space="preserve"> attitudeproblematieken, het aanbieden van sollicitatietraining, nazorg tijdens de tewerkstelling</w:t>
      </w:r>
    </w:p>
    <w:p w:rsidR="00E526F7" w:rsidRDefault="00E526F7" w:rsidP="00B47F5B">
      <w:pPr>
        <w:pStyle w:val="Default"/>
        <w:numPr>
          <w:ilvl w:val="0"/>
          <w:numId w:val="16"/>
        </w:numPr>
        <w:tabs>
          <w:tab w:val="left" w:pos="709"/>
        </w:tabs>
        <w:ind w:left="709" w:hanging="283"/>
        <w:jc w:val="both"/>
        <w:rPr>
          <w:rFonts w:ascii="Times New Roman" w:hAnsi="Times New Roman" w:cs="Times New Roman"/>
          <w:sz w:val="22"/>
          <w:szCs w:val="22"/>
        </w:rPr>
      </w:pPr>
      <w:r w:rsidRPr="00253A38">
        <w:rPr>
          <w:rFonts w:ascii="Times New Roman" w:hAnsi="Times New Roman" w:cs="Times New Roman"/>
          <w:sz w:val="22"/>
          <w:szCs w:val="22"/>
        </w:rPr>
        <w:t>een tijdsplanning voor de begeleiding en afgesproken stappen en acties.</w:t>
      </w:r>
    </w:p>
    <w:p w:rsidR="00B47F5B" w:rsidRDefault="00B47F5B" w:rsidP="00B47F5B">
      <w:pPr>
        <w:pStyle w:val="Default"/>
        <w:tabs>
          <w:tab w:val="left" w:pos="709"/>
        </w:tabs>
        <w:ind w:left="709"/>
        <w:jc w:val="both"/>
        <w:rPr>
          <w:rFonts w:ascii="Times New Roman" w:hAnsi="Times New Roman" w:cs="Times New Roman"/>
          <w:sz w:val="22"/>
          <w:szCs w:val="22"/>
        </w:rPr>
      </w:pPr>
    </w:p>
    <w:p w:rsidR="00E526F7" w:rsidRDefault="00E526F7" w:rsidP="00B47F5B">
      <w:pPr>
        <w:pStyle w:val="Default"/>
        <w:numPr>
          <w:ilvl w:val="0"/>
          <w:numId w:val="9"/>
        </w:numPr>
        <w:tabs>
          <w:tab w:val="clear" w:pos="360"/>
          <w:tab w:val="left" w:pos="426"/>
        </w:tabs>
        <w:ind w:left="425" w:hanging="425"/>
        <w:jc w:val="both"/>
        <w:rPr>
          <w:rFonts w:ascii="Times New Roman" w:hAnsi="Times New Roman" w:cs="Times New Roman"/>
          <w:sz w:val="22"/>
          <w:szCs w:val="22"/>
        </w:rPr>
      </w:pPr>
      <w:r w:rsidRPr="005E09E9">
        <w:rPr>
          <w:rFonts w:ascii="Times New Roman" w:hAnsi="Times New Roman" w:cs="Times New Roman"/>
          <w:sz w:val="22"/>
          <w:szCs w:val="22"/>
        </w:rPr>
        <w:t>De begeleiders van een partnerorganisatie die instaa</w:t>
      </w:r>
      <w:r w:rsidR="00E33C5A">
        <w:rPr>
          <w:rFonts w:ascii="Times New Roman" w:hAnsi="Times New Roman" w:cs="Times New Roman"/>
          <w:sz w:val="22"/>
          <w:szCs w:val="22"/>
        </w:rPr>
        <w:t>n</w:t>
      </w:r>
      <w:r w:rsidRPr="005E09E9">
        <w:rPr>
          <w:rFonts w:ascii="Times New Roman" w:hAnsi="Times New Roman" w:cs="Times New Roman"/>
          <w:sz w:val="22"/>
          <w:szCs w:val="22"/>
        </w:rPr>
        <w:t xml:space="preserve"> vo</w:t>
      </w:r>
      <w:r>
        <w:rPr>
          <w:rFonts w:ascii="Times New Roman" w:hAnsi="Times New Roman" w:cs="Times New Roman"/>
          <w:sz w:val="22"/>
          <w:szCs w:val="22"/>
        </w:rPr>
        <w:t xml:space="preserve">or de intensieve begeleiding en </w:t>
      </w:r>
      <w:r w:rsidRPr="005E09E9">
        <w:rPr>
          <w:rFonts w:ascii="Times New Roman" w:hAnsi="Times New Roman" w:cs="Times New Roman"/>
          <w:sz w:val="22"/>
          <w:szCs w:val="22"/>
        </w:rPr>
        <w:t xml:space="preserve">bemiddeling naar werk moeten voldoen </w:t>
      </w:r>
      <w:r>
        <w:rPr>
          <w:rFonts w:ascii="Times New Roman" w:hAnsi="Times New Roman" w:cs="Times New Roman"/>
          <w:sz w:val="22"/>
          <w:szCs w:val="22"/>
        </w:rPr>
        <w:t>aan volgende minimumvereisten:</w:t>
      </w:r>
    </w:p>
    <w:p w:rsidR="00E526F7" w:rsidRPr="005E09E9" w:rsidRDefault="00E526F7" w:rsidP="00B47F5B">
      <w:pPr>
        <w:pStyle w:val="Default"/>
        <w:numPr>
          <w:ilvl w:val="0"/>
          <w:numId w:val="14"/>
        </w:numPr>
        <w:tabs>
          <w:tab w:val="left" w:pos="709"/>
        </w:tabs>
        <w:ind w:left="714" w:hanging="288"/>
        <w:jc w:val="both"/>
        <w:rPr>
          <w:rFonts w:ascii="Times New Roman" w:hAnsi="Times New Roman" w:cs="Times New Roman"/>
          <w:sz w:val="22"/>
          <w:szCs w:val="22"/>
        </w:rPr>
      </w:pPr>
      <w:r w:rsidRPr="005E09E9">
        <w:rPr>
          <w:rFonts w:ascii="Times New Roman" w:hAnsi="Times New Roman" w:cs="Times New Roman"/>
          <w:sz w:val="22"/>
          <w:szCs w:val="22"/>
        </w:rPr>
        <w:t>minstens een sociaal of pedago</w:t>
      </w:r>
      <w:r>
        <w:rPr>
          <w:rFonts w:ascii="Times New Roman" w:hAnsi="Times New Roman" w:cs="Times New Roman"/>
          <w:sz w:val="22"/>
          <w:szCs w:val="22"/>
        </w:rPr>
        <w:t xml:space="preserve">gisch diploma op </w:t>
      </w:r>
      <w:proofErr w:type="spellStart"/>
      <w:r>
        <w:rPr>
          <w:rFonts w:ascii="Times New Roman" w:hAnsi="Times New Roman" w:cs="Times New Roman"/>
          <w:sz w:val="22"/>
          <w:szCs w:val="22"/>
        </w:rPr>
        <w:t>bachelorniveau</w:t>
      </w:r>
      <w:proofErr w:type="spellEnd"/>
    </w:p>
    <w:p w:rsidR="00E526F7" w:rsidRDefault="00E526F7" w:rsidP="00B47F5B">
      <w:pPr>
        <w:pStyle w:val="Default"/>
        <w:numPr>
          <w:ilvl w:val="0"/>
          <w:numId w:val="14"/>
        </w:numPr>
        <w:tabs>
          <w:tab w:val="left" w:pos="709"/>
        </w:tabs>
        <w:ind w:left="714" w:hanging="288"/>
        <w:jc w:val="both"/>
        <w:rPr>
          <w:rFonts w:ascii="Times New Roman" w:hAnsi="Times New Roman" w:cs="Times New Roman"/>
          <w:sz w:val="22"/>
          <w:szCs w:val="22"/>
        </w:rPr>
      </w:pPr>
      <w:r w:rsidRPr="005E09E9">
        <w:rPr>
          <w:rFonts w:ascii="Times New Roman" w:hAnsi="Times New Roman" w:cs="Times New Roman"/>
          <w:sz w:val="22"/>
          <w:szCs w:val="22"/>
        </w:rPr>
        <w:t>of 2 jaar ervaring in een gelijkaardige functie op vergelijkbaar niveau</w:t>
      </w:r>
    </w:p>
    <w:p w:rsidR="00B47F5B" w:rsidRDefault="00B47F5B" w:rsidP="00B47F5B">
      <w:pPr>
        <w:pStyle w:val="Default"/>
        <w:tabs>
          <w:tab w:val="left" w:pos="709"/>
        </w:tabs>
        <w:ind w:left="714"/>
        <w:jc w:val="both"/>
        <w:rPr>
          <w:rFonts w:ascii="Times New Roman" w:hAnsi="Times New Roman" w:cs="Times New Roman"/>
          <w:sz w:val="22"/>
          <w:szCs w:val="22"/>
        </w:rPr>
      </w:pPr>
    </w:p>
    <w:p w:rsidR="00E526F7" w:rsidRDefault="00E526F7" w:rsidP="00B47F5B">
      <w:pPr>
        <w:pStyle w:val="StandaardSV"/>
        <w:numPr>
          <w:ilvl w:val="0"/>
          <w:numId w:val="9"/>
        </w:numPr>
        <w:tabs>
          <w:tab w:val="clear" w:pos="360"/>
          <w:tab w:val="left" w:pos="426"/>
          <w:tab w:val="num" w:pos="720"/>
        </w:tabs>
        <w:ind w:left="426" w:hanging="426"/>
      </w:pPr>
      <w:r w:rsidRPr="008D7A5F">
        <w:t xml:space="preserve">De kwaliteit van een tender wordt beoordeeld door de provinciale projectopvolgers die via het </w:t>
      </w:r>
      <w:proofErr w:type="spellStart"/>
      <w:r w:rsidRPr="008D7A5F">
        <w:t>kwalimon-intrument</w:t>
      </w:r>
      <w:proofErr w:type="spellEnd"/>
      <w:r w:rsidRPr="008D7A5F">
        <w:t xml:space="preserve"> (kwalitatieve monitoring) nagaan of de aangegane kwalitatieve afspraken en ook de registratieafspraken nageleefd worden. De projectopvolger coacht de organisatie in het verder op punt stellen van hun werking om aan de kwalitatieve afspraken te kunnen voldoen. Een </w:t>
      </w:r>
      <w:proofErr w:type="spellStart"/>
      <w:r w:rsidRPr="008D7A5F">
        <w:t>kwalimon</w:t>
      </w:r>
      <w:proofErr w:type="spellEnd"/>
      <w:r w:rsidRPr="008D7A5F">
        <w:t xml:space="preserve"> heeft min. 1 keer per jaar plaats. Indien nodig kan hier een actieplan aan gekoppeld worden en wordt dit verder opgevolgd.</w:t>
      </w:r>
      <w:r w:rsidR="00B47F5B">
        <w:tab/>
      </w:r>
      <w:r w:rsidRPr="008D7A5F">
        <w:br/>
        <w:t xml:space="preserve">Vanuit de centrale regie wordt iedere centrale tender jaarlijks </w:t>
      </w:r>
      <w:proofErr w:type="spellStart"/>
      <w:r w:rsidRPr="008D7A5F">
        <w:t>geaudit</w:t>
      </w:r>
      <w:proofErr w:type="spellEnd"/>
      <w:r w:rsidRPr="008D7A5F">
        <w:t xml:space="preserve"> op projectniveau.</w:t>
      </w:r>
      <w:r w:rsidRPr="008D7A5F">
        <w:br/>
        <w:t>Verder wordt er semestrieel een analyse gemaakt van de klachten van werkzoekenden die bij VDAB binnenkomen maar ook intern bij de partnerorganisatie zelf. Indien hieruit bepaalde tendensen blijken voor een partnerorganisatie zal dit besproken worden en de gemaakte afspraken opgevolgd worden.</w:t>
      </w:r>
    </w:p>
    <w:p w:rsidR="00B47F5B" w:rsidRPr="008D7A5F" w:rsidRDefault="00B47F5B" w:rsidP="00B47F5B">
      <w:pPr>
        <w:pStyle w:val="StandaardSV"/>
        <w:tabs>
          <w:tab w:val="left" w:pos="426"/>
        </w:tabs>
        <w:ind w:left="426"/>
      </w:pPr>
    </w:p>
    <w:p w:rsidR="00E526F7" w:rsidRDefault="00B47F5B" w:rsidP="00B47F5B">
      <w:pPr>
        <w:pStyle w:val="StandaardSV"/>
        <w:numPr>
          <w:ilvl w:val="0"/>
          <w:numId w:val="9"/>
        </w:numPr>
        <w:tabs>
          <w:tab w:val="clear" w:pos="360"/>
          <w:tab w:val="left" w:pos="426"/>
          <w:tab w:val="left" w:pos="709"/>
        </w:tabs>
        <w:ind w:left="709" w:hanging="709"/>
      </w:pPr>
      <w:r>
        <w:lastRenderedPageBreak/>
        <w:t>a)</w:t>
      </w:r>
      <w:r>
        <w:tab/>
      </w:r>
      <w:r w:rsidR="00E526F7" w:rsidRPr="0034700B">
        <w:t>Er loopt slechts één centrale Vlaamse tender voor opleiding, de Tender Competentieversterking (TCV). Van hieruit worden 75 opleidingspercelen aangeboden over het verdeeld over het Vlaamse landschap; goed voor 1197 werkzoekenden.</w:t>
      </w:r>
      <w:r w:rsidR="00E526F7" w:rsidRPr="0034700B">
        <w:br/>
        <w:t>Hiernaast worden via de provinciale middelen opleidingen uitbesteed die aansluiten op het provinciale en lokale arbeidsmarktbeleid, goed voor €19.452.036.</w:t>
      </w:r>
    </w:p>
    <w:p w:rsidR="00B47F5B" w:rsidRDefault="00B47F5B" w:rsidP="00B47F5B">
      <w:pPr>
        <w:pStyle w:val="StandaardSV"/>
        <w:tabs>
          <w:tab w:val="left" w:pos="426"/>
          <w:tab w:val="left" w:pos="709"/>
        </w:tabs>
      </w:pPr>
    </w:p>
    <w:p w:rsidR="00E526F7" w:rsidRPr="0034700B" w:rsidRDefault="00B47F5B" w:rsidP="00B47F5B">
      <w:pPr>
        <w:pStyle w:val="StandaardSV"/>
        <w:tabs>
          <w:tab w:val="left" w:pos="709"/>
        </w:tabs>
        <w:ind w:left="709" w:hanging="283"/>
      </w:pPr>
      <w:r>
        <w:t>b)</w:t>
      </w:r>
      <w:r>
        <w:tab/>
      </w:r>
      <w:r w:rsidR="00E526F7" w:rsidRPr="0034700B">
        <w:t>Binnen de Tender Competentieversterking worden voornamelijk volgende opleidingen aangeboden (gebaseerd op concrete arbeidsmarktanalyse):</w:t>
      </w:r>
    </w:p>
    <w:p w:rsidR="00E526F7" w:rsidRPr="003D50D1" w:rsidRDefault="00E526F7" w:rsidP="00B47F5B">
      <w:pPr>
        <w:pStyle w:val="StandaardSV"/>
        <w:numPr>
          <w:ilvl w:val="0"/>
          <w:numId w:val="15"/>
        </w:numPr>
        <w:tabs>
          <w:tab w:val="left" w:pos="993"/>
        </w:tabs>
        <w:ind w:left="993" w:hanging="288"/>
        <w:rPr>
          <w:b/>
        </w:rPr>
      </w:pPr>
      <w:r>
        <w:t>schoonmaak</w:t>
      </w:r>
    </w:p>
    <w:p w:rsidR="00E526F7" w:rsidRPr="003D50D1" w:rsidRDefault="00E526F7" w:rsidP="00B47F5B">
      <w:pPr>
        <w:pStyle w:val="StandaardSV"/>
        <w:numPr>
          <w:ilvl w:val="0"/>
          <w:numId w:val="15"/>
        </w:numPr>
        <w:tabs>
          <w:tab w:val="left" w:pos="993"/>
        </w:tabs>
        <w:ind w:left="993" w:hanging="288"/>
        <w:rPr>
          <w:b/>
        </w:rPr>
      </w:pPr>
      <w:r>
        <w:t>verkoop</w:t>
      </w:r>
    </w:p>
    <w:p w:rsidR="00E526F7" w:rsidRPr="003D50D1" w:rsidRDefault="00E526F7" w:rsidP="00B47F5B">
      <w:pPr>
        <w:pStyle w:val="StandaardSV"/>
        <w:numPr>
          <w:ilvl w:val="0"/>
          <w:numId w:val="15"/>
        </w:numPr>
        <w:tabs>
          <w:tab w:val="left" w:pos="993"/>
        </w:tabs>
        <w:ind w:left="993" w:hanging="288"/>
        <w:rPr>
          <w:b/>
        </w:rPr>
      </w:pPr>
      <w:r>
        <w:t>bouw</w:t>
      </w:r>
    </w:p>
    <w:p w:rsidR="00E526F7" w:rsidRPr="003D50D1" w:rsidRDefault="00E526F7" w:rsidP="00B47F5B">
      <w:pPr>
        <w:pStyle w:val="StandaardSV"/>
        <w:numPr>
          <w:ilvl w:val="0"/>
          <w:numId w:val="15"/>
        </w:numPr>
        <w:tabs>
          <w:tab w:val="left" w:pos="993"/>
        </w:tabs>
        <w:ind w:left="993" w:hanging="288"/>
        <w:rPr>
          <w:b/>
        </w:rPr>
      </w:pPr>
      <w:r>
        <w:t>ICT</w:t>
      </w:r>
    </w:p>
    <w:p w:rsidR="00E526F7" w:rsidRPr="003D50D1" w:rsidRDefault="00E526F7" w:rsidP="00B47F5B">
      <w:pPr>
        <w:pStyle w:val="StandaardSV"/>
        <w:numPr>
          <w:ilvl w:val="0"/>
          <w:numId w:val="15"/>
        </w:numPr>
        <w:tabs>
          <w:tab w:val="left" w:pos="993"/>
        </w:tabs>
        <w:ind w:left="993" w:hanging="288"/>
        <w:rPr>
          <w:b/>
        </w:rPr>
      </w:pPr>
      <w:r>
        <w:t>keukenmedewerker</w:t>
      </w:r>
    </w:p>
    <w:p w:rsidR="00E526F7" w:rsidRPr="003D50D1" w:rsidRDefault="00E526F7" w:rsidP="00B47F5B">
      <w:pPr>
        <w:pStyle w:val="StandaardSV"/>
        <w:numPr>
          <w:ilvl w:val="0"/>
          <w:numId w:val="15"/>
        </w:numPr>
        <w:tabs>
          <w:tab w:val="left" w:pos="993"/>
        </w:tabs>
        <w:ind w:left="993" w:hanging="288"/>
        <w:rPr>
          <w:b/>
        </w:rPr>
      </w:pPr>
      <w:r>
        <w:t>groenwerker</w:t>
      </w:r>
    </w:p>
    <w:p w:rsidR="00E526F7" w:rsidRPr="00B47F5B" w:rsidRDefault="00E526F7" w:rsidP="00B47F5B">
      <w:pPr>
        <w:pStyle w:val="StandaardSV"/>
        <w:numPr>
          <w:ilvl w:val="0"/>
          <w:numId w:val="15"/>
        </w:numPr>
        <w:tabs>
          <w:tab w:val="left" w:pos="993"/>
        </w:tabs>
        <w:ind w:left="993" w:hanging="288"/>
        <w:rPr>
          <w:b/>
        </w:rPr>
      </w:pPr>
      <w:proofErr w:type="spellStart"/>
      <w:r>
        <w:t>zorgassistent</w:t>
      </w:r>
      <w:proofErr w:type="spellEnd"/>
    </w:p>
    <w:p w:rsidR="00B47F5B" w:rsidRPr="003D50D1" w:rsidRDefault="00B47F5B" w:rsidP="00B47F5B">
      <w:pPr>
        <w:pStyle w:val="StandaardSV"/>
        <w:tabs>
          <w:tab w:val="left" w:pos="993"/>
        </w:tabs>
        <w:ind w:left="993"/>
        <w:rPr>
          <w:b/>
        </w:rPr>
      </w:pPr>
    </w:p>
    <w:p w:rsidR="00E526F7" w:rsidRDefault="00B47F5B" w:rsidP="00B47F5B">
      <w:pPr>
        <w:pStyle w:val="StandaardSV"/>
        <w:numPr>
          <w:ilvl w:val="0"/>
          <w:numId w:val="9"/>
        </w:numPr>
        <w:tabs>
          <w:tab w:val="clear" w:pos="360"/>
          <w:tab w:val="left" w:pos="426"/>
          <w:tab w:val="left" w:pos="709"/>
        </w:tabs>
        <w:ind w:left="709" w:hanging="709"/>
      </w:pPr>
      <w:r>
        <w:t>a)</w:t>
      </w:r>
      <w:r>
        <w:tab/>
      </w:r>
      <w:r w:rsidR="00E526F7" w:rsidRPr="0034700B">
        <w:t xml:space="preserve">De kwaliteit van een uitbestede opleiding wordt op dezelfde manier gemeten als bij een begeleidingstender met name via het </w:t>
      </w:r>
      <w:proofErr w:type="spellStart"/>
      <w:r w:rsidR="00E526F7" w:rsidRPr="0034700B">
        <w:t>kwalimon</w:t>
      </w:r>
      <w:proofErr w:type="spellEnd"/>
      <w:r w:rsidR="00E526F7" w:rsidRPr="0034700B">
        <w:t>-instrument, klachtenanalyse en audit vanuit de centrale regie.</w:t>
      </w:r>
    </w:p>
    <w:p w:rsidR="00B47F5B" w:rsidRDefault="00B47F5B" w:rsidP="00B47F5B">
      <w:pPr>
        <w:pStyle w:val="StandaardSV"/>
        <w:tabs>
          <w:tab w:val="left" w:pos="426"/>
          <w:tab w:val="left" w:pos="709"/>
        </w:tabs>
        <w:ind w:left="709"/>
      </w:pPr>
    </w:p>
    <w:p w:rsidR="00E526F7" w:rsidRDefault="00B47F5B" w:rsidP="00B47F5B">
      <w:pPr>
        <w:pStyle w:val="StandaardSV"/>
        <w:tabs>
          <w:tab w:val="left" w:pos="709"/>
        </w:tabs>
        <w:ind w:left="709" w:hanging="283"/>
      </w:pPr>
      <w:r>
        <w:t>b)</w:t>
      </w:r>
      <w:r>
        <w:tab/>
      </w:r>
      <w:r w:rsidR="00E526F7">
        <w:t xml:space="preserve">Het </w:t>
      </w:r>
      <w:proofErr w:type="spellStart"/>
      <w:r w:rsidR="00E526F7">
        <w:t>kwalimon</w:t>
      </w:r>
      <w:proofErr w:type="spellEnd"/>
      <w:r w:rsidR="00E526F7">
        <w:t>-instrument werd bijgewerkt in de loop van 2013. De bevraging naar de werkzoekenden toe werd hierin mee opgenomen. Momenteel is het nog te vroeg om hier reeds conclusies uit te trekken.</w:t>
      </w:r>
    </w:p>
    <w:p w:rsidR="00B47F5B" w:rsidRDefault="00B47F5B" w:rsidP="00B47F5B">
      <w:pPr>
        <w:pStyle w:val="StandaardSV"/>
        <w:tabs>
          <w:tab w:val="left" w:pos="709"/>
        </w:tabs>
        <w:ind w:left="709" w:hanging="283"/>
      </w:pPr>
    </w:p>
    <w:p w:rsidR="00E526F7" w:rsidRDefault="00E526F7" w:rsidP="00B47F5B">
      <w:pPr>
        <w:pStyle w:val="StandaardSV"/>
        <w:numPr>
          <w:ilvl w:val="0"/>
          <w:numId w:val="9"/>
        </w:numPr>
        <w:tabs>
          <w:tab w:val="clear" w:pos="360"/>
          <w:tab w:val="left" w:pos="426"/>
          <w:tab w:val="num" w:pos="720"/>
        </w:tabs>
        <w:ind w:left="426" w:hanging="426"/>
      </w:pPr>
      <w:r w:rsidRPr="0034700B">
        <w:t>Onderstaande tabel geeft de uitstroomresultaten weer per Vlaamse centrale tender met focus op uitstroom naar werk per 30/09/2013.</w:t>
      </w:r>
    </w:p>
    <w:p w:rsidR="00B47F5B" w:rsidRDefault="00B47F5B" w:rsidP="00B47F5B">
      <w:pPr>
        <w:pStyle w:val="StandaardSV"/>
        <w:tabs>
          <w:tab w:val="left" w:pos="426"/>
        </w:tabs>
        <w:ind w:left="426"/>
      </w:pPr>
      <w:bookmarkStart w:id="0" w:name="_GoBack"/>
      <w:bookmarkEnd w:id="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346"/>
      </w:tblGrid>
      <w:tr w:rsidR="00E526F7" w:rsidRPr="00D0071E" w:rsidTr="00E238CA">
        <w:tc>
          <w:tcPr>
            <w:tcW w:w="4222" w:type="dxa"/>
            <w:shd w:val="clear" w:color="auto" w:fill="auto"/>
          </w:tcPr>
          <w:p w:rsidR="00E526F7" w:rsidRPr="00D0071E" w:rsidRDefault="00E526F7" w:rsidP="00B47F5B">
            <w:pPr>
              <w:pStyle w:val="StandaardSV"/>
              <w:tabs>
                <w:tab w:val="left" w:pos="426"/>
              </w:tabs>
              <w:ind w:left="426" w:hanging="426"/>
              <w:jc w:val="left"/>
            </w:pPr>
            <w:r w:rsidRPr="00D0071E">
              <w:t>Tender</w:t>
            </w:r>
          </w:p>
        </w:tc>
        <w:tc>
          <w:tcPr>
            <w:tcW w:w="4347" w:type="dxa"/>
            <w:shd w:val="clear" w:color="auto" w:fill="auto"/>
          </w:tcPr>
          <w:p w:rsidR="00E526F7" w:rsidRPr="00D0071E" w:rsidRDefault="00E526F7" w:rsidP="00B47F5B">
            <w:pPr>
              <w:pStyle w:val="StandaardSV"/>
              <w:tabs>
                <w:tab w:val="left" w:pos="426"/>
              </w:tabs>
              <w:ind w:left="426" w:hanging="426"/>
              <w:jc w:val="left"/>
            </w:pPr>
            <w:r w:rsidRPr="00D0071E">
              <w:t xml:space="preserve">Uitstroompercentage </w:t>
            </w:r>
            <w:r>
              <w:t xml:space="preserve">naar werk </w:t>
            </w:r>
            <w:r w:rsidRPr="00D0071E">
              <w:t>op 30/09/2013</w:t>
            </w:r>
          </w:p>
        </w:tc>
      </w:tr>
      <w:tr w:rsidR="00E526F7" w:rsidRPr="00D0071E" w:rsidTr="00E238CA">
        <w:tc>
          <w:tcPr>
            <w:tcW w:w="4222" w:type="dxa"/>
            <w:shd w:val="clear" w:color="auto" w:fill="auto"/>
          </w:tcPr>
          <w:p w:rsidR="00E526F7" w:rsidRPr="00D0071E" w:rsidRDefault="00E526F7" w:rsidP="00B47F5B">
            <w:pPr>
              <w:pStyle w:val="StandaardSV"/>
              <w:tabs>
                <w:tab w:val="left" w:pos="426"/>
              </w:tabs>
              <w:ind w:left="426" w:hanging="426"/>
              <w:jc w:val="left"/>
            </w:pPr>
            <w:r>
              <w:t>TIBB (gemeten na 6 maand einde traject)</w:t>
            </w:r>
          </w:p>
        </w:tc>
        <w:tc>
          <w:tcPr>
            <w:tcW w:w="4347" w:type="dxa"/>
            <w:shd w:val="clear" w:color="auto" w:fill="auto"/>
          </w:tcPr>
          <w:p w:rsidR="00E526F7" w:rsidRPr="00D0071E" w:rsidRDefault="00E526F7" w:rsidP="00B47F5B">
            <w:pPr>
              <w:pStyle w:val="StandaardSV"/>
              <w:tabs>
                <w:tab w:val="left" w:pos="426"/>
              </w:tabs>
              <w:ind w:left="426" w:hanging="426"/>
              <w:jc w:val="left"/>
            </w:pPr>
            <w:r>
              <w:t>68,82%</w:t>
            </w:r>
          </w:p>
        </w:tc>
      </w:tr>
      <w:tr w:rsidR="00E526F7" w:rsidRPr="00D0071E" w:rsidTr="00E238CA">
        <w:tc>
          <w:tcPr>
            <w:tcW w:w="4222" w:type="dxa"/>
            <w:shd w:val="clear" w:color="auto" w:fill="auto"/>
          </w:tcPr>
          <w:p w:rsidR="00E526F7" w:rsidRPr="00D0071E" w:rsidRDefault="00E526F7" w:rsidP="00B47F5B">
            <w:pPr>
              <w:pStyle w:val="StandaardSV"/>
              <w:tabs>
                <w:tab w:val="left" w:pos="426"/>
              </w:tabs>
              <w:ind w:left="426" w:hanging="426"/>
              <w:jc w:val="left"/>
            </w:pPr>
            <w:r>
              <w:t>TIBB2 (gemeten na 6 maand einde traject)</w:t>
            </w:r>
          </w:p>
        </w:tc>
        <w:tc>
          <w:tcPr>
            <w:tcW w:w="4347" w:type="dxa"/>
            <w:shd w:val="clear" w:color="auto" w:fill="auto"/>
          </w:tcPr>
          <w:p w:rsidR="00E526F7" w:rsidRPr="00D0071E" w:rsidRDefault="00E526F7" w:rsidP="00B47F5B">
            <w:pPr>
              <w:pStyle w:val="StandaardSV"/>
              <w:tabs>
                <w:tab w:val="left" w:pos="426"/>
              </w:tabs>
              <w:ind w:left="426" w:hanging="426"/>
              <w:jc w:val="left"/>
            </w:pPr>
            <w:r>
              <w:t>66,87%</w:t>
            </w:r>
          </w:p>
        </w:tc>
      </w:tr>
      <w:tr w:rsidR="00E526F7" w:rsidRPr="00D0071E" w:rsidTr="00E238CA">
        <w:tc>
          <w:tcPr>
            <w:tcW w:w="4222" w:type="dxa"/>
            <w:shd w:val="clear" w:color="auto" w:fill="auto"/>
          </w:tcPr>
          <w:p w:rsidR="00E526F7" w:rsidRPr="00D0071E" w:rsidRDefault="00E526F7" w:rsidP="00B47F5B">
            <w:pPr>
              <w:pStyle w:val="StandaardSV"/>
              <w:tabs>
                <w:tab w:val="left" w:pos="426"/>
              </w:tabs>
              <w:ind w:left="426" w:hanging="426"/>
              <w:jc w:val="left"/>
            </w:pPr>
            <w:r>
              <w:t>TCV (gemeten na 3 maand einde opleiding)</w:t>
            </w:r>
          </w:p>
        </w:tc>
        <w:tc>
          <w:tcPr>
            <w:tcW w:w="4347" w:type="dxa"/>
            <w:shd w:val="clear" w:color="auto" w:fill="auto"/>
          </w:tcPr>
          <w:p w:rsidR="00E526F7" w:rsidRPr="00D0071E" w:rsidRDefault="00E526F7" w:rsidP="00B47F5B">
            <w:pPr>
              <w:pStyle w:val="StandaardSV"/>
              <w:tabs>
                <w:tab w:val="left" w:pos="426"/>
              </w:tabs>
              <w:ind w:left="426" w:hanging="426"/>
              <w:jc w:val="left"/>
            </w:pPr>
            <w:r>
              <w:t>46,4%</w:t>
            </w:r>
          </w:p>
        </w:tc>
      </w:tr>
    </w:tbl>
    <w:p w:rsidR="007E2BCE" w:rsidRPr="006F7827" w:rsidRDefault="007E2BCE" w:rsidP="00B47F5B">
      <w:pPr>
        <w:pStyle w:val="StandaardSV"/>
        <w:tabs>
          <w:tab w:val="left" w:pos="426"/>
        </w:tabs>
        <w:ind w:left="426"/>
        <w:jc w:val="left"/>
      </w:pPr>
    </w:p>
    <w:sectPr w:rsidR="007E2BCE" w:rsidRPr="006F7827" w:rsidSect="00B47F5B">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53" w:rsidRDefault="001F3153" w:rsidP="00464A7A">
      <w:r>
        <w:separator/>
      </w:r>
    </w:p>
  </w:endnote>
  <w:endnote w:type="continuationSeparator" w:id="0">
    <w:p w:rsidR="001F3153" w:rsidRDefault="001F3153"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53" w:rsidRDefault="001F3153" w:rsidP="00464A7A">
      <w:r>
        <w:separator/>
      </w:r>
    </w:p>
  </w:footnote>
  <w:footnote w:type="continuationSeparator" w:id="0">
    <w:p w:rsidR="001F3153" w:rsidRDefault="001F3153"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97C083C"/>
    <w:multiLevelType w:val="hybridMultilevel"/>
    <w:tmpl w:val="4F5026A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FF75F56"/>
    <w:multiLevelType w:val="hybridMultilevel"/>
    <w:tmpl w:val="7B7E3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3F3D547F"/>
    <w:multiLevelType w:val="hybridMultilevel"/>
    <w:tmpl w:val="B784ECE2"/>
    <w:lvl w:ilvl="0" w:tplc="08130001">
      <w:start w:val="1"/>
      <w:numFmt w:val="bullet"/>
      <w:lvlText w:val=""/>
      <w:lvlJc w:val="left"/>
      <w:pPr>
        <w:ind w:left="1566" w:hanging="360"/>
      </w:pPr>
      <w:rPr>
        <w:rFonts w:ascii="Symbol" w:hAnsi="Symbol" w:hint="default"/>
      </w:rPr>
    </w:lvl>
    <w:lvl w:ilvl="1" w:tplc="08130003" w:tentative="1">
      <w:start w:val="1"/>
      <w:numFmt w:val="bullet"/>
      <w:lvlText w:val="o"/>
      <w:lvlJc w:val="left"/>
      <w:pPr>
        <w:ind w:left="2286" w:hanging="360"/>
      </w:pPr>
      <w:rPr>
        <w:rFonts w:ascii="Courier New" w:hAnsi="Courier New" w:cs="Courier New" w:hint="default"/>
      </w:rPr>
    </w:lvl>
    <w:lvl w:ilvl="2" w:tplc="08130005" w:tentative="1">
      <w:start w:val="1"/>
      <w:numFmt w:val="bullet"/>
      <w:lvlText w:val=""/>
      <w:lvlJc w:val="left"/>
      <w:pPr>
        <w:ind w:left="3006" w:hanging="360"/>
      </w:pPr>
      <w:rPr>
        <w:rFonts w:ascii="Wingdings" w:hAnsi="Wingdings" w:hint="default"/>
      </w:rPr>
    </w:lvl>
    <w:lvl w:ilvl="3" w:tplc="08130001" w:tentative="1">
      <w:start w:val="1"/>
      <w:numFmt w:val="bullet"/>
      <w:lvlText w:val=""/>
      <w:lvlJc w:val="left"/>
      <w:pPr>
        <w:ind w:left="3726" w:hanging="360"/>
      </w:pPr>
      <w:rPr>
        <w:rFonts w:ascii="Symbol" w:hAnsi="Symbol" w:hint="default"/>
      </w:rPr>
    </w:lvl>
    <w:lvl w:ilvl="4" w:tplc="08130003" w:tentative="1">
      <w:start w:val="1"/>
      <w:numFmt w:val="bullet"/>
      <w:lvlText w:val="o"/>
      <w:lvlJc w:val="left"/>
      <w:pPr>
        <w:ind w:left="4446" w:hanging="360"/>
      </w:pPr>
      <w:rPr>
        <w:rFonts w:ascii="Courier New" w:hAnsi="Courier New" w:cs="Courier New" w:hint="default"/>
      </w:rPr>
    </w:lvl>
    <w:lvl w:ilvl="5" w:tplc="08130005" w:tentative="1">
      <w:start w:val="1"/>
      <w:numFmt w:val="bullet"/>
      <w:lvlText w:val=""/>
      <w:lvlJc w:val="left"/>
      <w:pPr>
        <w:ind w:left="5166" w:hanging="360"/>
      </w:pPr>
      <w:rPr>
        <w:rFonts w:ascii="Wingdings" w:hAnsi="Wingdings" w:hint="default"/>
      </w:rPr>
    </w:lvl>
    <w:lvl w:ilvl="6" w:tplc="08130001" w:tentative="1">
      <w:start w:val="1"/>
      <w:numFmt w:val="bullet"/>
      <w:lvlText w:val=""/>
      <w:lvlJc w:val="left"/>
      <w:pPr>
        <w:ind w:left="5886" w:hanging="360"/>
      </w:pPr>
      <w:rPr>
        <w:rFonts w:ascii="Symbol" w:hAnsi="Symbol" w:hint="default"/>
      </w:rPr>
    </w:lvl>
    <w:lvl w:ilvl="7" w:tplc="08130003" w:tentative="1">
      <w:start w:val="1"/>
      <w:numFmt w:val="bullet"/>
      <w:lvlText w:val="o"/>
      <w:lvlJc w:val="left"/>
      <w:pPr>
        <w:ind w:left="6606" w:hanging="360"/>
      </w:pPr>
      <w:rPr>
        <w:rFonts w:ascii="Courier New" w:hAnsi="Courier New" w:cs="Courier New" w:hint="default"/>
      </w:rPr>
    </w:lvl>
    <w:lvl w:ilvl="8" w:tplc="08130005" w:tentative="1">
      <w:start w:val="1"/>
      <w:numFmt w:val="bullet"/>
      <w:lvlText w:val=""/>
      <w:lvlJc w:val="left"/>
      <w:pPr>
        <w:ind w:left="7326" w:hanging="360"/>
      </w:pPr>
      <w:rPr>
        <w:rFonts w:ascii="Wingdings" w:hAnsi="Wingdings" w:hint="default"/>
      </w:rPr>
    </w:lvl>
  </w:abstractNum>
  <w:abstractNum w:abstractNumId="1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2">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2"/>
  </w:num>
  <w:num w:numId="4">
    <w:abstractNumId w:val="3"/>
  </w:num>
  <w:num w:numId="5">
    <w:abstractNumId w:val="13"/>
  </w:num>
  <w:num w:numId="6">
    <w:abstractNumId w:val="6"/>
  </w:num>
  <w:num w:numId="7">
    <w:abstractNumId w:val="5"/>
  </w:num>
  <w:num w:numId="8">
    <w:abstractNumId w:val="10"/>
  </w:num>
  <w:num w:numId="9">
    <w:abstractNumId w:val="8"/>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1F3153"/>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67AD0"/>
    <w:rsid w:val="00482870"/>
    <w:rsid w:val="00484404"/>
    <w:rsid w:val="00492D21"/>
    <w:rsid w:val="00495CB1"/>
    <w:rsid w:val="00496B5B"/>
    <w:rsid w:val="004B1659"/>
    <w:rsid w:val="0053649F"/>
    <w:rsid w:val="005628FF"/>
    <w:rsid w:val="00572E3E"/>
    <w:rsid w:val="00580D9A"/>
    <w:rsid w:val="005B0CF8"/>
    <w:rsid w:val="005F2C80"/>
    <w:rsid w:val="0064100C"/>
    <w:rsid w:val="00651886"/>
    <w:rsid w:val="00656FB5"/>
    <w:rsid w:val="006632DE"/>
    <w:rsid w:val="00665096"/>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47F5B"/>
    <w:rsid w:val="00B846A3"/>
    <w:rsid w:val="00B97686"/>
    <w:rsid w:val="00BE4E09"/>
    <w:rsid w:val="00BE6E81"/>
    <w:rsid w:val="00BF75AA"/>
    <w:rsid w:val="00C579CC"/>
    <w:rsid w:val="00CB244B"/>
    <w:rsid w:val="00CB3A85"/>
    <w:rsid w:val="00D03794"/>
    <w:rsid w:val="00D0429D"/>
    <w:rsid w:val="00D060AB"/>
    <w:rsid w:val="00D06542"/>
    <w:rsid w:val="00D15FE9"/>
    <w:rsid w:val="00D169B0"/>
    <w:rsid w:val="00D6129C"/>
    <w:rsid w:val="00D71834"/>
    <w:rsid w:val="00D844CB"/>
    <w:rsid w:val="00DF0323"/>
    <w:rsid w:val="00DF0EAA"/>
    <w:rsid w:val="00DF38FD"/>
    <w:rsid w:val="00E135AC"/>
    <w:rsid w:val="00E13E2E"/>
    <w:rsid w:val="00E33C5A"/>
    <w:rsid w:val="00E37C52"/>
    <w:rsid w:val="00E526F7"/>
    <w:rsid w:val="00E7231E"/>
    <w:rsid w:val="00EB1EE1"/>
    <w:rsid w:val="00EC7346"/>
    <w:rsid w:val="00ED0183"/>
    <w:rsid w:val="00ED7FBB"/>
    <w:rsid w:val="00EE0092"/>
    <w:rsid w:val="00F021AE"/>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Default">
    <w:name w:val="Default"/>
    <w:rsid w:val="00E526F7"/>
    <w:pPr>
      <w:autoSpaceDE w:val="0"/>
      <w:autoSpaceDN w:val="0"/>
      <w:adjustRightInd w:val="0"/>
    </w:pPr>
    <w:rPr>
      <w:rFonts w:ascii="Arial" w:hAnsi="Arial" w:cs="Arial"/>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Default">
    <w:name w:val="Default"/>
    <w:rsid w:val="00E526F7"/>
    <w:pPr>
      <w:autoSpaceDE w:val="0"/>
      <w:autoSpaceDN w:val="0"/>
      <w:adjustRightInd w:val="0"/>
    </w:pPr>
    <w:rPr>
      <w:rFonts w:ascii="Arial" w:hAnsi="Arial" w:cs="Arial"/>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656108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07E24"/>
    <w:rsid w:val="001E5C81"/>
    <w:rsid w:val="002A3787"/>
    <w:rsid w:val="00317C8C"/>
    <w:rsid w:val="003D53FC"/>
    <w:rsid w:val="00407397"/>
    <w:rsid w:val="004977B7"/>
    <w:rsid w:val="00532992"/>
    <w:rsid w:val="00535D1C"/>
    <w:rsid w:val="005F7776"/>
    <w:rsid w:val="006013D5"/>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BB47C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8" ma:contentTypeDescription="Schriftelijke vraag met koppeling van andere template." ma:contentTypeScope="" ma:versionID="038c5590146d778de64ebb921466e1a8">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883843c354df0e8b75b2a2ad16b0014d"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82 VDAB - Tenderbeleid</Titel_x0020_vraag>
    <Vraagnummer xmlns="7a2e3783-fe9a-4a2f-bbf4-debb4ac58a5c">82</Vraagnummer>
    <DatumVraag xmlns="7a2e3783-fe9a-4a2f-bbf4-debb4ac58a5c">2013-10-16T22:00:00+00:00</DatumVraag>
    <DocumentSetDescription xmlns="http://schemas.microsoft.com/sharepoint/v3" xsi:nil="true"/>
    <Antwoord_x0020_vereist xmlns="7a2e3783-fe9a-4a2f-bbf4-debb4ac58a5c">2013-11-07T23:00:00+00:00</Antwoord_x0020_vereist>
    <Onderwerp_x0020_vraag xmlns="7a2e3783-fe9a-4a2f-bbf4-debb4ac58a5c">VDAB - Tenderbeleid</Onderwerp_x0020_vraag>
    <TaxCatchAll xmlns="7a2e3783-fe9a-4a2f-bbf4-debb4ac58a5c"/>
    <Antwoordnummer xmlns="7a2e3783-fe9a-4a2f-bbf4-debb4ac58a5c">82</Antwoordnummer>
    <Extra_x0020_Behandelaars xmlns="7a2e3783-fe9a-4a2f-bbf4-debb4ac58a5c">
      <UserInfo>
        <DisplayName/>
        <AccountId xsi:nil="true"/>
        <AccountType/>
      </UserInfo>
    </Extra_x0020_Behandelaars>
    <Parlementair xmlns="7a2e3783-fe9a-4a2f-bbf4-debb4ac58a5c">Joke Quintens</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2013-11-08T08:02:44+00:00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Financiën, Begroting, Werk, Ruimtelijke Ordening en Sport</MinisterAlleDomeinen>
    <DocSetId xmlns="$ListId:ParlementaireVragen;">64</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3.xml><?xml version="1.0" encoding="utf-8"?>
<ds:datastoreItem xmlns:ds="http://schemas.openxmlformats.org/officeDocument/2006/customXml" ds:itemID="{3867789A-5A76-4562-9332-2EC31E74C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98DB8-679A-49E4-AA34-B450138B57AB}">
  <ds:schemaRefs>
    <ds:schemaRef ds:uri="http://schemas.microsoft.com/sharepoint/v3"/>
    <ds:schemaRef ds:uri="0432e282-c115-404d-9267-bbe15fcac794"/>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7a2e3783-fe9a-4a2f-bbf4-debb4ac58a5c"/>
    <ds:schemaRef ds:uri="ec82e040-88e9-4975-bc13-a42fab7bb9ce"/>
    <ds:schemaRef ds:uri="$ListId:ParlementaireVragen;"/>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9E1CA58-A104-488F-A69E-DA41AE13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4607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Tenderbeleid</vt:lpstr>
      <vt:lpstr/>
    </vt:vector>
  </TitlesOfParts>
  <Company>MVG</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Tenderbeleid</dc:title>
  <dc:creator>Vroman, Patricia</dc:creator>
  <dc:description/>
  <cp:lastModifiedBy>Nathalie De Keyzer</cp:lastModifiedBy>
  <cp:revision>3</cp:revision>
  <cp:lastPrinted>1900-12-31T23:00:00Z</cp:lastPrinted>
  <dcterms:created xsi:type="dcterms:W3CDTF">2013-11-08T12:41:00Z</dcterms:created>
  <dcterms:modified xsi:type="dcterms:W3CDTF">2013-11-19T14:00:00Z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98a7c6bf-013c-4df0-bb71-ebf01eaf9d79</vt:lpwstr>
  </property>
  <property fmtid="{D5CDD505-2E9C-101B-9397-08002B2CF9AE}" pid="7" name="WorkflowCreationPath">
    <vt:lpwstr>f4458a7a-ede2-4269-af3f-7faa66924d37;</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ies>
</file>