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177D5A">
        <w:rPr>
          <w:noProof/>
          <w:szCs w:val="22"/>
        </w:rPr>
        <w:t>geert bourgeois</w:t>
      </w:r>
      <w:r>
        <w:rPr>
          <w:szCs w:val="22"/>
        </w:rPr>
        <w:fldChar w:fldCharType="end"/>
      </w:r>
      <w:bookmarkEnd w:id="0"/>
    </w:p>
    <w:bookmarkStart w:id="1" w:name="Text2"/>
    <w:p w:rsidR="000976E9" w:rsidRPr="00015BF7" w:rsidRDefault="00D71D99"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177D5A">
        <w:t>viceminister-president van de vlaamse regering en vlaams minister van bestuurszaken, binnenlands bestuur, inburgering, toerisme en vlaamse rand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787964">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4F4A8B">
        <w:rPr>
          <w:b w:val="0"/>
        </w:rPr>
        <w:t>801</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4F4A8B">
        <w:rPr>
          <w:b w:val="0"/>
        </w:rPr>
        <w:t>13</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30FE6">
        <w:rPr>
          <w:b w:val="0"/>
        </w:rPr>
      </w:r>
      <w:r w:rsidR="00C30FE6">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30FE6">
        <w:rPr>
          <w:b w:val="0"/>
        </w:rPr>
      </w:r>
      <w:r w:rsidR="00C30FE6">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ED2C0D">
        <w:rPr>
          <w:rStyle w:val="AntwoordNaamMinisterChar"/>
        </w:rPr>
        <w:t>m</w:t>
      </w:r>
      <w:r w:rsidR="004F4A8B">
        <w:rPr>
          <w:rStyle w:val="AntwoordNaamMinisterChar"/>
        </w:rPr>
        <w:t xml:space="preserve">atthias </w:t>
      </w:r>
      <w:r w:rsidR="00ED2C0D">
        <w:rPr>
          <w:rStyle w:val="AntwoordNaamMinisterChar"/>
        </w:rPr>
        <w:t>d</w:t>
      </w:r>
      <w:r w:rsidR="004F4A8B">
        <w:rPr>
          <w:rStyle w:val="AntwoordNaamMinisterChar"/>
        </w:rPr>
        <w:t>iependaele</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F4A8B" w:rsidRDefault="004F4A8B" w:rsidP="00877924">
      <w:pPr>
        <w:pStyle w:val="StandaardSV"/>
        <w:numPr>
          <w:ilvl w:val="0"/>
          <w:numId w:val="16"/>
        </w:numPr>
        <w:ind w:left="426" w:hanging="426"/>
        <w:rPr>
          <w:lang w:val="nl-BE"/>
        </w:rPr>
      </w:pPr>
      <w:r w:rsidRPr="004F4A8B">
        <w:rPr>
          <w:lang w:val="nl-BE"/>
        </w:rPr>
        <w:lastRenderedPageBreak/>
        <w:t xml:space="preserve">Ankerplaatsen en erfgoedlandschappen vormen een aanvulling op de klassieke bescherming van landschappen. Deze vorm van beschermen zet specifiek in op het afstemmen van onroerend erfgoed met ruimtelijke ordening. </w:t>
      </w:r>
    </w:p>
    <w:p w:rsidR="004F4A8B" w:rsidRDefault="004F4A8B" w:rsidP="00877924">
      <w:pPr>
        <w:pStyle w:val="StandaardSV"/>
        <w:ind w:left="426"/>
        <w:rPr>
          <w:lang w:val="nl-BE"/>
        </w:rPr>
      </w:pPr>
      <w:r w:rsidRPr="004F4A8B">
        <w:rPr>
          <w:i/>
          <w:lang w:val="nl-BE"/>
        </w:rPr>
        <w:t>Ankerplaatsen</w:t>
      </w:r>
      <w:r w:rsidRPr="004F4A8B">
        <w:rPr>
          <w:lang w:val="nl-BE"/>
        </w:rPr>
        <w:t xml:space="preserve"> zijn gebieden in Vlaanderen met een grote landschappelijke waarde. In 2001 werd de Landschapsatlas gepubliceerd waarin deze ankerplaatsen gelokaliseerd en beschreven werden. Deze atlas is een wetenschappelijk onderbouwde inventaris die aangeeft waar nog traditionele landschappen bewaard gebleven zijn én wat de landschapswaarden zijn. Criteria voor de afbakening zijn samenhang, gaafheid en herkenbaarheid. Deze atlas is raadpleegbaar op het </w:t>
      </w:r>
      <w:proofErr w:type="spellStart"/>
      <w:r w:rsidRPr="004F4A8B">
        <w:rPr>
          <w:lang w:val="nl-BE"/>
        </w:rPr>
        <w:t>geoloket</w:t>
      </w:r>
      <w:proofErr w:type="spellEnd"/>
      <w:r w:rsidRPr="004F4A8B">
        <w:rPr>
          <w:lang w:val="nl-BE"/>
        </w:rPr>
        <w:t xml:space="preserve"> van het AGIV (</w:t>
      </w:r>
      <w:hyperlink r:id="rId6" w:history="1">
        <w:r w:rsidRPr="004F4A8B">
          <w:rPr>
            <w:rStyle w:val="Hyperlink"/>
            <w:lang w:val="nl-BE"/>
          </w:rPr>
          <w:t>http://geo-vlaanderen.agiv.be/geo-vlaanderen/landschapsatlas/</w:t>
        </w:r>
      </w:hyperlink>
      <w:r w:rsidRPr="004F4A8B">
        <w:rPr>
          <w:lang w:val="nl-BE"/>
        </w:rPr>
        <w:t xml:space="preserve">). </w:t>
      </w:r>
    </w:p>
    <w:p w:rsidR="004F4A8B" w:rsidRDefault="004F4A8B" w:rsidP="00877924">
      <w:pPr>
        <w:pStyle w:val="StandaardSV"/>
        <w:ind w:left="426"/>
        <w:rPr>
          <w:lang w:val="nl-BE"/>
        </w:rPr>
      </w:pPr>
      <w:r w:rsidRPr="00EF322C">
        <w:rPr>
          <w:lang w:val="nl-BE"/>
        </w:rPr>
        <w:t xml:space="preserve">Het </w:t>
      </w:r>
      <w:r w:rsidRPr="00EF322C">
        <w:rPr>
          <w:i/>
          <w:lang w:val="nl-BE"/>
        </w:rPr>
        <w:t>aanduiden</w:t>
      </w:r>
      <w:r w:rsidRPr="00EF322C">
        <w:rPr>
          <w:lang w:val="nl-BE"/>
        </w:rPr>
        <w:t xml:space="preserve"> van ankerplaatsen</w:t>
      </w:r>
      <w:r>
        <w:rPr>
          <w:lang w:val="nl-BE"/>
        </w:rPr>
        <w:t xml:space="preserve"> is een eerste stap waardoor deze wetenschappelijk afgebakende ankerplaatsen </w:t>
      </w:r>
      <w:r w:rsidRPr="00EF322C">
        <w:rPr>
          <w:lang w:val="nl-BE"/>
        </w:rPr>
        <w:t xml:space="preserve">een juridisch statuut krijgen en er ook rechtsgevolgen voor administratieve overheden aan gekoppeld </w:t>
      </w:r>
      <w:r>
        <w:rPr>
          <w:lang w:val="nl-BE"/>
        </w:rPr>
        <w:t>zijn</w:t>
      </w:r>
      <w:r w:rsidRPr="00EF322C">
        <w:rPr>
          <w:lang w:val="nl-BE"/>
        </w:rPr>
        <w:t>. Bij de aanduiding van ankerplaatsen worden de natuurwetenschappelijke, historische, esthetische, sociaal-culturele en ruimtelijk-structurerende waarde van een landschap uitgebreid beschreven, evenals de landschapskenmerken. Er wordt ook een toekomstige ruimtelijke vertaling en visie uitgewerkt.</w:t>
      </w:r>
    </w:p>
    <w:p w:rsidR="004F4A8B" w:rsidRDefault="004F4A8B" w:rsidP="00877924">
      <w:pPr>
        <w:pStyle w:val="StandaardSV"/>
        <w:ind w:left="426"/>
        <w:rPr>
          <w:lang w:val="nl-BE"/>
        </w:rPr>
      </w:pPr>
      <w:r w:rsidRPr="00EF322C">
        <w:rPr>
          <w:lang w:val="nl-BE"/>
        </w:rPr>
        <w:t xml:space="preserve">De omvorming naar een </w:t>
      </w:r>
      <w:r w:rsidRPr="00EF322C">
        <w:rPr>
          <w:i/>
          <w:lang w:val="nl-BE"/>
        </w:rPr>
        <w:t>erfgoedlandschap</w:t>
      </w:r>
      <w:r w:rsidRPr="00EF322C">
        <w:rPr>
          <w:lang w:val="nl-BE"/>
        </w:rPr>
        <w:t xml:space="preserve"> is een tweede stap en heeft betrekking op een aangeduide ankerplaats of dat deel van een aangeduide ankerplaats dat opgenomen is in een gemeentelijk, provinciaal of gewestelijk ruimtelijk uitvoeringsplan (afkorting: RUP). Bij een omzetting naar een erfgoedlandschap worden die landschapswaarden en -kenmerken </w:t>
      </w:r>
      <w:proofErr w:type="spellStart"/>
      <w:r w:rsidRPr="00EF322C">
        <w:rPr>
          <w:lang w:val="nl-BE"/>
        </w:rPr>
        <w:t>doorvertaald</w:t>
      </w:r>
      <w:proofErr w:type="spellEnd"/>
      <w:r w:rsidRPr="00EF322C">
        <w:rPr>
          <w:lang w:val="nl-BE"/>
        </w:rPr>
        <w:t xml:space="preserve"> in de stedenbouwkundige voorschriften. </w:t>
      </w:r>
    </w:p>
    <w:p w:rsidR="004F4A8B" w:rsidRDefault="004F4A8B" w:rsidP="00877924">
      <w:pPr>
        <w:pStyle w:val="StandaardSV"/>
        <w:ind w:left="426"/>
        <w:rPr>
          <w:lang w:val="nl-BE"/>
        </w:rPr>
      </w:pPr>
      <w:r w:rsidRPr="00EF322C">
        <w:rPr>
          <w:lang w:val="nl-BE"/>
        </w:rPr>
        <w:t>Ankerplaatsen worden aangeduid op basis van de Landschapsatlas en goedgekeurd door de minister bevoegd voor onroerend erfgoed. De procedure verloopt in twee fasen: eerst wordt de ankerplaats voorlopig aangeduid. Vervolgens kunnen de betr</w:t>
      </w:r>
      <w:r w:rsidR="00877924">
        <w:rPr>
          <w:lang w:val="nl-BE"/>
        </w:rPr>
        <w:t xml:space="preserve">okken gemeenten, provincies en </w:t>
      </w:r>
      <w:r w:rsidRPr="00EF322C">
        <w:rPr>
          <w:lang w:val="nl-BE"/>
        </w:rPr>
        <w:t xml:space="preserve">administraties hierop een advies geven. Rekening houdend met deze adviezen wordt de voorlopig aangeduide ankerplaats qua inhoud of afbakening al dan niet gewijzigd en leidt dit, binnen een termijn van maximaal 1 jaar, tot een definitief aangeduide ankerplaats. </w:t>
      </w:r>
    </w:p>
    <w:p w:rsidR="004F4A8B" w:rsidRDefault="004F4A8B" w:rsidP="004F4A8B">
      <w:pPr>
        <w:pStyle w:val="StandaardSV"/>
        <w:ind w:left="720"/>
        <w:rPr>
          <w:lang w:val="nl-BE"/>
        </w:rPr>
      </w:pPr>
    </w:p>
    <w:p w:rsidR="004F4A8B" w:rsidRDefault="004F4A8B" w:rsidP="00877924">
      <w:pPr>
        <w:pStyle w:val="StandaardSV"/>
        <w:ind w:left="426"/>
      </w:pPr>
      <w:r>
        <w:rPr>
          <w:lang w:val="nl-BE"/>
        </w:rPr>
        <w:t xml:space="preserve">De </w:t>
      </w:r>
      <w:proofErr w:type="spellStart"/>
      <w:r>
        <w:rPr>
          <w:lang w:val="nl-BE"/>
        </w:rPr>
        <w:t>aanduidingsprocedure</w:t>
      </w:r>
      <w:proofErr w:type="spellEnd"/>
      <w:r>
        <w:rPr>
          <w:lang w:val="nl-BE"/>
        </w:rPr>
        <w:t xml:space="preserve"> voor de ankerplaats “Schelde-Leie </w:t>
      </w:r>
      <w:proofErr w:type="spellStart"/>
      <w:r>
        <w:rPr>
          <w:lang w:val="nl-BE"/>
        </w:rPr>
        <w:t>Interfluvium</w:t>
      </w:r>
      <w:proofErr w:type="spellEnd"/>
      <w:r>
        <w:rPr>
          <w:lang w:val="nl-BE"/>
        </w:rPr>
        <w:t xml:space="preserve">” werd opgestart om te anticiperen op een mogelijk gewestelijk RUP in het kader van het </w:t>
      </w:r>
      <w:r w:rsidRPr="004E6EE1">
        <w:t>afbakening</w:t>
      </w:r>
      <w:r>
        <w:t>sproces</w:t>
      </w:r>
      <w:r w:rsidRPr="004E6EE1">
        <w:t xml:space="preserve"> van de agrarische en natuurlijke structuur </w:t>
      </w:r>
      <w:r>
        <w:t xml:space="preserve">(AGNAS). Enkele jaren terug was er een voorstel vanuit </w:t>
      </w:r>
      <w:r>
        <w:rPr>
          <w:lang w:val="nl-BE"/>
        </w:rPr>
        <w:t xml:space="preserve">de </w:t>
      </w:r>
      <w:r w:rsidRPr="004E6EE1">
        <w:t>afdeling Duurzame Landbouwontwikkeling</w:t>
      </w:r>
      <w:r>
        <w:t xml:space="preserve"> tot opmaak van een gewestelijk RUP voor een deel van dit gebied. </w:t>
      </w:r>
    </w:p>
    <w:p w:rsidR="004F4A8B" w:rsidRDefault="004F4A8B" w:rsidP="004F4A8B">
      <w:pPr>
        <w:pStyle w:val="StandaardSV"/>
        <w:ind w:left="720"/>
      </w:pPr>
    </w:p>
    <w:p w:rsidR="00C77C31" w:rsidRDefault="004F4A8B" w:rsidP="00877924">
      <w:pPr>
        <w:pStyle w:val="StandaardSV"/>
        <w:ind w:left="426"/>
      </w:pPr>
      <w:r>
        <w:t xml:space="preserve">Aan een aangeduide ankerplaats zijn consequenties verbonden (artikel 26 en 30 van het decreet van 16 april 1996 betreffende de landschapszorg): </w:t>
      </w:r>
    </w:p>
    <w:p w:rsidR="004F4A8B" w:rsidRDefault="00C77C31" w:rsidP="00877924">
      <w:pPr>
        <w:pStyle w:val="StandaardSV"/>
        <w:ind w:left="426"/>
      </w:pPr>
      <w:r>
        <w:t>“</w:t>
      </w:r>
      <w:r w:rsidR="004F4A8B">
        <w:t>de administratieve overheid moet in al haar beslissingen inzake een eigen werk of handeling, of inzake het verlenen van een opdracht daartoe, of inzake een eigen plan of verordening, die een ankerplaats nadelig beïnvloeden:</w:t>
      </w:r>
    </w:p>
    <w:p w:rsidR="004F4A8B" w:rsidRDefault="004F4A8B" w:rsidP="00877924">
      <w:pPr>
        <w:pStyle w:val="StandaardSV"/>
        <w:numPr>
          <w:ilvl w:val="0"/>
          <w:numId w:val="17"/>
        </w:numPr>
        <w:ind w:left="709" w:hanging="283"/>
      </w:pPr>
      <w:r>
        <w:t>voorkomen dat vermijdbare schade aan een typisch landschapskenmerk van een ankerplaats wordt veroorzaakt;</w:t>
      </w:r>
    </w:p>
    <w:p w:rsidR="004F4A8B" w:rsidRDefault="00C77C31" w:rsidP="00877924">
      <w:pPr>
        <w:pStyle w:val="StandaardSV"/>
        <w:numPr>
          <w:ilvl w:val="0"/>
          <w:numId w:val="17"/>
        </w:numPr>
        <w:ind w:left="709" w:hanging="283"/>
      </w:pPr>
      <w:r>
        <w:t>d</w:t>
      </w:r>
      <w:r w:rsidR="004F4A8B">
        <w:t xml:space="preserve">oor </w:t>
      </w:r>
      <w:proofErr w:type="spellStart"/>
      <w:r w:rsidR="004F4A8B">
        <w:t>schadebeperkende</w:t>
      </w:r>
      <w:proofErr w:type="spellEnd"/>
      <w:r w:rsidR="004F4A8B">
        <w:t xml:space="preserve"> maatregelen </w:t>
      </w:r>
      <w:r>
        <w:t>te</w:t>
      </w:r>
      <w:r w:rsidR="004F4A8B">
        <w:t xml:space="preserve"> nemen, de betekenisvolle schade die aan de ankerplaats wordt aangebracht zo veel mogelijk beperken, en indien dit niet </w:t>
      </w:r>
      <w:r>
        <w:t>mogelijk</w:t>
      </w:r>
      <w:r w:rsidR="004F4A8B">
        <w:t xml:space="preserve"> is, herstellen en compenseren</w:t>
      </w:r>
    </w:p>
    <w:p w:rsidR="004F4A8B" w:rsidRDefault="00C77C31" w:rsidP="00877924">
      <w:pPr>
        <w:pStyle w:val="StandaardSV"/>
        <w:ind w:left="426"/>
      </w:pPr>
      <w:r>
        <w:lastRenderedPageBreak/>
        <w:t xml:space="preserve">Dit betekent een verplichting om aangeduide ankerplaatsen door te vertalen naar erfgoedlandschappen bij het opmaken van </w:t>
      </w:r>
      <w:proofErr w:type="spellStart"/>
      <w:r>
        <w:t>RUP’s</w:t>
      </w:r>
      <w:proofErr w:type="spellEnd"/>
      <w:r>
        <w:t>.</w:t>
      </w:r>
    </w:p>
    <w:p w:rsidR="00C77C31" w:rsidRDefault="00C77C31" w:rsidP="00C77C31">
      <w:pPr>
        <w:pStyle w:val="StandaardSV"/>
        <w:rPr>
          <w:lang w:val="nl-BE"/>
        </w:rPr>
      </w:pPr>
    </w:p>
    <w:p w:rsidR="00C77C31" w:rsidRDefault="00C77C31" w:rsidP="00877924">
      <w:pPr>
        <w:pStyle w:val="StandaardSV"/>
        <w:numPr>
          <w:ilvl w:val="0"/>
          <w:numId w:val="16"/>
        </w:numPr>
        <w:ind w:left="426" w:hanging="426"/>
        <w:rPr>
          <w:lang w:val="nl-BE"/>
        </w:rPr>
      </w:pPr>
      <w:r w:rsidRPr="006337EB">
        <w:rPr>
          <w:i/>
          <w:u w:val="single"/>
          <w:lang w:val="nl-BE"/>
        </w:rPr>
        <w:t>Definitief aangeduide ankerplaatsen</w:t>
      </w:r>
      <w:r w:rsidRPr="00EF322C">
        <w:rPr>
          <w:lang w:val="nl-BE"/>
        </w:rPr>
        <w:t xml:space="preserve"> hebben enkel rechtgevolgen voor de administratieve overheid en dus niet voor de burger. De gevolgen voor de ad</w:t>
      </w:r>
      <w:r>
        <w:rPr>
          <w:lang w:val="nl-BE"/>
        </w:rPr>
        <w:t>ministratieve overheid:</w:t>
      </w:r>
    </w:p>
    <w:p w:rsidR="00C77C31" w:rsidRDefault="00C77C31" w:rsidP="00877924">
      <w:pPr>
        <w:pStyle w:val="StandaardSV"/>
        <w:numPr>
          <w:ilvl w:val="0"/>
          <w:numId w:val="21"/>
        </w:numPr>
        <w:ind w:left="709" w:hanging="283"/>
        <w:rPr>
          <w:lang w:val="nl-BE"/>
        </w:rPr>
      </w:pPr>
      <w:r w:rsidRPr="00C77C31">
        <w:rPr>
          <w:lang w:val="nl-BE"/>
        </w:rPr>
        <w:t xml:space="preserve">De overheid heeft </w:t>
      </w:r>
      <w:r w:rsidRPr="00C77C31">
        <w:rPr>
          <w:b/>
          <w:lang w:val="nl-BE"/>
        </w:rPr>
        <w:t>zorgplicht</w:t>
      </w:r>
      <w:r w:rsidRPr="00C77C31">
        <w:rPr>
          <w:lang w:val="nl-BE"/>
        </w:rPr>
        <w:t xml:space="preserve"> en moet schade aan het landschap zo veel mogelijk voorkomen. Indien dit niet kan, moeten er </w:t>
      </w:r>
      <w:proofErr w:type="spellStart"/>
      <w:r w:rsidRPr="00C77C31">
        <w:rPr>
          <w:lang w:val="nl-BE"/>
        </w:rPr>
        <w:t>schadebeperkende</w:t>
      </w:r>
      <w:proofErr w:type="spellEnd"/>
      <w:r w:rsidRPr="00C77C31">
        <w:rPr>
          <w:lang w:val="nl-BE"/>
        </w:rPr>
        <w:t xml:space="preserve"> maatregelen genomen worden. Indien ook dit niet mogelijk is, moet men overgaan tot herstel en compensatie. </w:t>
      </w:r>
    </w:p>
    <w:p w:rsidR="00C77C31" w:rsidRDefault="00C77C31" w:rsidP="00877924">
      <w:pPr>
        <w:pStyle w:val="StandaardSV"/>
        <w:numPr>
          <w:ilvl w:val="0"/>
          <w:numId w:val="21"/>
        </w:numPr>
        <w:ind w:left="709" w:hanging="283"/>
        <w:rPr>
          <w:lang w:val="nl-BE"/>
        </w:rPr>
      </w:pPr>
      <w:r w:rsidRPr="00C77C31">
        <w:rPr>
          <w:lang w:val="nl-BE"/>
        </w:rPr>
        <w:t xml:space="preserve">Bij opmaak van </w:t>
      </w:r>
      <w:r w:rsidRPr="00C77C31">
        <w:rPr>
          <w:b/>
          <w:lang w:val="nl-BE"/>
        </w:rPr>
        <w:t>ruimtelijke uitvoeringsplannen moeten definitief aangeduide ankerplaatsen meegenomen worden in de afwegingen</w:t>
      </w:r>
      <w:r w:rsidRPr="00C77C31">
        <w:rPr>
          <w:lang w:val="nl-BE"/>
        </w:rPr>
        <w:t>. In het RUP-proces gebeurt de omzetting van de ankerplaats in een erfgoedlandschap.</w:t>
      </w:r>
    </w:p>
    <w:p w:rsidR="00C77C31" w:rsidRDefault="00C77C31" w:rsidP="00877924">
      <w:pPr>
        <w:pStyle w:val="StandaardSV"/>
        <w:numPr>
          <w:ilvl w:val="0"/>
          <w:numId w:val="21"/>
        </w:numPr>
        <w:ind w:left="709" w:hanging="283"/>
        <w:rPr>
          <w:lang w:val="nl-BE"/>
        </w:rPr>
      </w:pPr>
      <w:r w:rsidRPr="00C77C31">
        <w:rPr>
          <w:lang w:val="nl-BE"/>
        </w:rPr>
        <w:t xml:space="preserve">De definitief aangeduide ankerplaatsen worden bijgehouden in een </w:t>
      </w:r>
      <w:r w:rsidRPr="00C77C31">
        <w:rPr>
          <w:b/>
          <w:lang w:val="nl-BE"/>
        </w:rPr>
        <w:t>register.</w:t>
      </w:r>
    </w:p>
    <w:p w:rsidR="00C77C31" w:rsidRDefault="00C77C31" w:rsidP="00C77C31">
      <w:pPr>
        <w:pStyle w:val="StandaardSV"/>
        <w:ind w:firstLine="708"/>
        <w:rPr>
          <w:lang w:val="nl-BE"/>
        </w:rPr>
      </w:pPr>
    </w:p>
    <w:p w:rsidR="00C77C31" w:rsidRPr="00C77C31" w:rsidRDefault="00C77C31" w:rsidP="00877924">
      <w:pPr>
        <w:pStyle w:val="StandaardSV"/>
        <w:ind w:left="426"/>
        <w:rPr>
          <w:i/>
          <w:u w:val="single"/>
        </w:rPr>
      </w:pPr>
      <w:r w:rsidRPr="00C77C31">
        <w:rPr>
          <w:i/>
          <w:u w:val="single"/>
        </w:rPr>
        <w:t>Erfgoedlandschap: betekenis en rechtsgevolgen</w:t>
      </w:r>
    </w:p>
    <w:p w:rsidR="00C77C31" w:rsidRPr="00C77C31" w:rsidRDefault="00C77C31" w:rsidP="00877924">
      <w:pPr>
        <w:pStyle w:val="StandaardSV"/>
        <w:ind w:left="426"/>
      </w:pPr>
      <w:r w:rsidRPr="00C77C31">
        <w:t>Bij de opmaak van een ruimtelijk uitvoeringsplan (RUP) dient een aangeduide ankerplaats meegenomen te worden in de ruimtelijke afwegingen. Wanneer de typische landschapswaarden en -kenmerken worden vertaald in de voorschriften van het RUP, spreekt men van een erfgoedlandschap. De belangrijkste rechtsgevolgen in een erfgoedlandschap zijn:</w:t>
      </w:r>
    </w:p>
    <w:p w:rsidR="00C77C31" w:rsidRPr="00EF322C" w:rsidRDefault="00C77C31" w:rsidP="00877924">
      <w:pPr>
        <w:pStyle w:val="StandaardSV"/>
        <w:numPr>
          <w:ilvl w:val="0"/>
          <w:numId w:val="19"/>
        </w:numPr>
        <w:ind w:left="709" w:hanging="283"/>
        <w:rPr>
          <w:lang w:val="nl-BE"/>
        </w:rPr>
      </w:pPr>
      <w:r w:rsidRPr="00EF322C">
        <w:rPr>
          <w:lang w:val="nl-BE"/>
        </w:rPr>
        <w:t>Bij vergunningsaanvragen moet advies ingewonnen worden bij Onroerend Erfgoed.</w:t>
      </w:r>
    </w:p>
    <w:p w:rsidR="00C77C31" w:rsidRPr="00EF322C" w:rsidRDefault="00C77C31" w:rsidP="00877924">
      <w:pPr>
        <w:pStyle w:val="StandaardSV"/>
        <w:numPr>
          <w:ilvl w:val="0"/>
          <w:numId w:val="19"/>
        </w:numPr>
        <w:ind w:left="709" w:hanging="283"/>
        <w:rPr>
          <w:lang w:val="nl-BE"/>
        </w:rPr>
      </w:pPr>
      <w:r w:rsidRPr="00EF322C">
        <w:rPr>
          <w:lang w:val="nl-BE"/>
        </w:rPr>
        <w:t xml:space="preserve">Er zijn stimulerende maatregelen zoals onderhoudspremies mogelijk voor beheer vanuit erfgoedzorg. </w:t>
      </w:r>
    </w:p>
    <w:p w:rsidR="00C77C31" w:rsidRDefault="00C77C31" w:rsidP="00C77C31">
      <w:pPr>
        <w:pStyle w:val="StandaardSV"/>
        <w:ind w:left="720"/>
      </w:pPr>
    </w:p>
    <w:p w:rsidR="00C77C31" w:rsidRPr="00C77C31" w:rsidRDefault="00C77C31" w:rsidP="00877924">
      <w:pPr>
        <w:pStyle w:val="StandaardSV"/>
        <w:ind w:left="426"/>
      </w:pPr>
      <w:r w:rsidRPr="00C77C31">
        <w:t xml:space="preserve">Alle gemeenten met een aangeduide ankerplaats op hun grondgebied hebben recent een publicatie ontvangen van mijn administratie waarin de betekenis van ankerplaatsen en de rechtsgevolgen zijn toegelicht. Deze publicatie is digitaal te raadplegen op </w:t>
      </w:r>
      <w:hyperlink r:id="rId7" w:history="1">
        <w:r w:rsidRPr="00C77C31">
          <w:t>https://www.onroerenderfgoed.be/nl/diensten/publicaties/landschappen-een-kennismaking/</w:t>
        </w:r>
      </w:hyperlink>
    </w:p>
    <w:p w:rsidR="00C77C31" w:rsidRDefault="00C77C31" w:rsidP="00C77C31">
      <w:pPr>
        <w:pStyle w:val="StandaardSV"/>
        <w:rPr>
          <w:lang w:val="nl-BE"/>
        </w:rPr>
      </w:pPr>
    </w:p>
    <w:p w:rsidR="00C77C31" w:rsidRPr="00C77C31" w:rsidRDefault="00C77C31" w:rsidP="00877924">
      <w:pPr>
        <w:pStyle w:val="StandaardSV"/>
        <w:numPr>
          <w:ilvl w:val="0"/>
          <w:numId w:val="16"/>
        </w:numPr>
        <w:ind w:left="426" w:hanging="426"/>
        <w:rPr>
          <w:lang w:val="nl-BE"/>
        </w:rPr>
      </w:pPr>
      <w:r w:rsidRPr="00C77C31">
        <w:rPr>
          <w:lang w:val="nl-BE"/>
        </w:rPr>
        <w:t xml:space="preserve">Alle adviezen en opmerkingen die tijdens de adviseringsronde door de gemeenten en andere administraties naar voor werden gebracht worden in het zogenaamde ‘Dossier Beëindigd Onderzoek (DBO)’ behandeld. Bij de betekening van de definitief aangeduide ankerplaats werd dit document mee opgestuurd, zodat de administraties op de hoogte werden gesteld op welke wijze de adviezen in rekening zijn gebracht, en wat de antwoorden vanuit Onroerend Erfgoed zijn op vragen of bemerkingen. </w:t>
      </w:r>
    </w:p>
    <w:p w:rsidR="00C77C31" w:rsidRPr="00C77C31" w:rsidRDefault="00C77C31" w:rsidP="00C77C31">
      <w:pPr>
        <w:pStyle w:val="StandaardSV"/>
        <w:ind w:left="720"/>
        <w:rPr>
          <w:lang w:val="nl-BE"/>
        </w:rPr>
      </w:pPr>
    </w:p>
    <w:p w:rsidR="00C77C31" w:rsidRPr="00C77C31" w:rsidRDefault="00C77C31" w:rsidP="00877924">
      <w:pPr>
        <w:pStyle w:val="StandaardSV"/>
        <w:ind w:left="426"/>
        <w:rPr>
          <w:lang w:val="nl-BE"/>
        </w:rPr>
      </w:pPr>
      <w:r>
        <w:rPr>
          <w:lang w:val="nl-BE"/>
        </w:rPr>
        <w:t>Als bijlage vindt u</w:t>
      </w:r>
      <w:r w:rsidRPr="00C77C31">
        <w:rPr>
          <w:lang w:val="nl-BE"/>
        </w:rPr>
        <w:t xml:space="preserve"> een uittreksel uit het DBO wat betreft de adviezen van de geme</w:t>
      </w:r>
      <w:r>
        <w:rPr>
          <w:lang w:val="nl-BE"/>
        </w:rPr>
        <w:t>enten, en de behandeling ervan.</w:t>
      </w:r>
    </w:p>
    <w:p w:rsidR="00C77C31" w:rsidRDefault="00C77C31" w:rsidP="0081094C">
      <w:pPr>
        <w:pStyle w:val="StandaardSV"/>
        <w:rPr>
          <w:szCs w:val="22"/>
        </w:rPr>
      </w:pPr>
    </w:p>
    <w:p w:rsidR="00C30FE6" w:rsidRDefault="00C30FE6" w:rsidP="0081094C">
      <w:pPr>
        <w:pStyle w:val="StandaardSV"/>
        <w:rPr>
          <w:szCs w:val="22"/>
        </w:rPr>
      </w:pPr>
    </w:p>
    <w:p w:rsidR="00C30FE6" w:rsidRPr="00C30FE6" w:rsidRDefault="00C30FE6" w:rsidP="0081094C">
      <w:pPr>
        <w:pStyle w:val="StandaardSV"/>
        <w:rPr>
          <w:b/>
          <w:smallCaps/>
          <w:color w:val="FF0000"/>
          <w:szCs w:val="22"/>
          <w:u w:val="single"/>
        </w:rPr>
      </w:pPr>
      <w:r>
        <w:rPr>
          <w:b/>
          <w:smallCaps/>
          <w:color w:val="FF0000"/>
          <w:szCs w:val="22"/>
          <w:u w:val="single"/>
        </w:rPr>
        <w:t>bijlage</w:t>
      </w:r>
    </w:p>
    <w:p w:rsidR="00C30FE6" w:rsidRDefault="00C30FE6" w:rsidP="0081094C">
      <w:pPr>
        <w:pStyle w:val="StandaardSV"/>
        <w:rPr>
          <w:szCs w:val="22"/>
        </w:rPr>
      </w:pPr>
    </w:p>
    <w:p w:rsidR="00C30FE6" w:rsidRPr="00C30FE6" w:rsidRDefault="00C30FE6" w:rsidP="0081094C">
      <w:pPr>
        <w:pStyle w:val="StandaardSV"/>
        <w:rPr>
          <w:szCs w:val="22"/>
        </w:rPr>
      </w:pPr>
      <w:r w:rsidRPr="00C30FE6">
        <w:rPr>
          <w:szCs w:val="22"/>
          <w:lang w:val="nl-BE"/>
        </w:rPr>
        <w:t xml:space="preserve">Uittreksel met </w:t>
      </w:r>
      <w:proofErr w:type="spellStart"/>
      <w:r w:rsidRPr="00C30FE6">
        <w:rPr>
          <w:szCs w:val="22"/>
          <w:lang w:val="nl-BE"/>
        </w:rPr>
        <w:t>dezwaren</w:t>
      </w:r>
      <w:proofErr w:type="spellEnd"/>
      <w:r w:rsidRPr="00C30FE6">
        <w:rPr>
          <w:szCs w:val="22"/>
          <w:lang w:val="nl-BE"/>
        </w:rPr>
        <w:t xml:space="preserve"> van de gemeenten Anzegem, </w:t>
      </w:r>
      <w:proofErr w:type="spellStart"/>
      <w:r w:rsidRPr="00C30FE6">
        <w:rPr>
          <w:szCs w:val="22"/>
          <w:lang w:val="nl-BE"/>
        </w:rPr>
        <w:t>Kruishoutem</w:t>
      </w:r>
      <w:proofErr w:type="spellEnd"/>
      <w:r w:rsidRPr="00C30FE6">
        <w:rPr>
          <w:szCs w:val="22"/>
          <w:lang w:val="nl-BE"/>
        </w:rPr>
        <w:t xml:space="preserve">, Oudenaarde, </w:t>
      </w:r>
      <w:proofErr w:type="spellStart"/>
      <w:r w:rsidRPr="00C30FE6">
        <w:rPr>
          <w:szCs w:val="22"/>
          <w:lang w:val="nl-BE"/>
        </w:rPr>
        <w:t>Waregem</w:t>
      </w:r>
      <w:proofErr w:type="spellEnd"/>
      <w:r w:rsidRPr="00C30FE6">
        <w:rPr>
          <w:szCs w:val="22"/>
          <w:lang w:val="nl-BE"/>
        </w:rPr>
        <w:t xml:space="preserve">, </w:t>
      </w:r>
      <w:proofErr w:type="spellStart"/>
      <w:r w:rsidRPr="00C30FE6">
        <w:rPr>
          <w:szCs w:val="22"/>
          <w:lang w:val="nl-BE"/>
        </w:rPr>
        <w:t>Wortegem-Petegem</w:t>
      </w:r>
      <w:proofErr w:type="spellEnd"/>
      <w:r w:rsidRPr="00C30FE6">
        <w:rPr>
          <w:szCs w:val="22"/>
          <w:lang w:val="nl-BE"/>
        </w:rPr>
        <w:t xml:space="preserve"> en </w:t>
      </w:r>
      <w:proofErr w:type="spellStart"/>
      <w:r w:rsidRPr="00C30FE6">
        <w:rPr>
          <w:szCs w:val="22"/>
          <w:lang w:val="nl-BE"/>
        </w:rPr>
        <w:t>Zingem</w:t>
      </w:r>
      <w:proofErr w:type="spellEnd"/>
      <w:r w:rsidRPr="00C30FE6">
        <w:rPr>
          <w:szCs w:val="22"/>
          <w:lang w:val="nl-BE"/>
        </w:rPr>
        <w:t xml:space="preserve"> uit het Dossier Beëindigd Onderzoek “Aangeduide ankerplaats Schelde-L</w:t>
      </w:r>
      <w:bookmarkStart w:id="6" w:name="_GoBack"/>
      <w:bookmarkEnd w:id="6"/>
      <w:r w:rsidRPr="00C30FE6">
        <w:rPr>
          <w:szCs w:val="22"/>
          <w:lang w:val="nl-BE"/>
        </w:rPr>
        <w:t xml:space="preserve">eie </w:t>
      </w:r>
      <w:proofErr w:type="spellStart"/>
      <w:r w:rsidRPr="00C30FE6">
        <w:rPr>
          <w:szCs w:val="22"/>
          <w:lang w:val="nl-BE"/>
        </w:rPr>
        <w:t>Interfluvium</w:t>
      </w:r>
      <w:proofErr w:type="spellEnd"/>
      <w:r w:rsidRPr="00C30FE6">
        <w:rPr>
          <w:szCs w:val="22"/>
          <w:lang w:val="nl-BE"/>
        </w:rPr>
        <w:t>”</w:t>
      </w:r>
    </w:p>
    <w:sectPr w:rsidR="00C30FE6" w:rsidRPr="00C30FE6"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452762C"/>
    <w:multiLevelType w:val="hybridMultilevel"/>
    <w:tmpl w:val="EB7216D0"/>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049E5C0A"/>
    <w:multiLevelType w:val="hybridMultilevel"/>
    <w:tmpl w:val="7BB43EE4"/>
    <w:lvl w:ilvl="0" w:tplc="3A5AF8F4">
      <w:start w:val="1"/>
      <w:numFmt w:val="bullet"/>
      <w:lvlText w:val="-"/>
      <w:lvlJc w:val="left"/>
      <w:pPr>
        <w:tabs>
          <w:tab w:val="num" w:pos="1776"/>
        </w:tabs>
        <w:ind w:left="1776" w:hanging="360"/>
      </w:pPr>
      <w:rPr>
        <w:rFonts w:ascii="Times New Roman" w:hAnsi="Times New Roman" w:hint="default"/>
      </w:rPr>
    </w:lvl>
    <w:lvl w:ilvl="1" w:tplc="6F76A07E" w:tentative="1">
      <w:start w:val="1"/>
      <w:numFmt w:val="bullet"/>
      <w:lvlText w:val="-"/>
      <w:lvlJc w:val="left"/>
      <w:pPr>
        <w:tabs>
          <w:tab w:val="num" w:pos="2496"/>
        </w:tabs>
        <w:ind w:left="2496" w:hanging="360"/>
      </w:pPr>
      <w:rPr>
        <w:rFonts w:ascii="Times New Roman" w:hAnsi="Times New Roman" w:hint="default"/>
      </w:rPr>
    </w:lvl>
    <w:lvl w:ilvl="2" w:tplc="9B8CBBBE" w:tentative="1">
      <w:start w:val="1"/>
      <w:numFmt w:val="bullet"/>
      <w:lvlText w:val="-"/>
      <w:lvlJc w:val="left"/>
      <w:pPr>
        <w:tabs>
          <w:tab w:val="num" w:pos="3216"/>
        </w:tabs>
        <w:ind w:left="3216" w:hanging="360"/>
      </w:pPr>
      <w:rPr>
        <w:rFonts w:ascii="Times New Roman" w:hAnsi="Times New Roman" w:hint="default"/>
      </w:rPr>
    </w:lvl>
    <w:lvl w:ilvl="3" w:tplc="F5F0A6D2" w:tentative="1">
      <w:start w:val="1"/>
      <w:numFmt w:val="bullet"/>
      <w:lvlText w:val="-"/>
      <w:lvlJc w:val="left"/>
      <w:pPr>
        <w:tabs>
          <w:tab w:val="num" w:pos="3936"/>
        </w:tabs>
        <w:ind w:left="3936" w:hanging="360"/>
      </w:pPr>
      <w:rPr>
        <w:rFonts w:ascii="Times New Roman" w:hAnsi="Times New Roman" w:hint="default"/>
      </w:rPr>
    </w:lvl>
    <w:lvl w:ilvl="4" w:tplc="764A8834" w:tentative="1">
      <w:start w:val="1"/>
      <w:numFmt w:val="bullet"/>
      <w:lvlText w:val="-"/>
      <w:lvlJc w:val="left"/>
      <w:pPr>
        <w:tabs>
          <w:tab w:val="num" w:pos="4656"/>
        </w:tabs>
        <w:ind w:left="4656" w:hanging="360"/>
      </w:pPr>
      <w:rPr>
        <w:rFonts w:ascii="Times New Roman" w:hAnsi="Times New Roman" w:hint="default"/>
      </w:rPr>
    </w:lvl>
    <w:lvl w:ilvl="5" w:tplc="CD8E3BB2" w:tentative="1">
      <w:start w:val="1"/>
      <w:numFmt w:val="bullet"/>
      <w:lvlText w:val="-"/>
      <w:lvlJc w:val="left"/>
      <w:pPr>
        <w:tabs>
          <w:tab w:val="num" w:pos="5376"/>
        </w:tabs>
        <w:ind w:left="5376" w:hanging="360"/>
      </w:pPr>
      <w:rPr>
        <w:rFonts w:ascii="Times New Roman" w:hAnsi="Times New Roman" w:hint="default"/>
      </w:rPr>
    </w:lvl>
    <w:lvl w:ilvl="6" w:tplc="68AE71A4" w:tentative="1">
      <w:start w:val="1"/>
      <w:numFmt w:val="bullet"/>
      <w:lvlText w:val="-"/>
      <w:lvlJc w:val="left"/>
      <w:pPr>
        <w:tabs>
          <w:tab w:val="num" w:pos="6096"/>
        </w:tabs>
        <w:ind w:left="6096" w:hanging="360"/>
      </w:pPr>
      <w:rPr>
        <w:rFonts w:ascii="Times New Roman" w:hAnsi="Times New Roman" w:hint="default"/>
      </w:rPr>
    </w:lvl>
    <w:lvl w:ilvl="7" w:tplc="2B304506" w:tentative="1">
      <w:start w:val="1"/>
      <w:numFmt w:val="bullet"/>
      <w:lvlText w:val="-"/>
      <w:lvlJc w:val="left"/>
      <w:pPr>
        <w:tabs>
          <w:tab w:val="num" w:pos="6816"/>
        </w:tabs>
        <w:ind w:left="6816" w:hanging="360"/>
      </w:pPr>
      <w:rPr>
        <w:rFonts w:ascii="Times New Roman" w:hAnsi="Times New Roman" w:hint="default"/>
      </w:rPr>
    </w:lvl>
    <w:lvl w:ilvl="8" w:tplc="6FB4CDE8" w:tentative="1">
      <w:start w:val="1"/>
      <w:numFmt w:val="bullet"/>
      <w:lvlText w:val="-"/>
      <w:lvlJc w:val="left"/>
      <w:pPr>
        <w:tabs>
          <w:tab w:val="num" w:pos="7536"/>
        </w:tabs>
        <w:ind w:left="7536" w:hanging="360"/>
      </w:pPr>
      <w:rPr>
        <w:rFonts w:ascii="Times New Roman" w:hAnsi="Times New Roman" w:hint="default"/>
      </w:rPr>
    </w:lvl>
  </w:abstractNum>
  <w:abstractNum w:abstractNumId="4">
    <w:nsid w:val="0E5B5E47"/>
    <w:multiLevelType w:val="hybridMultilevel"/>
    <w:tmpl w:val="4C9A2EDE"/>
    <w:lvl w:ilvl="0" w:tplc="7494C5B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12C1258B"/>
    <w:multiLevelType w:val="hybridMultilevel"/>
    <w:tmpl w:val="F202DF80"/>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6">
    <w:nsid w:val="1A1372FC"/>
    <w:multiLevelType w:val="hybridMultilevel"/>
    <w:tmpl w:val="788AE6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CC00AFF"/>
    <w:multiLevelType w:val="hybridMultilevel"/>
    <w:tmpl w:val="F38E48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2CC766B"/>
    <w:multiLevelType w:val="hybridMultilevel"/>
    <w:tmpl w:val="F1EA295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nsid w:val="385667D8"/>
    <w:multiLevelType w:val="hybridMultilevel"/>
    <w:tmpl w:val="1FD6C5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2E639C7"/>
    <w:multiLevelType w:val="hybridMultilevel"/>
    <w:tmpl w:val="FA0E797E"/>
    <w:lvl w:ilvl="0" w:tplc="E528CCD4">
      <w:start w:val="9"/>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4996ECE"/>
    <w:multiLevelType w:val="hybridMultilevel"/>
    <w:tmpl w:val="607289D0"/>
    <w:lvl w:ilvl="0" w:tplc="0813000F">
      <w:start w:val="1"/>
      <w:numFmt w:val="decimal"/>
      <w:lvlText w:val="%1."/>
      <w:lvlJc w:val="left"/>
      <w:pPr>
        <w:ind w:left="1428" w:hanging="360"/>
      </w:pPr>
      <w:rPr>
        <w:rFonts w:hint="default"/>
      </w:rPr>
    </w:lvl>
    <w:lvl w:ilvl="1" w:tplc="08130019">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3">
    <w:nsid w:val="4CBD3C06"/>
    <w:multiLevelType w:val="hybridMultilevel"/>
    <w:tmpl w:val="F46A44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4E2403CC"/>
    <w:multiLevelType w:val="hybridMultilevel"/>
    <w:tmpl w:val="C856166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51032C68"/>
    <w:multiLevelType w:val="hybridMultilevel"/>
    <w:tmpl w:val="4692B2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55624B64"/>
    <w:multiLevelType w:val="hybridMultilevel"/>
    <w:tmpl w:val="18EC96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DA00DC8"/>
    <w:multiLevelType w:val="hybridMultilevel"/>
    <w:tmpl w:val="7E60C716"/>
    <w:lvl w:ilvl="0" w:tplc="FDCE4D72">
      <w:start w:val="1"/>
      <w:numFmt w:val="lowerLetter"/>
      <w:lvlText w:val="%1."/>
      <w:lvlJc w:val="left"/>
      <w:pPr>
        <w:ind w:left="1080" w:hanging="360"/>
      </w:pPr>
      <w:rPr>
        <w:rFonts w:hint="default"/>
        <w:i/>
        <w:u w:val="single"/>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9">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9"/>
  </w:num>
  <w:num w:numId="4">
    <w:abstractNumId w:val="15"/>
  </w:num>
  <w:num w:numId="5">
    <w:abstractNumId w:val="19"/>
  </w:num>
  <w:num w:numId="6">
    <w:abstractNumId w:val="0"/>
  </w:num>
  <w:num w:numId="7">
    <w:abstractNumId w:val="7"/>
  </w:num>
  <w:num w:numId="8">
    <w:abstractNumId w:val="16"/>
  </w:num>
  <w:num w:numId="9">
    <w:abstractNumId w:val="13"/>
  </w:num>
  <w:num w:numId="10">
    <w:abstractNumId w:val="1"/>
  </w:num>
  <w:num w:numId="11">
    <w:abstractNumId w:val="10"/>
  </w:num>
  <w:num w:numId="12">
    <w:abstractNumId w:val="14"/>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4"/>
  </w:num>
  <w:num w:numId="18">
    <w:abstractNumId w:val="11"/>
  </w:num>
  <w:num w:numId="19">
    <w:abstractNumId w:val="12"/>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8B"/>
    <w:rsid w:val="000976E9"/>
    <w:rsid w:val="000C2524"/>
    <w:rsid w:val="000C4E8C"/>
    <w:rsid w:val="000D6268"/>
    <w:rsid w:val="000F3532"/>
    <w:rsid w:val="0011686A"/>
    <w:rsid w:val="001764EC"/>
    <w:rsid w:val="00177D5A"/>
    <w:rsid w:val="00210C07"/>
    <w:rsid w:val="00266E3B"/>
    <w:rsid w:val="00326A58"/>
    <w:rsid w:val="00336BBF"/>
    <w:rsid w:val="00431A8D"/>
    <w:rsid w:val="004F4A8B"/>
    <w:rsid w:val="005208D5"/>
    <w:rsid w:val="005E38CA"/>
    <w:rsid w:val="005F47EC"/>
    <w:rsid w:val="006548DD"/>
    <w:rsid w:val="006E25F1"/>
    <w:rsid w:val="0071248C"/>
    <w:rsid w:val="007252C7"/>
    <w:rsid w:val="00735E21"/>
    <w:rsid w:val="00787964"/>
    <w:rsid w:val="007A1490"/>
    <w:rsid w:val="007C3E84"/>
    <w:rsid w:val="0081094C"/>
    <w:rsid w:val="00826787"/>
    <w:rsid w:val="00877924"/>
    <w:rsid w:val="008A713D"/>
    <w:rsid w:val="008D5DB4"/>
    <w:rsid w:val="00924D85"/>
    <w:rsid w:val="009347E0"/>
    <w:rsid w:val="00987366"/>
    <w:rsid w:val="009D7043"/>
    <w:rsid w:val="009E72BD"/>
    <w:rsid w:val="00AF64E1"/>
    <w:rsid w:val="00B45EB2"/>
    <w:rsid w:val="00BB7612"/>
    <w:rsid w:val="00BE425A"/>
    <w:rsid w:val="00C15BA8"/>
    <w:rsid w:val="00C30FE6"/>
    <w:rsid w:val="00C77C31"/>
    <w:rsid w:val="00CA29E2"/>
    <w:rsid w:val="00CA5752"/>
    <w:rsid w:val="00CE1141"/>
    <w:rsid w:val="00D71D99"/>
    <w:rsid w:val="00D754F2"/>
    <w:rsid w:val="00D90C3C"/>
    <w:rsid w:val="00DA2A5A"/>
    <w:rsid w:val="00DB41C0"/>
    <w:rsid w:val="00DC00E1"/>
    <w:rsid w:val="00DC4DB6"/>
    <w:rsid w:val="00E55200"/>
    <w:rsid w:val="00ED2C0D"/>
    <w:rsid w:val="00F10CD5"/>
    <w:rsid w:val="00F16933"/>
    <w:rsid w:val="00F31EB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customStyle="1" w:styleId="SVVlaamsParlement">
    <w:name w:val="SV Vlaams Parlement"/>
    <w:basedOn w:val="Standaard"/>
    <w:rsid w:val="0011686A"/>
    <w:pPr>
      <w:jc w:val="both"/>
    </w:pPr>
    <w:rPr>
      <w:b/>
      <w:smallCaps/>
      <w:szCs w:val="20"/>
    </w:rPr>
  </w:style>
  <w:style w:type="paragraph" w:customStyle="1" w:styleId="StandaardSV">
    <w:name w:val="Standaard SV"/>
    <w:basedOn w:val="Standaard"/>
    <w:link w:val="StandaardSVChar"/>
    <w:rsid w:val="0011686A"/>
    <w:pPr>
      <w:jc w:val="both"/>
    </w:pPr>
    <w:rPr>
      <w:szCs w:val="20"/>
    </w:rPr>
  </w:style>
  <w:style w:type="paragraph" w:styleId="Lijstalinea">
    <w:name w:val="List Paragraph"/>
    <w:basedOn w:val="Standaard"/>
    <w:qFormat/>
    <w:rsid w:val="0011686A"/>
    <w:pPr>
      <w:ind w:left="708"/>
    </w:pPr>
    <w:rPr>
      <w:sz w:val="24"/>
      <w:szCs w:val="20"/>
    </w:rPr>
  </w:style>
  <w:style w:type="character" w:customStyle="1" w:styleId="StandaardSVChar">
    <w:name w:val="Standaard SV Char"/>
    <w:link w:val="StandaardSV"/>
    <w:locked/>
    <w:rsid w:val="004F4A8B"/>
    <w:rPr>
      <w:sz w:val="22"/>
      <w:lang w:val="nl-NL" w:eastAsia="nl-NL"/>
    </w:rPr>
  </w:style>
  <w:style w:type="paragraph" w:styleId="Ballontekst">
    <w:name w:val="Balloon Text"/>
    <w:basedOn w:val="Standaard"/>
    <w:link w:val="BallontekstChar"/>
    <w:rsid w:val="007C3E84"/>
    <w:rPr>
      <w:rFonts w:ascii="Tahoma" w:hAnsi="Tahoma" w:cs="Tahoma"/>
      <w:sz w:val="16"/>
      <w:szCs w:val="16"/>
    </w:rPr>
  </w:style>
  <w:style w:type="character" w:customStyle="1" w:styleId="BallontekstChar">
    <w:name w:val="Ballontekst Char"/>
    <w:basedOn w:val="Standaardalinea-lettertype"/>
    <w:link w:val="Ballontekst"/>
    <w:rsid w:val="007C3E84"/>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customStyle="1" w:styleId="SVVlaamsParlement">
    <w:name w:val="SV Vlaams Parlement"/>
    <w:basedOn w:val="Standaard"/>
    <w:rsid w:val="0011686A"/>
    <w:pPr>
      <w:jc w:val="both"/>
    </w:pPr>
    <w:rPr>
      <w:b/>
      <w:smallCaps/>
      <w:szCs w:val="20"/>
    </w:rPr>
  </w:style>
  <w:style w:type="paragraph" w:customStyle="1" w:styleId="StandaardSV">
    <w:name w:val="Standaard SV"/>
    <w:basedOn w:val="Standaard"/>
    <w:link w:val="StandaardSVChar"/>
    <w:rsid w:val="0011686A"/>
    <w:pPr>
      <w:jc w:val="both"/>
    </w:pPr>
    <w:rPr>
      <w:szCs w:val="20"/>
    </w:rPr>
  </w:style>
  <w:style w:type="paragraph" w:styleId="Lijstalinea">
    <w:name w:val="List Paragraph"/>
    <w:basedOn w:val="Standaard"/>
    <w:qFormat/>
    <w:rsid w:val="0011686A"/>
    <w:pPr>
      <w:ind w:left="708"/>
    </w:pPr>
    <w:rPr>
      <w:sz w:val="24"/>
      <w:szCs w:val="20"/>
    </w:rPr>
  </w:style>
  <w:style w:type="character" w:customStyle="1" w:styleId="StandaardSVChar">
    <w:name w:val="Standaard SV Char"/>
    <w:link w:val="StandaardSV"/>
    <w:locked/>
    <w:rsid w:val="004F4A8B"/>
    <w:rPr>
      <w:sz w:val="22"/>
      <w:lang w:val="nl-NL" w:eastAsia="nl-NL"/>
    </w:rPr>
  </w:style>
  <w:style w:type="paragraph" w:styleId="Ballontekst">
    <w:name w:val="Balloon Text"/>
    <w:basedOn w:val="Standaard"/>
    <w:link w:val="BallontekstChar"/>
    <w:rsid w:val="007C3E84"/>
    <w:rPr>
      <w:rFonts w:ascii="Tahoma" w:hAnsi="Tahoma" w:cs="Tahoma"/>
      <w:sz w:val="16"/>
      <w:szCs w:val="16"/>
    </w:rPr>
  </w:style>
  <w:style w:type="character" w:customStyle="1" w:styleId="BallontekstChar">
    <w:name w:val="Ballontekst Char"/>
    <w:basedOn w:val="Standaardalinea-lettertype"/>
    <w:link w:val="Ballontekst"/>
    <w:rsid w:val="007C3E8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nroerenderfgoed.be/nl/diensten/publicaties/landschappen-een-kennism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vlaanderen.agiv.be/geo-vlaanderen/landschapsatla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dbroudr\Desktop\sjablonen\SV%20ANTWOOR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 ANTWOORD</Template>
  <TotalTime>0</TotalTime>
  <Pages>2</Pages>
  <Words>794</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6288</CharactersWithSpaces>
  <SharedDoc>false</SharedDoc>
  <HLinks>
    <vt:vector size="6" baseType="variant">
      <vt:variant>
        <vt:i4>2949216</vt:i4>
      </vt:variant>
      <vt:variant>
        <vt:i4>19</vt:i4>
      </vt:variant>
      <vt:variant>
        <vt:i4>0</vt:i4>
      </vt:variant>
      <vt:variant>
        <vt:i4>5</vt:i4>
      </vt:variant>
      <vt:variant>
        <vt:lpwstr>https://inventaris.onroerenderfgoed.be/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Dries Van Den Broucke</dc:creator>
  <cp:lastModifiedBy>Nathalie De Keyzer</cp:lastModifiedBy>
  <cp:revision>3</cp:revision>
  <cp:lastPrinted>2013-10-07T11:48:00Z</cp:lastPrinted>
  <dcterms:created xsi:type="dcterms:W3CDTF">2013-10-07T13:58:00Z</dcterms:created>
  <dcterms:modified xsi:type="dcterms:W3CDTF">2013-10-14T14:15:00Z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Antwoord schriftelijke vraag - Bourgeois</vt:lpwstr>
  </property>
  <property fmtid="{D5CDD505-2E9C-101B-9397-08002B2CF9AE}" pid="3" name="ContentTypeId">
    <vt:lpwstr>0x0101009488E854BFFCF9489C88BFB59DE882FD0101</vt:lpwstr>
  </property>
</Properties>
</file>