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6F5A1D" w:rsidRPr="00A8473D" w:rsidRDefault="006F5A1D" w:rsidP="006F5A1D">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AD549A" w:rsidRDefault="009F4259" w:rsidP="006F5A1D">
      <w:pPr>
        <w:jc w:val="both"/>
        <w:outlineLvl w:val="0"/>
        <w:rPr>
          <w:sz w:val="22"/>
        </w:rPr>
      </w:pPr>
      <w:r>
        <w:rPr>
          <w:sz w:val="22"/>
        </w:rPr>
        <w:t>o</w:t>
      </w:r>
      <w:r w:rsidR="006F5A1D">
        <w:rPr>
          <w:sz w:val="22"/>
        </w:rPr>
        <w:t xml:space="preserve">p vraag </w:t>
      </w:r>
      <w:r w:rsidR="00766C70">
        <w:rPr>
          <w:sz w:val="22"/>
        </w:rPr>
        <w:t xml:space="preserve"> nr. </w:t>
      </w:r>
      <w:r w:rsidR="005237D8">
        <w:rPr>
          <w:sz w:val="22"/>
        </w:rPr>
        <w:t>777</w:t>
      </w:r>
      <w:r w:rsidR="006F5A1D">
        <w:rPr>
          <w:sz w:val="22"/>
        </w:rPr>
        <w:t xml:space="preserve"> </w:t>
      </w:r>
      <w:r w:rsidR="00766C70">
        <w:rPr>
          <w:sz w:val="22"/>
        </w:rPr>
        <w:t xml:space="preserve">van </w:t>
      </w:r>
      <w:r w:rsidR="005237D8">
        <w:rPr>
          <w:sz w:val="22"/>
        </w:rPr>
        <w:t>16 augustus 2013</w:t>
      </w:r>
    </w:p>
    <w:p w:rsidR="00AD549A" w:rsidRDefault="00AD549A" w:rsidP="00AD549A">
      <w:pPr>
        <w:jc w:val="both"/>
        <w:rPr>
          <w:b/>
          <w:sz w:val="22"/>
        </w:rPr>
      </w:pPr>
      <w:r>
        <w:rPr>
          <w:sz w:val="22"/>
        </w:rPr>
        <w:t xml:space="preserve">van </w:t>
      </w:r>
      <w:r w:rsidR="005237D8">
        <w:rPr>
          <w:b/>
          <w:smallCaps/>
          <w:sz w:val="22"/>
        </w:rPr>
        <w:t>marc vanden bussche</w:t>
      </w:r>
    </w:p>
    <w:p w:rsidR="00AD549A" w:rsidRDefault="00AD549A" w:rsidP="00AD549A">
      <w:pPr>
        <w:pBdr>
          <w:bottom w:val="single" w:sz="4" w:space="1" w:color="auto"/>
        </w:pBdr>
        <w:jc w:val="both"/>
        <w:rPr>
          <w:sz w:val="22"/>
        </w:rPr>
      </w:pPr>
    </w:p>
    <w:p w:rsidR="00AD549A" w:rsidRDefault="00AD549A" w:rsidP="00AD549A">
      <w:pPr>
        <w:pStyle w:val="StandaardSV"/>
      </w:pPr>
    </w:p>
    <w:p w:rsidR="00CE2DB2" w:rsidRDefault="00CE2DB2" w:rsidP="00CE2DB2">
      <w:pPr>
        <w:pStyle w:val="StandaardSV"/>
      </w:pPr>
    </w:p>
    <w:p w:rsidR="006F5A1D" w:rsidRDefault="009F4259" w:rsidP="00515194">
      <w:pPr>
        <w:pStyle w:val="Lijstalinea"/>
        <w:numPr>
          <w:ilvl w:val="0"/>
          <w:numId w:val="8"/>
        </w:numPr>
        <w:rPr>
          <w:sz w:val="22"/>
          <w:szCs w:val="22"/>
        </w:rPr>
      </w:pPr>
      <w:r>
        <w:rPr>
          <w:sz w:val="22"/>
          <w:szCs w:val="22"/>
        </w:rPr>
        <w:t>a)</w:t>
      </w:r>
      <w:r>
        <w:rPr>
          <w:sz w:val="22"/>
          <w:szCs w:val="22"/>
        </w:rPr>
        <w:tab/>
      </w:r>
      <w:r w:rsidR="00515194" w:rsidRPr="006F5A1D">
        <w:rPr>
          <w:sz w:val="22"/>
          <w:szCs w:val="22"/>
        </w:rPr>
        <w:t>De uitgekeerde EVF-middelen onder as 1 (alle maatregelen cumulatief):</w:t>
      </w:r>
    </w:p>
    <w:p w:rsidR="00515194" w:rsidRPr="006F5A1D" w:rsidRDefault="00515194" w:rsidP="006F5A1D">
      <w:pPr>
        <w:pStyle w:val="Lijstalinea"/>
        <w:ind w:left="720"/>
        <w:rPr>
          <w:sz w:val="22"/>
          <w:szCs w:val="22"/>
        </w:rPr>
      </w:pPr>
      <w:r w:rsidRPr="006F5A1D">
        <w:rPr>
          <w:sz w:val="22"/>
          <w:szCs w:val="22"/>
        </w:rPr>
        <w:t>2009: 4.892.828,74 euro</w:t>
      </w:r>
    </w:p>
    <w:p w:rsidR="00515194" w:rsidRPr="00515194" w:rsidRDefault="00515194" w:rsidP="006F5A1D">
      <w:pPr>
        <w:ind w:left="708"/>
        <w:rPr>
          <w:sz w:val="22"/>
          <w:szCs w:val="22"/>
        </w:rPr>
      </w:pPr>
      <w:r w:rsidRPr="00515194">
        <w:rPr>
          <w:sz w:val="22"/>
          <w:szCs w:val="22"/>
        </w:rPr>
        <w:t>2010: 2.581.437,59 euro</w:t>
      </w:r>
    </w:p>
    <w:p w:rsidR="00515194" w:rsidRPr="00515194" w:rsidRDefault="00515194" w:rsidP="006F5A1D">
      <w:pPr>
        <w:ind w:left="708"/>
        <w:rPr>
          <w:sz w:val="22"/>
          <w:szCs w:val="22"/>
        </w:rPr>
      </w:pPr>
      <w:r w:rsidRPr="00515194">
        <w:rPr>
          <w:sz w:val="22"/>
          <w:szCs w:val="22"/>
        </w:rPr>
        <w:t>2011: 2.240.528,39 euro</w:t>
      </w:r>
    </w:p>
    <w:p w:rsidR="00515194" w:rsidRDefault="00515194" w:rsidP="006F5A1D">
      <w:pPr>
        <w:ind w:left="708"/>
        <w:rPr>
          <w:color w:val="1F497D"/>
        </w:rPr>
      </w:pPr>
      <w:r w:rsidRPr="00515194">
        <w:rPr>
          <w:sz w:val="22"/>
          <w:szCs w:val="22"/>
        </w:rPr>
        <w:t>2012: 2.122.306,88 euro</w:t>
      </w:r>
    </w:p>
    <w:p w:rsidR="00515194" w:rsidRDefault="00515194" w:rsidP="00572902">
      <w:pPr>
        <w:pStyle w:val="StandaardSV"/>
        <w:rPr>
          <w:szCs w:val="22"/>
        </w:rPr>
      </w:pPr>
    </w:p>
    <w:p w:rsidR="00FF6D8F" w:rsidRPr="00084D03" w:rsidRDefault="009F4259" w:rsidP="009F4259">
      <w:pPr>
        <w:pStyle w:val="StandaardSV"/>
        <w:ind w:left="709" w:hanging="283"/>
        <w:rPr>
          <w:szCs w:val="22"/>
        </w:rPr>
      </w:pPr>
      <w:r>
        <w:rPr>
          <w:szCs w:val="22"/>
        </w:rPr>
        <w:t>b)</w:t>
      </w:r>
      <w:r>
        <w:rPr>
          <w:szCs w:val="22"/>
        </w:rPr>
        <w:tab/>
      </w:r>
      <w:r w:rsidR="00FF6D8F" w:rsidRPr="00084D03">
        <w:rPr>
          <w:szCs w:val="22"/>
        </w:rPr>
        <w:t>In onderstaande tabel worden de door Vlaanderen toegekende</w:t>
      </w:r>
      <w:r w:rsidR="007F17F6" w:rsidRPr="00084D03">
        <w:rPr>
          <w:szCs w:val="22"/>
        </w:rPr>
        <w:t xml:space="preserve"> EVF-</w:t>
      </w:r>
      <w:r w:rsidR="00FF6D8F" w:rsidRPr="00084D03">
        <w:rPr>
          <w:szCs w:val="22"/>
        </w:rPr>
        <w:t>middelen voor de jaren 2009-2012 per zwaartepunt weergegeven</w:t>
      </w:r>
      <w:r w:rsidR="00FA31D3" w:rsidRPr="00084D03">
        <w:rPr>
          <w:szCs w:val="22"/>
        </w:rPr>
        <w:t xml:space="preserve"> (bedragen in euro)</w:t>
      </w:r>
      <w:r w:rsidR="00FF6D8F" w:rsidRPr="00084D03">
        <w:rPr>
          <w:szCs w:val="22"/>
        </w:rPr>
        <w:t>.</w:t>
      </w:r>
      <w:r w:rsidR="00FA31D3" w:rsidRPr="00084D03">
        <w:rPr>
          <w:szCs w:val="22"/>
        </w:rPr>
        <w:t xml:space="preserve"> </w:t>
      </w:r>
    </w:p>
    <w:p w:rsidR="00FA31D3" w:rsidRPr="00084D03" w:rsidRDefault="00FA31D3" w:rsidP="005237D8">
      <w:pPr>
        <w:pStyle w:val="StandaardSV"/>
        <w:ind w:left="709" w:hanging="28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41"/>
        <w:gridCol w:w="1742"/>
        <w:gridCol w:w="1743"/>
        <w:gridCol w:w="1743"/>
      </w:tblGrid>
      <w:tr w:rsidR="00FF6D8F" w:rsidRPr="00084D03" w:rsidTr="008F011F">
        <w:tc>
          <w:tcPr>
            <w:tcW w:w="2211" w:type="dxa"/>
            <w:shd w:val="clear" w:color="auto" w:fill="auto"/>
          </w:tcPr>
          <w:p w:rsidR="00FF6D8F" w:rsidRPr="00084D03" w:rsidRDefault="00FF6D8F" w:rsidP="005237D8">
            <w:pPr>
              <w:pStyle w:val="StandaardSV"/>
              <w:rPr>
                <w:szCs w:val="22"/>
              </w:rPr>
            </w:pPr>
          </w:p>
        </w:tc>
        <w:tc>
          <w:tcPr>
            <w:tcW w:w="1741" w:type="dxa"/>
            <w:shd w:val="clear" w:color="auto" w:fill="auto"/>
          </w:tcPr>
          <w:p w:rsidR="00FF6D8F" w:rsidRPr="00084D03" w:rsidRDefault="00FF6D8F" w:rsidP="005237D8">
            <w:pPr>
              <w:pStyle w:val="StandaardSV"/>
              <w:rPr>
                <w:szCs w:val="22"/>
              </w:rPr>
            </w:pPr>
            <w:r w:rsidRPr="00084D03">
              <w:rPr>
                <w:szCs w:val="22"/>
              </w:rPr>
              <w:t>Zwaartepunt 2</w:t>
            </w:r>
          </w:p>
        </w:tc>
        <w:tc>
          <w:tcPr>
            <w:tcW w:w="1742" w:type="dxa"/>
            <w:shd w:val="clear" w:color="auto" w:fill="auto"/>
          </w:tcPr>
          <w:p w:rsidR="00FF6D8F" w:rsidRPr="00084D03" w:rsidRDefault="00FF6D8F" w:rsidP="005237D8">
            <w:pPr>
              <w:pStyle w:val="StandaardSV"/>
              <w:rPr>
                <w:szCs w:val="22"/>
              </w:rPr>
            </w:pPr>
            <w:r w:rsidRPr="00084D03">
              <w:rPr>
                <w:szCs w:val="22"/>
              </w:rPr>
              <w:t>Zwaartepunt 3</w:t>
            </w:r>
          </w:p>
        </w:tc>
        <w:tc>
          <w:tcPr>
            <w:tcW w:w="1743" w:type="dxa"/>
            <w:shd w:val="clear" w:color="auto" w:fill="auto"/>
          </w:tcPr>
          <w:p w:rsidR="00FF6D8F" w:rsidRPr="00084D03" w:rsidRDefault="00FF6D8F" w:rsidP="005237D8">
            <w:pPr>
              <w:pStyle w:val="StandaardSV"/>
              <w:rPr>
                <w:szCs w:val="22"/>
              </w:rPr>
            </w:pPr>
            <w:r w:rsidRPr="00084D03">
              <w:rPr>
                <w:szCs w:val="22"/>
              </w:rPr>
              <w:t>Zwaartepunt 4</w:t>
            </w:r>
          </w:p>
        </w:tc>
        <w:tc>
          <w:tcPr>
            <w:tcW w:w="1743" w:type="dxa"/>
            <w:shd w:val="clear" w:color="auto" w:fill="auto"/>
          </w:tcPr>
          <w:p w:rsidR="00FF6D8F" w:rsidRPr="00084D03" w:rsidRDefault="00FF6D8F" w:rsidP="005237D8">
            <w:pPr>
              <w:pStyle w:val="StandaardSV"/>
              <w:rPr>
                <w:szCs w:val="22"/>
              </w:rPr>
            </w:pPr>
            <w:r w:rsidRPr="00084D03">
              <w:rPr>
                <w:szCs w:val="22"/>
              </w:rPr>
              <w:t>Zwaartepunt 5</w:t>
            </w:r>
          </w:p>
        </w:tc>
      </w:tr>
      <w:tr w:rsidR="00FF6D8F" w:rsidRPr="00084D03" w:rsidTr="008F011F">
        <w:tc>
          <w:tcPr>
            <w:tcW w:w="2211" w:type="dxa"/>
            <w:shd w:val="clear" w:color="auto" w:fill="auto"/>
          </w:tcPr>
          <w:p w:rsidR="00FF6D8F" w:rsidRPr="00084D03" w:rsidRDefault="00FF6D8F" w:rsidP="005237D8">
            <w:pPr>
              <w:pStyle w:val="StandaardSV"/>
              <w:rPr>
                <w:szCs w:val="22"/>
              </w:rPr>
            </w:pPr>
            <w:r w:rsidRPr="00084D03">
              <w:rPr>
                <w:szCs w:val="22"/>
              </w:rPr>
              <w:t>2009</w:t>
            </w:r>
          </w:p>
        </w:tc>
        <w:tc>
          <w:tcPr>
            <w:tcW w:w="1741" w:type="dxa"/>
            <w:shd w:val="clear" w:color="auto" w:fill="auto"/>
          </w:tcPr>
          <w:p w:rsidR="00FF6D8F" w:rsidRPr="00084D03" w:rsidRDefault="00FF6D8F" w:rsidP="000E0C0B">
            <w:pPr>
              <w:pStyle w:val="StandaardSV"/>
              <w:jc w:val="right"/>
              <w:rPr>
                <w:szCs w:val="22"/>
              </w:rPr>
            </w:pPr>
            <w:r w:rsidRPr="00084D03">
              <w:rPr>
                <w:szCs w:val="22"/>
              </w:rPr>
              <w:t>0</w:t>
            </w:r>
          </w:p>
        </w:tc>
        <w:tc>
          <w:tcPr>
            <w:tcW w:w="1742" w:type="dxa"/>
            <w:shd w:val="clear" w:color="auto" w:fill="auto"/>
          </w:tcPr>
          <w:p w:rsidR="00FF6D8F" w:rsidRPr="00084D03" w:rsidRDefault="00FF6D8F" w:rsidP="000E0C0B">
            <w:pPr>
              <w:pStyle w:val="StandaardSV"/>
              <w:jc w:val="right"/>
              <w:rPr>
                <w:szCs w:val="22"/>
              </w:rPr>
            </w:pPr>
            <w:r w:rsidRPr="00084D03">
              <w:rPr>
                <w:szCs w:val="22"/>
              </w:rPr>
              <w:t>892.391,07</w:t>
            </w:r>
          </w:p>
        </w:tc>
        <w:tc>
          <w:tcPr>
            <w:tcW w:w="1743" w:type="dxa"/>
            <w:shd w:val="clear" w:color="auto" w:fill="auto"/>
          </w:tcPr>
          <w:p w:rsidR="00FF6D8F" w:rsidRPr="00084D03" w:rsidRDefault="00FF6D8F" w:rsidP="000E0C0B">
            <w:pPr>
              <w:pStyle w:val="StandaardSV"/>
              <w:jc w:val="right"/>
              <w:rPr>
                <w:szCs w:val="22"/>
              </w:rPr>
            </w:pPr>
            <w:r w:rsidRPr="00084D03">
              <w:rPr>
                <w:szCs w:val="22"/>
              </w:rPr>
              <w:t>0</w:t>
            </w:r>
          </w:p>
        </w:tc>
        <w:tc>
          <w:tcPr>
            <w:tcW w:w="1743" w:type="dxa"/>
            <w:shd w:val="clear" w:color="auto" w:fill="auto"/>
          </w:tcPr>
          <w:p w:rsidR="00FF6D8F" w:rsidRPr="00084D03" w:rsidRDefault="00FF6D8F" w:rsidP="000E0C0B">
            <w:pPr>
              <w:pStyle w:val="StandaardSV"/>
              <w:jc w:val="right"/>
              <w:rPr>
                <w:szCs w:val="22"/>
              </w:rPr>
            </w:pPr>
            <w:r w:rsidRPr="00084D03">
              <w:rPr>
                <w:szCs w:val="22"/>
              </w:rPr>
              <w:t>45.074,43</w:t>
            </w:r>
          </w:p>
        </w:tc>
      </w:tr>
      <w:tr w:rsidR="00FF6D8F" w:rsidRPr="00084D03" w:rsidTr="008F011F">
        <w:tc>
          <w:tcPr>
            <w:tcW w:w="2211" w:type="dxa"/>
            <w:shd w:val="clear" w:color="auto" w:fill="auto"/>
          </w:tcPr>
          <w:p w:rsidR="00FF6D8F" w:rsidRPr="00084D03" w:rsidRDefault="00FF6D8F" w:rsidP="005237D8">
            <w:pPr>
              <w:pStyle w:val="StandaardSV"/>
              <w:rPr>
                <w:szCs w:val="22"/>
              </w:rPr>
            </w:pPr>
            <w:r w:rsidRPr="00084D03">
              <w:rPr>
                <w:szCs w:val="22"/>
              </w:rPr>
              <w:t>2010</w:t>
            </w:r>
          </w:p>
        </w:tc>
        <w:tc>
          <w:tcPr>
            <w:tcW w:w="1741" w:type="dxa"/>
            <w:shd w:val="clear" w:color="auto" w:fill="auto"/>
          </w:tcPr>
          <w:p w:rsidR="00FF6D8F" w:rsidRPr="00084D03" w:rsidRDefault="00FF6D8F" w:rsidP="000E0C0B">
            <w:pPr>
              <w:pStyle w:val="StandaardSV"/>
              <w:jc w:val="right"/>
              <w:rPr>
                <w:szCs w:val="22"/>
              </w:rPr>
            </w:pPr>
            <w:r w:rsidRPr="00084D03">
              <w:rPr>
                <w:szCs w:val="22"/>
              </w:rPr>
              <w:t>61.399,40</w:t>
            </w:r>
          </w:p>
        </w:tc>
        <w:tc>
          <w:tcPr>
            <w:tcW w:w="1742" w:type="dxa"/>
            <w:shd w:val="clear" w:color="auto" w:fill="auto"/>
          </w:tcPr>
          <w:p w:rsidR="00FF6D8F" w:rsidRPr="00084D03" w:rsidRDefault="00FF6D8F" w:rsidP="000E0C0B">
            <w:pPr>
              <w:pStyle w:val="StandaardSV"/>
              <w:jc w:val="right"/>
              <w:rPr>
                <w:szCs w:val="22"/>
              </w:rPr>
            </w:pPr>
            <w:r w:rsidRPr="00084D03">
              <w:rPr>
                <w:szCs w:val="22"/>
              </w:rPr>
              <w:t>1.177.215,69</w:t>
            </w:r>
          </w:p>
        </w:tc>
        <w:tc>
          <w:tcPr>
            <w:tcW w:w="1743" w:type="dxa"/>
            <w:shd w:val="clear" w:color="auto" w:fill="auto"/>
          </w:tcPr>
          <w:p w:rsidR="00FF6D8F" w:rsidRPr="00084D03" w:rsidRDefault="00FF6D8F" w:rsidP="000E0C0B">
            <w:pPr>
              <w:pStyle w:val="StandaardSV"/>
              <w:jc w:val="right"/>
              <w:rPr>
                <w:szCs w:val="22"/>
              </w:rPr>
            </w:pPr>
            <w:r w:rsidRPr="00084D03">
              <w:rPr>
                <w:szCs w:val="22"/>
              </w:rPr>
              <w:t>0</w:t>
            </w:r>
          </w:p>
        </w:tc>
        <w:tc>
          <w:tcPr>
            <w:tcW w:w="1743" w:type="dxa"/>
            <w:shd w:val="clear" w:color="auto" w:fill="auto"/>
          </w:tcPr>
          <w:p w:rsidR="00FF6D8F" w:rsidRPr="00084D03" w:rsidRDefault="00FF6D8F" w:rsidP="000E0C0B">
            <w:pPr>
              <w:pStyle w:val="StandaardSV"/>
              <w:jc w:val="right"/>
              <w:rPr>
                <w:szCs w:val="22"/>
              </w:rPr>
            </w:pPr>
            <w:r w:rsidRPr="00084D03">
              <w:rPr>
                <w:szCs w:val="22"/>
              </w:rPr>
              <w:t>24.826,43</w:t>
            </w:r>
          </w:p>
        </w:tc>
      </w:tr>
      <w:tr w:rsidR="00FF6D8F" w:rsidRPr="00084D03" w:rsidTr="008F011F">
        <w:tc>
          <w:tcPr>
            <w:tcW w:w="2211" w:type="dxa"/>
            <w:shd w:val="clear" w:color="auto" w:fill="auto"/>
          </w:tcPr>
          <w:p w:rsidR="00FF6D8F" w:rsidRPr="00084D03" w:rsidRDefault="00FF6D8F" w:rsidP="005237D8">
            <w:pPr>
              <w:pStyle w:val="StandaardSV"/>
              <w:rPr>
                <w:szCs w:val="22"/>
              </w:rPr>
            </w:pPr>
            <w:r w:rsidRPr="00084D03">
              <w:rPr>
                <w:szCs w:val="22"/>
              </w:rPr>
              <w:t>2011</w:t>
            </w:r>
          </w:p>
        </w:tc>
        <w:tc>
          <w:tcPr>
            <w:tcW w:w="1741" w:type="dxa"/>
            <w:shd w:val="clear" w:color="auto" w:fill="auto"/>
          </w:tcPr>
          <w:p w:rsidR="00FF6D8F" w:rsidRPr="00084D03" w:rsidRDefault="00FF6D8F" w:rsidP="000E0C0B">
            <w:pPr>
              <w:pStyle w:val="StandaardSV"/>
              <w:jc w:val="right"/>
              <w:rPr>
                <w:szCs w:val="22"/>
              </w:rPr>
            </w:pPr>
            <w:r w:rsidRPr="00084D03">
              <w:rPr>
                <w:szCs w:val="22"/>
              </w:rPr>
              <w:t>256.163,36</w:t>
            </w:r>
          </w:p>
        </w:tc>
        <w:tc>
          <w:tcPr>
            <w:tcW w:w="1742" w:type="dxa"/>
            <w:shd w:val="clear" w:color="auto" w:fill="auto"/>
          </w:tcPr>
          <w:p w:rsidR="00FF6D8F" w:rsidRPr="00084D03" w:rsidRDefault="00FF6D8F" w:rsidP="000E0C0B">
            <w:pPr>
              <w:pStyle w:val="StandaardSV"/>
              <w:jc w:val="right"/>
              <w:rPr>
                <w:szCs w:val="22"/>
              </w:rPr>
            </w:pPr>
            <w:r w:rsidRPr="00084D03">
              <w:rPr>
                <w:szCs w:val="22"/>
              </w:rPr>
              <w:t>472.361,47</w:t>
            </w:r>
          </w:p>
        </w:tc>
        <w:tc>
          <w:tcPr>
            <w:tcW w:w="1743" w:type="dxa"/>
            <w:shd w:val="clear" w:color="auto" w:fill="auto"/>
          </w:tcPr>
          <w:p w:rsidR="00FF6D8F" w:rsidRPr="00084D03" w:rsidRDefault="00FF6D8F" w:rsidP="000E0C0B">
            <w:pPr>
              <w:pStyle w:val="StandaardSV"/>
              <w:jc w:val="right"/>
              <w:rPr>
                <w:szCs w:val="22"/>
              </w:rPr>
            </w:pPr>
            <w:r w:rsidRPr="00084D03">
              <w:rPr>
                <w:szCs w:val="22"/>
              </w:rPr>
              <w:t>0</w:t>
            </w:r>
          </w:p>
        </w:tc>
        <w:tc>
          <w:tcPr>
            <w:tcW w:w="1743" w:type="dxa"/>
            <w:shd w:val="clear" w:color="auto" w:fill="auto"/>
          </w:tcPr>
          <w:p w:rsidR="00FF6D8F" w:rsidRPr="00084D03" w:rsidRDefault="00FF6D8F" w:rsidP="000E0C0B">
            <w:pPr>
              <w:pStyle w:val="StandaardSV"/>
              <w:jc w:val="right"/>
              <w:rPr>
                <w:szCs w:val="22"/>
              </w:rPr>
            </w:pPr>
            <w:r w:rsidRPr="00084D03">
              <w:rPr>
                <w:szCs w:val="22"/>
              </w:rPr>
              <w:t>55.738,89</w:t>
            </w:r>
          </w:p>
        </w:tc>
      </w:tr>
      <w:tr w:rsidR="00FF6D8F" w:rsidRPr="00084D03" w:rsidTr="008F011F">
        <w:tc>
          <w:tcPr>
            <w:tcW w:w="2211" w:type="dxa"/>
            <w:shd w:val="clear" w:color="auto" w:fill="auto"/>
          </w:tcPr>
          <w:p w:rsidR="00FF6D8F" w:rsidRPr="00084D03" w:rsidRDefault="00FF6D8F" w:rsidP="005237D8">
            <w:pPr>
              <w:pStyle w:val="StandaardSV"/>
              <w:rPr>
                <w:szCs w:val="22"/>
              </w:rPr>
            </w:pPr>
            <w:r w:rsidRPr="00084D03">
              <w:rPr>
                <w:szCs w:val="22"/>
              </w:rPr>
              <w:t>2012</w:t>
            </w:r>
          </w:p>
        </w:tc>
        <w:tc>
          <w:tcPr>
            <w:tcW w:w="1741" w:type="dxa"/>
            <w:shd w:val="clear" w:color="auto" w:fill="auto"/>
          </w:tcPr>
          <w:p w:rsidR="00FF6D8F" w:rsidRPr="00084D03" w:rsidRDefault="00FF6D8F" w:rsidP="000E0C0B">
            <w:pPr>
              <w:pStyle w:val="StandaardSV"/>
              <w:jc w:val="right"/>
              <w:rPr>
                <w:szCs w:val="22"/>
              </w:rPr>
            </w:pPr>
            <w:r w:rsidRPr="00084D03">
              <w:rPr>
                <w:szCs w:val="22"/>
              </w:rPr>
              <w:t>0</w:t>
            </w:r>
          </w:p>
        </w:tc>
        <w:tc>
          <w:tcPr>
            <w:tcW w:w="1742" w:type="dxa"/>
            <w:shd w:val="clear" w:color="auto" w:fill="auto"/>
          </w:tcPr>
          <w:p w:rsidR="00FF6D8F" w:rsidRPr="00084D03" w:rsidRDefault="00FF6D8F" w:rsidP="000E0C0B">
            <w:pPr>
              <w:pStyle w:val="StandaardSV"/>
              <w:jc w:val="right"/>
              <w:rPr>
                <w:szCs w:val="22"/>
              </w:rPr>
            </w:pPr>
            <w:r w:rsidRPr="00084D03">
              <w:rPr>
                <w:szCs w:val="22"/>
              </w:rPr>
              <w:t>752.675,67</w:t>
            </w:r>
          </w:p>
        </w:tc>
        <w:tc>
          <w:tcPr>
            <w:tcW w:w="1743" w:type="dxa"/>
            <w:shd w:val="clear" w:color="auto" w:fill="auto"/>
          </w:tcPr>
          <w:p w:rsidR="00FF6D8F" w:rsidRPr="00084D03" w:rsidRDefault="00FF6D8F" w:rsidP="000E0C0B">
            <w:pPr>
              <w:pStyle w:val="StandaardSV"/>
              <w:jc w:val="right"/>
              <w:rPr>
                <w:szCs w:val="22"/>
              </w:rPr>
            </w:pPr>
            <w:r w:rsidRPr="00084D03">
              <w:rPr>
                <w:szCs w:val="22"/>
              </w:rPr>
              <w:t>919.432,68</w:t>
            </w:r>
          </w:p>
        </w:tc>
        <w:tc>
          <w:tcPr>
            <w:tcW w:w="1743" w:type="dxa"/>
            <w:shd w:val="clear" w:color="auto" w:fill="auto"/>
          </w:tcPr>
          <w:p w:rsidR="00FF6D8F" w:rsidRPr="00084D03" w:rsidRDefault="00FF6D8F" w:rsidP="000E0C0B">
            <w:pPr>
              <w:pStyle w:val="StandaardSV"/>
              <w:jc w:val="right"/>
              <w:rPr>
                <w:szCs w:val="22"/>
              </w:rPr>
            </w:pPr>
            <w:r w:rsidRPr="00084D03">
              <w:rPr>
                <w:szCs w:val="22"/>
              </w:rPr>
              <w:t>36.646,67</w:t>
            </w:r>
          </w:p>
        </w:tc>
      </w:tr>
    </w:tbl>
    <w:p w:rsidR="005237D8" w:rsidRPr="00084D03" w:rsidRDefault="005237D8" w:rsidP="005237D8">
      <w:pPr>
        <w:pStyle w:val="StandaardSV"/>
        <w:rPr>
          <w:szCs w:val="22"/>
        </w:rPr>
      </w:pPr>
    </w:p>
    <w:p w:rsidR="00FA31D3" w:rsidRPr="00084D03" w:rsidRDefault="009F4259" w:rsidP="006F5A1D">
      <w:pPr>
        <w:pStyle w:val="StandaardSV"/>
        <w:ind w:left="709" w:hanging="283"/>
        <w:rPr>
          <w:szCs w:val="22"/>
        </w:rPr>
      </w:pPr>
      <w:r>
        <w:rPr>
          <w:szCs w:val="22"/>
        </w:rPr>
        <w:t>c)</w:t>
      </w:r>
      <w:r>
        <w:rPr>
          <w:szCs w:val="22"/>
        </w:rPr>
        <w:tab/>
      </w:r>
      <w:r w:rsidR="00FA31D3" w:rsidRPr="00084D03">
        <w:rPr>
          <w:szCs w:val="22"/>
        </w:rPr>
        <w:t>Tijdens het laatste Comité van Toezicht in het kader van het Europees Visserijfonds d.d. 26/06/2013 werd</w:t>
      </w:r>
      <w:r w:rsidR="00B446B6" w:rsidRPr="00084D03">
        <w:rPr>
          <w:szCs w:val="22"/>
        </w:rPr>
        <w:t xml:space="preserve"> een toekenningsgraad van 88,02 % van het totale EVF-budget voor België vastgesteld. Aangezien er via de n+2-regel nog tot eind 2015 EVF-middelen mogen worden toegekend, kunnen nog gedurende ruim 2 jaar de resterende 11,98% van het totale EVF-budget aangewend worden. België zal dan ook het hele toegewezen EVF-budget benutten. </w:t>
      </w:r>
    </w:p>
    <w:p w:rsidR="005237D8" w:rsidRPr="00084D03" w:rsidRDefault="005237D8" w:rsidP="005237D8">
      <w:pPr>
        <w:pStyle w:val="StandaardSV"/>
        <w:rPr>
          <w:szCs w:val="22"/>
        </w:rPr>
      </w:pPr>
    </w:p>
    <w:p w:rsidR="00E478B9" w:rsidRPr="00084D03" w:rsidRDefault="009F4259" w:rsidP="009F4259">
      <w:pPr>
        <w:pStyle w:val="StandaardSV"/>
        <w:numPr>
          <w:ilvl w:val="0"/>
          <w:numId w:val="8"/>
        </w:numPr>
        <w:tabs>
          <w:tab w:val="left" w:pos="426"/>
        </w:tabs>
        <w:ind w:left="709" w:hanging="709"/>
        <w:rPr>
          <w:szCs w:val="22"/>
        </w:rPr>
      </w:pPr>
      <w:r>
        <w:rPr>
          <w:szCs w:val="22"/>
        </w:rPr>
        <w:t>a)</w:t>
      </w:r>
      <w:r>
        <w:rPr>
          <w:szCs w:val="22"/>
        </w:rPr>
        <w:tab/>
      </w:r>
      <w:r w:rsidR="006876BD">
        <w:rPr>
          <w:szCs w:val="22"/>
        </w:rPr>
        <w:t>Er dient op gewezen dat de Verordening terzake pas in juli 2013 door de Raad van Visserijm</w:t>
      </w:r>
      <w:r w:rsidR="006876BD">
        <w:rPr>
          <w:szCs w:val="22"/>
        </w:rPr>
        <w:t>i</w:t>
      </w:r>
      <w:r w:rsidR="006876BD">
        <w:rPr>
          <w:szCs w:val="22"/>
        </w:rPr>
        <w:t xml:space="preserve">nisters goedgekeurd werd. De definitieve VO is er nog steeds niet, en er dienen nog heel wat uitvoeringsbesluiten genomen te worden op EU-niveau. </w:t>
      </w:r>
      <w:r w:rsidR="008F011F" w:rsidRPr="00084D03">
        <w:rPr>
          <w:szCs w:val="22"/>
        </w:rPr>
        <w:t xml:space="preserve"> </w:t>
      </w:r>
      <w:r w:rsidR="006876BD">
        <w:rPr>
          <w:szCs w:val="22"/>
        </w:rPr>
        <w:t>Er is momenteel geen overgangsr</w:t>
      </w:r>
      <w:r w:rsidR="006876BD">
        <w:rPr>
          <w:szCs w:val="22"/>
        </w:rPr>
        <w:t>e</w:t>
      </w:r>
      <w:r w:rsidR="006876BD">
        <w:rPr>
          <w:szCs w:val="22"/>
        </w:rPr>
        <w:t>ling voorzien. Er kan enkel gebruik gemaakt worden van de n+2 regel.</w:t>
      </w:r>
    </w:p>
    <w:p w:rsidR="005237D8" w:rsidRPr="00084D03" w:rsidRDefault="005237D8" w:rsidP="005237D8">
      <w:pPr>
        <w:pStyle w:val="StandaardSV"/>
        <w:rPr>
          <w:szCs w:val="22"/>
        </w:rPr>
      </w:pPr>
    </w:p>
    <w:p w:rsidR="00E478B9" w:rsidRPr="00084D03" w:rsidRDefault="009F4259" w:rsidP="006F5A1D">
      <w:pPr>
        <w:pStyle w:val="StandaardSV"/>
        <w:ind w:left="709" w:hanging="283"/>
        <w:rPr>
          <w:szCs w:val="22"/>
        </w:rPr>
      </w:pPr>
      <w:r>
        <w:rPr>
          <w:szCs w:val="22"/>
        </w:rPr>
        <w:t>b)</w:t>
      </w:r>
      <w:r>
        <w:rPr>
          <w:szCs w:val="22"/>
        </w:rPr>
        <w:tab/>
      </w:r>
      <w:r w:rsidR="006876BD">
        <w:rPr>
          <w:szCs w:val="22"/>
        </w:rPr>
        <w:t>Intussen werkt de administratie volop aan de uitwerking en h</w:t>
      </w:r>
      <w:r w:rsidR="006876BD" w:rsidRPr="00084D03">
        <w:rPr>
          <w:szCs w:val="22"/>
        </w:rPr>
        <w:t xml:space="preserve">et doel is nog steeds om </w:t>
      </w:r>
      <w:r w:rsidR="006876BD">
        <w:rPr>
          <w:szCs w:val="22"/>
        </w:rPr>
        <w:t xml:space="preserve">tegen </w:t>
      </w:r>
      <w:r w:rsidR="006876BD" w:rsidRPr="00084D03">
        <w:rPr>
          <w:szCs w:val="22"/>
        </w:rPr>
        <w:t>de vooropgestelde</w:t>
      </w:r>
      <w:r w:rsidR="006876BD">
        <w:rPr>
          <w:szCs w:val="22"/>
        </w:rPr>
        <w:t>datum reeds een Belgisch Operationeel Plan klaar te hebben.</w:t>
      </w:r>
      <w:r w:rsidR="006876BD" w:rsidRPr="00084D03">
        <w:rPr>
          <w:szCs w:val="22"/>
        </w:rPr>
        <w:t xml:space="preserve"> </w:t>
      </w:r>
      <w:r>
        <w:rPr>
          <w:szCs w:val="22"/>
        </w:rPr>
        <w:tab/>
      </w:r>
      <w:r w:rsidR="006876BD">
        <w:rPr>
          <w:szCs w:val="22"/>
        </w:rPr>
        <w:br/>
      </w:r>
    </w:p>
    <w:p w:rsidR="00E478B9" w:rsidRPr="00084D03" w:rsidRDefault="009F4259" w:rsidP="009F4259">
      <w:pPr>
        <w:pStyle w:val="StandaardSV"/>
        <w:ind w:left="709" w:hanging="283"/>
        <w:rPr>
          <w:szCs w:val="22"/>
        </w:rPr>
      </w:pPr>
      <w:r>
        <w:rPr>
          <w:szCs w:val="22"/>
        </w:rPr>
        <w:t>c)</w:t>
      </w:r>
      <w:r>
        <w:rPr>
          <w:szCs w:val="22"/>
        </w:rPr>
        <w:tab/>
      </w:r>
      <w:r w:rsidR="00E478B9" w:rsidRPr="00084D03">
        <w:rPr>
          <w:szCs w:val="22"/>
        </w:rPr>
        <w:t>Gezien het ontwerp OP al in een finaal stadium bevindt en op verschillende tijdstippen is afg</w:t>
      </w:r>
      <w:r w:rsidR="00E478B9" w:rsidRPr="00084D03">
        <w:rPr>
          <w:szCs w:val="22"/>
        </w:rPr>
        <w:t>e</w:t>
      </w:r>
      <w:r w:rsidR="00E478B9" w:rsidRPr="00084D03">
        <w:rPr>
          <w:szCs w:val="22"/>
        </w:rPr>
        <w:t>toe</w:t>
      </w:r>
      <w:r w:rsidR="00544D37" w:rsidRPr="00084D03">
        <w:rPr>
          <w:szCs w:val="22"/>
        </w:rPr>
        <w:t>t</w:t>
      </w:r>
      <w:r w:rsidR="00E478B9" w:rsidRPr="00084D03">
        <w:rPr>
          <w:szCs w:val="22"/>
        </w:rPr>
        <w:t xml:space="preserve">st met de belanghebbenden, kan men ervan uitgaan dat de contouren van dit OP duidelijk zijn </w:t>
      </w:r>
    </w:p>
    <w:p w:rsidR="005237D8" w:rsidRPr="00084D03" w:rsidRDefault="005237D8" w:rsidP="005237D8">
      <w:pPr>
        <w:pStyle w:val="StandaardSV"/>
        <w:rPr>
          <w:szCs w:val="22"/>
        </w:rPr>
      </w:pPr>
    </w:p>
    <w:p w:rsidR="000E7F72" w:rsidRPr="006F5A1D" w:rsidRDefault="009F4259" w:rsidP="009F4259">
      <w:pPr>
        <w:pStyle w:val="StandaardSV"/>
        <w:numPr>
          <w:ilvl w:val="0"/>
          <w:numId w:val="8"/>
        </w:numPr>
        <w:tabs>
          <w:tab w:val="left" w:pos="426"/>
        </w:tabs>
        <w:ind w:left="709" w:hanging="709"/>
        <w:rPr>
          <w:szCs w:val="22"/>
        </w:rPr>
      </w:pPr>
      <w:r>
        <w:rPr>
          <w:szCs w:val="22"/>
          <w:lang w:val="nl-BE"/>
        </w:rPr>
        <w:t>a)</w:t>
      </w:r>
      <w:r>
        <w:rPr>
          <w:szCs w:val="22"/>
          <w:lang w:val="nl-BE"/>
        </w:rPr>
        <w:tab/>
      </w:r>
      <w:r w:rsidR="006876BD" w:rsidRPr="006F5A1D">
        <w:rPr>
          <w:szCs w:val="22"/>
          <w:lang w:val="nl-BE"/>
        </w:rPr>
        <w:t xml:space="preserve">Het opmaken van een </w:t>
      </w:r>
      <w:r w:rsidR="00B065CF" w:rsidRPr="006F5A1D">
        <w:rPr>
          <w:szCs w:val="22"/>
          <w:lang w:val="nl-BE"/>
        </w:rPr>
        <w:t xml:space="preserve">discardatlas </w:t>
      </w:r>
      <w:r w:rsidR="00D4751D" w:rsidRPr="006F5A1D">
        <w:rPr>
          <w:szCs w:val="22"/>
          <w:lang w:val="nl-BE"/>
        </w:rPr>
        <w:t xml:space="preserve">is </w:t>
      </w:r>
      <w:r w:rsidR="006876BD" w:rsidRPr="006F5A1D">
        <w:rPr>
          <w:szCs w:val="22"/>
          <w:lang w:val="nl-BE"/>
        </w:rPr>
        <w:t xml:space="preserve">een continu gebeuren en in Vlaanderen </w:t>
      </w:r>
      <w:r w:rsidR="00D4751D" w:rsidRPr="006F5A1D">
        <w:rPr>
          <w:szCs w:val="22"/>
          <w:lang w:val="nl-BE"/>
        </w:rPr>
        <w:t>volop in ontwi</w:t>
      </w:r>
      <w:r w:rsidR="00D4751D" w:rsidRPr="006F5A1D">
        <w:rPr>
          <w:szCs w:val="22"/>
          <w:lang w:val="nl-BE"/>
        </w:rPr>
        <w:t>k</w:t>
      </w:r>
      <w:r w:rsidR="00D4751D" w:rsidRPr="006F5A1D">
        <w:rPr>
          <w:szCs w:val="22"/>
          <w:lang w:val="nl-BE"/>
        </w:rPr>
        <w:t>keling</w:t>
      </w:r>
      <w:r w:rsidR="006876BD" w:rsidRPr="006F5A1D">
        <w:rPr>
          <w:szCs w:val="22"/>
          <w:lang w:val="nl-BE"/>
        </w:rPr>
        <w:t>. D</w:t>
      </w:r>
      <w:r w:rsidR="00D4751D" w:rsidRPr="006F5A1D">
        <w:rPr>
          <w:szCs w:val="22"/>
          <w:lang w:val="nl-BE"/>
        </w:rPr>
        <w:t>e eerste besluiten kunnen getrokken worden.</w:t>
      </w:r>
      <w:r w:rsidR="00B065CF" w:rsidRPr="006F5A1D">
        <w:rPr>
          <w:szCs w:val="22"/>
          <w:lang w:val="nl-BE"/>
        </w:rPr>
        <w:t xml:space="preserve"> </w:t>
      </w:r>
      <w:r w:rsidR="0077567F" w:rsidRPr="006F5A1D">
        <w:rPr>
          <w:szCs w:val="22"/>
        </w:rPr>
        <w:t xml:space="preserve"> </w:t>
      </w:r>
      <w:r w:rsidR="006F5A1D">
        <w:rPr>
          <w:szCs w:val="22"/>
        </w:rPr>
        <w:t xml:space="preserve"> </w:t>
      </w:r>
      <w:r w:rsidR="000E7F72" w:rsidRPr="006F5A1D">
        <w:rPr>
          <w:szCs w:val="22"/>
        </w:rPr>
        <w:t>Uit de teruggooicijfers blijkt dat er voor de belangrijkste doelsoort van onze visserij alvast geen probleem is. Voor tong is de t</w:t>
      </w:r>
      <w:r w:rsidR="000E7F72" w:rsidRPr="006F5A1D">
        <w:rPr>
          <w:szCs w:val="22"/>
        </w:rPr>
        <w:t>e</w:t>
      </w:r>
      <w:r w:rsidR="000E7F72" w:rsidRPr="006F5A1D">
        <w:rPr>
          <w:szCs w:val="22"/>
        </w:rPr>
        <w:t>ruggooi namelijk erg laag. Voor enkele andere soorten zoals pladijs kan in bepaalde gebi</w:t>
      </w:r>
      <w:r w:rsidR="000E7F72" w:rsidRPr="006F5A1D">
        <w:rPr>
          <w:szCs w:val="22"/>
        </w:rPr>
        <w:t>e</w:t>
      </w:r>
      <w:r w:rsidR="000E7F72" w:rsidRPr="006F5A1D">
        <w:rPr>
          <w:szCs w:val="22"/>
        </w:rPr>
        <w:t>den de teruggooi vrij hoog zijn. Door het verbeteren van de selectiviteit van onze sleepnetten zou deze teruggooi wel kunnen verminderd worden maar hierdoor kan ook de doelsoort tong on</w:t>
      </w:r>
      <w:r w:rsidR="000E7F72" w:rsidRPr="006F5A1D">
        <w:rPr>
          <w:szCs w:val="22"/>
        </w:rPr>
        <w:t>t</w:t>
      </w:r>
      <w:r w:rsidR="000E7F72" w:rsidRPr="006F5A1D">
        <w:rPr>
          <w:szCs w:val="22"/>
        </w:rPr>
        <w:t xml:space="preserve">snappen en wel in die mate dat de visserij niet meer rendabel wordt. Het komt er dan op neer de bijvangstsoorten zoals pladijs tijdens het vangstproces te scheiden van de doelsoort tong zodat de teruggooi van deze bijvangstsoorten vermindert. Deze vangstscheiding is in de boomkor erg moeilijk. Op het ILVO loopt al enkele jaren onderzoek om dit probleem aan te </w:t>
      </w:r>
      <w:r w:rsidR="000E7F72" w:rsidRPr="006F5A1D">
        <w:rPr>
          <w:szCs w:val="22"/>
        </w:rPr>
        <w:lastRenderedPageBreak/>
        <w:t xml:space="preserve">pakken. Zo worden </w:t>
      </w:r>
      <w:r w:rsidR="00057706" w:rsidRPr="006F5A1D">
        <w:rPr>
          <w:szCs w:val="22"/>
        </w:rPr>
        <w:t>o.a.</w:t>
      </w:r>
      <w:r w:rsidR="000E7F72" w:rsidRPr="006F5A1D">
        <w:rPr>
          <w:szCs w:val="22"/>
        </w:rPr>
        <w:t xml:space="preserve"> experimenten uitgevoerd met een horizontaal scheidingspaneel dat p</w:t>
      </w:r>
      <w:r w:rsidR="000E7F72" w:rsidRPr="006F5A1D">
        <w:rPr>
          <w:szCs w:val="22"/>
        </w:rPr>
        <w:t>o</w:t>
      </w:r>
      <w:r w:rsidR="000E7F72" w:rsidRPr="006F5A1D">
        <w:rPr>
          <w:szCs w:val="22"/>
        </w:rPr>
        <w:t>tentieel heeft meer voorlopig onvoldoende werkt. De overtuiging groeit dat naast het verbet</w:t>
      </w:r>
      <w:r w:rsidR="000E7F72" w:rsidRPr="006F5A1D">
        <w:rPr>
          <w:szCs w:val="22"/>
        </w:rPr>
        <w:t>e</w:t>
      </w:r>
      <w:r w:rsidR="000E7F72" w:rsidRPr="006F5A1D">
        <w:rPr>
          <w:szCs w:val="22"/>
        </w:rPr>
        <w:t>ren van de soort-selectiviteit ook zal moeten g</w:t>
      </w:r>
      <w:r w:rsidR="000E7F72" w:rsidRPr="006F5A1D">
        <w:rPr>
          <w:szCs w:val="22"/>
        </w:rPr>
        <w:t>e</w:t>
      </w:r>
      <w:r w:rsidR="000E7F72" w:rsidRPr="006F5A1D">
        <w:rPr>
          <w:szCs w:val="22"/>
        </w:rPr>
        <w:t>werkt worden aan een betere overleving van de teruggooi zodat beide opties samen de visserij aanzienlijk kunnen verduurzamen."</w:t>
      </w:r>
    </w:p>
    <w:p w:rsidR="0077567F" w:rsidRPr="009F4259" w:rsidRDefault="0077567F" w:rsidP="00544D37">
      <w:pPr>
        <w:pStyle w:val="StandaardSV"/>
        <w:ind w:left="708"/>
        <w:rPr>
          <w:szCs w:val="22"/>
        </w:rPr>
      </w:pPr>
    </w:p>
    <w:p w:rsidR="00B065CF" w:rsidRPr="009F4259" w:rsidRDefault="009F4259" w:rsidP="009F4259">
      <w:pPr>
        <w:pStyle w:val="Lijstalinea"/>
        <w:spacing w:before="80"/>
        <w:ind w:left="709" w:hanging="283"/>
        <w:jc w:val="both"/>
        <w:rPr>
          <w:sz w:val="22"/>
          <w:szCs w:val="22"/>
        </w:rPr>
      </w:pPr>
      <w:r w:rsidRPr="009F4259">
        <w:rPr>
          <w:sz w:val="22"/>
          <w:szCs w:val="22"/>
        </w:rPr>
        <w:t>b)</w:t>
      </w:r>
      <w:r w:rsidRPr="009F4259">
        <w:rPr>
          <w:sz w:val="22"/>
          <w:szCs w:val="22"/>
        </w:rPr>
        <w:tab/>
      </w:r>
      <w:r w:rsidR="00084D03" w:rsidRPr="009F4259">
        <w:rPr>
          <w:sz w:val="22"/>
          <w:szCs w:val="22"/>
        </w:rPr>
        <w:t>Men is</w:t>
      </w:r>
      <w:r w:rsidR="00B065CF" w:rsidRPr="009F4259">
        <w:rPr>
          <w:sz w:val="22"/>
          <w:szCs w:val="22"/>
        </w:rPr>
        <w:t xml:space="preserve"> van start gegaan om een Noordzee teruggooi</w:t>
      </w:r>
      <w:r w:rsidR="00D4751D" w:rsidRPr="009F4259">
        <w:rPr>
          <w:sz w:val="22"/>
          <w:szCs w:val="22"/>
        </w:rPr>
        <w:t>a</w:t>
      </w:r>
      <w:r w:rsidR="00B065CF" w:rsidRPr="009F4259">
        <w:rPr>
          <w:sz w:val="22"/>
          <w:szCs w:val="22"/>
        </w:rPr>
        <w:t xml:space="preserve">tlas op te stellen. </w:t>
      </w:r>
      <w:r w:rsidR="00D4751D" w:rsidRPr="009F4259">
        <w:rPr>
          <w:sz w:val="22"/>
          <w:szCs w:val="22"/>
        </w:rPr>
        <w:t>D</w:t>
      </w:r>
      <w:r w:rsidR="00B065CF" w:rsidRPr="009F4259">
        <w:rPr>
          <w:sz w:val="22"/>
          <w:szCs w:val="22"/>
        </w:rPr>
        <w:t>e Belgische discarda</w:t>
      </w:r>
      <w:r w:rsidR="00B065CF" w:rsidRPr="009F4259">
        <w:rPr>
          <w:sz w:val="22"/>
          <w:szCs w:val="22"/>
        </w:rPr>
        <w:t>t</w:t>
      </w:r>
      <w:r w:rsidR="00B065CF" w:rsidRPr="009F4259">
        <w:rPr>
          <w:sz w:val="22"/>
          <w:szCs w:val="22"/>
        </w:rPr>
        <w:t>las</w:t>
      </w:r>
      <w:r w:rsidR="00D4751D" w:rsidRPr="009F4259">
        <w:rPr>
          <w:sz w:val="22"/>
          <w:szCs w:val="22"/>
        </w:rPr>
        <w:t xml:space="preserve"> maakt daar deel van uit</w:t>
      </w:r>
      <w:r w:rsidR="00B065CF" w:rsidRPr="009F4259">
        <w:rPr>
          <w:sz w:val="22"/>
          <w:szCs w:val="22"/>
        </w:rPr>
        <w:t xml:space="preserve">. </w:t>
      </w:r>
      <w:r w:rsidR="00D4751D" w:rsidRPr="009F4259">
        <w:rPr>
          <w:sz w:val="22"/>
          <w:szCs w:val="22"/>
        </w:rPr>
        <w:t>Zo wordt h</w:t>
      </w:r>
      <w:r w:rsidR="00B065CF" w:rsidRPr="009F4259">
        <w:rPr>
          <w:sz w:val="22"/>
          <w:szCs w:val="22"/>
        </w:rPr>
        <w:t>et teruggooigedrag van de Belgische Visserij in pe</w:t>
      </w:r>
      <w:r w:rsidR="00B065CF" w:rsidRPr="009F4259">
        <w:rPr>
          <w:sz w:val="22"/>
          <w:szCs w:val="22"/>
        </w:rPr>
        <w:t>r</w:t>
      </w:r>
      <w:r w:rsidR="00B065CF" w:rsidRPr="009F4259">
        <w:rPr>
          <w:sz w:val="22"/>
          <w:szCs w:val="22"/>
        </w:rPr>
        <w:t xml:space="preserve">spectief geplaatst in de regio’s waar de sector actief is, in eerste instantie de Noordzee. </w:t>
      </w:r>
      <w:r w:rsidR="006F5A1D" w:rsidRPr="009F4259">
        <w:rPr>
          <w:sz w:val="22"/>
          <w:szCs w:val="22"/>
        </w:rPr>
        <w:t xml:space="preserve"> </w:t>
      </w:r>
      <w:r w:rsidR="00B065CF" w:rsidRPr="009F4259">
        <w:rPr>
          <w:sz w:val="22"/>
          <w:szCs w:val="22"/>
          <w:lang w:val="nl-BE"/>
        </w:rPr>
        <w:t>In ve</w:t>
      </w:r>
      <w:r w:rsidR="00B065CF" w:rsidRPr="009F4259">
        <w:rPr>
          <w:sz w:val="22"/>
          <w:szCs w:val="22"/>
          <w:lang w:val="nl-BE"/>
        </w:rPr>
        <w:t>r</w:t>
      </w:r>
      <w:r w:rsidR="00B065CF" w:rsidRPr="009F4259">
        <w:rPr>
          <w:sz w:val="22"/>
          <w:szCs w:val="22"/>
          <w:lang w:val="nl-BE"/>
        </w:rPr>
        <w:t xml:space="preserve">schillende Europese landen zijn of worden discardatlassen ontwikkeld die een overzicht geven van aanvoer en </w:t>
      </w:r>
      <w:r w:rsidR="00D4751D" w:rsidRPr="009F4259">
        <w:rPr>
          <w:sz w:val="22"/>
          <w:szCs w:val="22"/>
          <w:lang w:val="nl-BE"/>
        </w:rPr>
        <w:t>teruggooi</w:t>
      </w:r>
      <w:r w:rsidR="00B065CF" w:rsidRPr="009F4259">
        <w:rPr>
          <w:sz w:val="22"/>
          <w:szCs w:val="22"/>
          <w:lang w:val="nl-BE"/>
        </w:rPr>
        <w:t xml:space="preserve"> in verschillende visserijen. </w:t>
      </w:r>
      <w:r w:rsidR="00B065CF" w:rsidRPr="009F4259">
        <w:rPr>
          <w:sz w:val="22"/>
          <w:szCs w:val="22"/>
        </w:rPr>
        <w:t>Op de Workshop N</w:t>
      </w:r>
      <w:r w:rsidR="00D4751D" w:rsidRPr="009F4259">
        <w:rPr>
          <w:sz w:val="22"/>
          <w:szCs w:val="22"/>
        </w:rPr>
        <w:t>ederland</w:t>
      </w:r>
      <w:r w:rsidR="00B065CF" w:rsidRPr="009F4259">
        <w:rPr>
          <w:sz w:val="22"/>
          <w:szCs w:val="22"/>
        </w:rPr>
        <w:t>-België (5 j</w:t>
      </w:r>
      <w:r w:rsidR="00B065CF" w:rsidRPr="009F4259">
        <w:rPr>
          <w:sz w:val="22"/>
          <w:szCs w:val="22"/>
        </w:rPr>
        <w:t>u</w:t>
      </w:r>
      <w:r w:rsidR="00B065CF" w:rsidRPr="009F4259">
        <w:rPr>
          <w:sz w:val="22"/>
          <w:szCs w:val="22"/>
        </w:rPr>
        <w:t>li 2013) en op de Workshop ICES-STECF (10-11 juli 2013) werd beslist om een projec</w:t>
      </w:r>
      <w:r w:rsidR="00B065CF" w:rsidRPr="009F4259">
        <w:rPr>
          <w:sz w:val="22"/>
          <w:szCs w:val="22"/>
        </w:rPr>
        <w:t>t</w:t>
      </w:r>
      <w:r w:rsidR="00B065CF" w:rsidRPr="009F4259">
        <w:rPr>
          <w:sz w:val="22"/>
          <w:szCs w:val="22"/>
        </w:rPr>
        <w:t>groep op te stellen om een Noordzee Teruggooi Atlas op te stellen. Partners in dit project zijn, Be</w:t>
      </w:r>
      <w:r w:rsidR="00B065CF" w:rsidRPr="009F4259">
        <w:rPr>
          <w:sz w:val="22"/>
          <w:szCs w:val="22"/>
        </w:rPr>
        <w:t>l</w:t>
      </w:r>
      <w:r w:rsidR="00B065CF" w:rsidRPr="009F4259">
        <w:rPr>
          <w:sz w:val="22"/>
          <w:szCs w:val="22"/>
        </w:rPr>
        <w:t>gië, Nederland, Frankrijk, Engeland, Schotland, Zweden, Denemarken en Duitsland, ICES en STECF, zowel beleidsmakers, onderzo</w:t>
      </w:r>
      <w:r w:rsidR="00B065CF" w:rsidRPr="009F4259">
        <w:rPr>
          <w:sz w:val="22"/>
          <w:szCs w:val="22"/>
        </w:rPr>
        <w:t>e</w:t>
      </w:r>
      <w:r w:rsidR="00B065CF" w:rsidRPr="009F4259">
        <w:rPr>
          <w:sz w:val="22"/>
          <w:szCs w:val="22"/>
        </w:rPr>
        <w:t xml:space="preserve">kers en stakeholders.  </w:t>
      </w:r>
    </w:p>
    <w:p w:rsidR="00791AA9" w:rsidRPr="009F4259" w:rsidRDefault="00791AA9" w:rsidP="005237D8">
      <w:pPr>
        <w:pStyle w:val="StandaardSV"/>
        <w:rPr>
          <w:szCs w:val="22"/>
          <w:lang w:val="nl-BE"/>
        </w:rPr>
      </w:pPr>
    </w:p>
    <w:p w:rsidR="00084D03" w:rsidRPr="00084D03" w:rsidRDefault="009F4259" w:rsidP="009F4259">
      <w:pPr>
        <w:pStyle w:val="StandaardSV"/>
        <w:ind w:left="709" w:hanging="283"/>
        <w:rPr>
          <w:szCs w:val="22"/>
        </w:rPr>
      </w:pPr>
      <w:r>
        <w:rPr>
          <w:szCs w:val="22"/>
          <w:lang w:val="nl-BE"/>
        </w:rPr>
        <w:t>c)</w:t>
      </w:r>
      <w:r>
        <w:rPr>
          <w:szCs w:val="22"/>
          <w:lang w:val="nl-BE"/>
        </w:rPr>
        <w:tab/>
      </w:r>
      <w:r w:rsidR="00084D03" w:rsidRPr="009F4259">
        <w:rPr>
          <w:szCs w:val="22"/>
        </w:rPr>
        <w:t>De Minister zal bij gelegenheden het niet nalaten om de zaak aan te kaarten op Europees n</w:t>
      </w:r>
      <w:r w:rsidR="00084D03" w:rsidRPr="009F4259">
        <w:rPr>
          <w:szCs w:val="22"/>
        </w:rPr>
        <w:t>i</w:t>
      </w:r>
      <w:r w:rsidR="00084D03" w:rsidRPr="009F4259">
        <w:rPr>
          <w:szCs w:val="22"/>
        </w:rPr>
        <w:t>veau</w:t>
      </w:r>
      <w:r w:rsidR="00084D03" w:rsidRPr="00084D03">
        <w:rPr>
          <w:szCs w:val="22"/>
        </w:rPr>
        <w:t>.</w:t>
      </w:r>
    </w:p>
    <w:p w:rsidR="00791AA9" w:rsidRPr="00084D03" w:rsidRDefault="00791AA9" w:rsidP="005237D8">
      <w:pPr>
        <w:pStyle w:val="StandaardSV"/>
        <w:rPr>
          <w:szCs w:val="22"/>
        </w:rPr>
      </w:pPr>
    </w:p>
    <w:p w:rsidR="00170714" w:rsidRPr="00084D03" w:rsidRDefault="00170714" w:rsidP="009F4259">
      <w:pPr>
        <w:pStyle w:val="StandaardSV"/>
        <w:numPr>
          <w:ilvl w:val="0"/>
          <w:numId w:val="8"/>
        </w:numPr>
        <w:rPr>
          <w:szCs w:val="22"/>
        </w:rPr>
      </w:pPr>
      <w:r w:rsidRPr="00084D03">
        <w:rPr>
          <w:szCs w:val="22"/>
        </w:rPr>
        <w:t>Door ILVO werden gedurende de laatste 5 jaar verschillende overlevingsexperimenten uitgevoerd met de bedoeling de overleving te kennen van uit de boomkor teruggegooide vis en invertebraten. De resultaten waren beter dan verwacht en beter dan</w:t>
      </w:r>
      <w:r w:rsidR="00D4751D">
        <w:rPr>
          <w:szCs w:val="22"/>
        </w:rPr>
        <w:t xml:space="preserve"> blijkt uit de</w:t>
      </w:r>
      <w:r w:rsidRPr="00084D03">
        <w:rPr>
          <w:szCs w:val="22"/>
        </w:rPr>
        <w:t xml:space="preserve"> literatuur. </w:t>
      </w:r>
      <w:r w:rsidR="00D4751D">
        <w:rPr>
          <w:szCs w:val="22"/>
        </w:rPr>
        <w:t>Z</w:t>
      </w:r>
      <w:r w:rsidRPr="00084D03">
        <w:rPr>
          <w:szCs w:val="22"/>
        </w:rPr>
        <w:t xml:space="preserve">owat de helft van de teruggegooide kabeljauw </w:t>
      </w:r>
      <w:r w:rsidR="00D4751D">
        <w:rPr>
          <w:szCs w:val="22"/>
        </w:rPr>
        <w:t>kan</w:t>
      </w:r>
      <w:r w:rsidRPr="00084D03">
        <w:rPr>
          <w:szCs w:val="22"/>
        </w:rPr>
        <w:t xml:space="preserve"> overleven en zowat een derde van de teruggegooide tongen. Hier dient wel bij vermeld te worden dat de proeven doorgingen in eerder ondiep water, wat doorgaans een positief effect heeft op overleving. </w:t>
      </w:r>
      <w:r w:rsidR="00D4751D">
        <w:rPr>
          <w:szCs w:val="22"/>
        </w:rPr>
        <w:t>D</w:t>
      </w:r>
      <w:r w:rsidRPr="00084D03">
        <w:rPr>
          <w:szCs w:val="22"/>
        </w:rPr>
        <w:t>eze cijfers</w:t>
      </w:r>
      <w:r w:rsidR="00D4751D">
        <w:rPr>
          <w:szCs w:val="22"/>
        </w:rPr>
        <w:t xml:space="preserve"> zijn</w:t>
      </w:r>
      <w:r w:rsidRPr="00084D03">
        <w:rPr>
          <w:szCs w:val="22"/>
        </w:rPr>
        <w:t xml:space="preserve"> bemoedigend  om de discussie te openen over de </w:t>
      </w:r>
      <w:r w:rsidR="000D5024">
        <w:rPr>
          <w:szCs w:val="22"/>
        </w:rPr>
        <w:t xml:space="preserve">implementatie </w:t>
      </w:r>
      <w:r w:rsidRPr="00084D03">
        <w:rPr>
          <w:szCs w:val="22"/>
        </w:rPr>
        <w:t>van een aanlandingsverplichting van enkele commerciële vissoorten in de Belgische sleepnetvisserij.</w:t>
      </w:r>
      <w:r w:rsidR="00084D03" w:rsidRPr="00084D03">
        <w:rPr>
          <w:szCs w:val="22"/>
        </w:rPr>
        <w:t xml:space="preserve"> </w:t>
      </w:r>
      <w:r w:rsidRPr="00084D03">
        <w:rPr>
          <w:szCs w:val="22"/>
        </w:rPr>
        <w:t>In 2013 waren er geregeld contacten tussen Nederlandse en Engelse onderzoekers en ILVO met de bedoeling overlevingsexperimenten te plannen, een gemeenscha</w:t>
      </w:r>
      <w:r w:rsidRPr="00084D03">
        <w:rPr>
          <w:szCs w:val="22"/>
        </w:rPr>
        <w:t>p</w:t>
      </w:r>
      <w:r w:rsidRPr="00084D03">
        <w:rPr>
          <w:szCs w:val="22"/>
        </w:rPr>
        <w:t xml:space="preserve">pelijke methodologie af te spreken, de experimenten op elkaar af te stemmen om dubbel werk te vermijden en te komen tot een gemeenschappelijke rapportering voor meerdere vissoorten en meerdere visgronden. </w:t>
      </w:r>
      <w:r w:rsidR="003E08D2">
        <w:rPr>
          <w:szCs w:val="22"/>
        </w:rPr>
        <w:t>Binnen</w:t>
      </w:r>
      <w:r w:rsidRPr="00084D03">
        <w:rPr>
          <w:szCs w:val="22"/>
        </w:rPr>
        <w:t xml:space="preserve"> een STECF vergadering </w:t>
      </w:r>
      <w:r w:rsidR="003E08D2">
        <w:rPr>
          <w:szCs w:val="22"/>
        </w:rPr>
        <w:t>wordt</w:t>
      </w:r>
      <w:r w:rsidRPr="00084D03">
        <w:rPr>
          <w:szCs w:val="22"/>
        </w:rPr>
        <w:t xml:space="preserve"> die ganse problematiek bespr</w:t>
      </w:r>
      <w:r w:rsidR="003E08D2">
        <w:rPr>
          <w:szCs w:val="22"/>
        </w:rPr>
        <w:t>o</w:t>
      </w:r>
      <w:r w:rsidRPr="00084D03">
        <w:rPr>
          <w:szCs w:val="22"/>
        </w:rPr>
        <w:t>ken. De ganse problematiek loopt dus in een Regi</w:t>
      </w:r>
      <w:r w:rsidRPr="00084D03">
        <w:rPr>
          <w:szCs w:val="22"/>
        </w:rPr>
        <w:t>o</w:t>
      </w:r>
      <w:r w:rsidRPr="00084D03">
        <w:rPr>
          <w:szCs w:val="22"/>
        </w:rPr>
        <w:t>nale en Europese context.</w:t>
      </w:r>
    </w:p>
    <w:p w:rsidR="00791AA9" w:rsidRPr="00084D03" w:rsidRDefault="00791AA9" w:rsidP="005237D8">
      <w:pPr>
        <w:pStyle w:val="StandaardSV"/>
        <w:rPr>
          <w:szCs w:val="22"/>
        </w:rPr>
      </w:pPr>
    </w:p>
    <w:p w:rsidR="006B5572" w:rsidRPr="00084D03" w:rsidRDefault="009F4259" w:rsidP="009F4259">
      <w:pPr>
        <w:pStyle w:val="StandaardSV"/>
        <w:numPr>
          <w:ilvl w:val="0"/>
          <w:numId w:val="8"/>
        </w:numPr>
        <w:tabs>
          <w:tab w:val="left" w:pos="426"/>
        </w:tabs>
        <w:ind w:left="709" w:hanging="709"/>
        <w:rPr>
          <w:szCs w:val="22"/>
        </w:rPr>
      </w:pPr>
      <w:r>
        <w:rPr>
          <w:szCs w:val="22"/>
        </w:rPr>
        <w:t>a)</w:t>
      </w:r>
      <w:r>
        <w:rPr>
          <w:szCs w:val="22"/>
        </w:rPr>
        <w:tab/>
      </w:r>
      <w:r w:rsidR="006B5572">
        <w:rPr>
          <w:szCs w:val="22"/>
        </w:rPr>
        <w:t>Er is een eerste interne nota gemaakt ter voorbereiding van besprekingen mbt de tec</w:t>
      </w:r>
      <w:r w:rsidR="006B5572">
        <w:rPr>
          <w:szCs w:val="22"/>
        </w:rPr>
        <w:t>h</w:t>
      </w:r>
      <w:r w:rsidR="006B5572">
        <w:rPr>
          <w:szCs w:val="22"/>
        </w:rPr>
        <w:t>nische maatregelen op Europees niveau na de hervorming van het GVB. Nadat de definitieve Vero</w:t>
      </w:r>
      <w:r w:rsidR="006B5572">
        <w:rPr>
          <w:szCs w:val="22"/>
        </w:rPr>
        <w:t>r</w:t>
      </w:r>
      <w:r w:rsidR="006B5572">
        <w:rPr>
          <w:szCs w:val="22"/>
        </w:rPr>
        <w:t>dening en de uitvoeringsbelsuiten GVB bekend zijn, wordt die verder uitgewerkt. Een gestru</w:t>
      </w:r>
      <w:r w:rsidR="006B5572">
        <w:rPr>
          <w:szCs w:val="22"/>
        </w:rPr>
        <w:t>c</w:t>
      </w:r>
      <w:r w:rsidR="006B5572">
        <w:rPr>
          <w:szCs w:val="22"/>
        </w:rPr>
        <w:t>tureeed g</w:t>
      </w:r>
      <w:r w:rsidR="006B5572">
        <w:rPr>
          <w:szCs w:val="22"/>
        </w:rPr>
        <w:t>e</w:t>
      </w:r>
      <w:r w:rsidR="006B5572">
        <w:rPr>
          <w:szCs w:val="22"/>
        </w:rPr>
        <w:t xml:space="preserve">sprek hierover op Europees niveau is echter nog niet opgestart. </w:t>
      </w:r>
    </w:p>
    <w:p w:rsidR="00791AA9" w:rsidRPr="00084D03" w:rsidRDefault="00791AA9" w:rsidP="005237D8">
      <w:pPr>
        <w:pStyle w:val="StandaardSV"/>
        <w:rPr>
          <w:szCs w:val="22"/>
        </w:rPr>
      </w:pPr>
    </w:p>
    <w:p w:rsidR="006B5572" w:rsidRDefault="009F4259" w:rsidP="009F4259">
      <w:pPr>
        <w:ind w:left="709" w:hanging="283"/>
        <w:rPr>
          <w:sz w:val="22"/>
          <w:szCs w:val="22"/>
        </w:rPr>
      </w:pPr>
      <w:r>
        <w:rPr>
          <w:sz w:val="22"/>
          <w:szCs w:val="22"/>
        </w:rPr>
        <w:t>b)</w:t>
      </w:r>
      <w:r>
        <w:rPr>
          <w:sz w:val="22"/>
          <w:szCs w:val="22"/>
        </w:rPr>
        <w:tab/>
      </w:r>
      <w:r w:rsidR="006B5572" w:rsidRPr="006B5572">
        <w:rPr>
          <w:sz w:val="22"/>
          <w:szCs w:val="22"/>
        </w:rPr>
        <w:t>Vanuit ons land worden</w:t>
      </w:r>
      <w:r w:rsidR="006B5572">
        <w:rPr>
          <w:sz w:val="22"/>
          <w:szCs w:val="22"/>
        </w:rPr>
        <w:t xml:space="preserve"> alvast</w:t>
      </w:r>
      <w:r w:rsidR="006B5572" w:rsidRPr="006B5572">
        <w:rPr>
          <w:sz w:val="22"/>
          <w:szCs w:val="22"/>
        </w:rPr>
        <w:t xml:space="preserve"> volg</w:t>
      </w:r>
      <w:r w:rsidR="006B5572">
        <w:rPr>
          <w:sz w:val="22"/>
          <w:szCs w:val="22"/>
        </w:rPr>
        <w:t>e</w:t>
      </w:r>
      <w:r w:rsidR="006B5572" w:rsidRPr="006B5572">
        <w:rPr>
          <w:sz w:val="22"/>
          <w:szCs w:val="22"/>
        </w:rPr>
        <w:t>nde bemerkingen aangebracht:</w:t>
      </w:r>
      <w:r w:rsidR="006B5572" w:rsidRPr="006B5572">
        <w:rPr>
          <w:sz w:val="22"/>
          <w:szCs w:val="22"/>
        </w:rPr>
        <w:br/>
        <w:t>Algemeen: te veel, te complex, te veel wijzigingen, niet effectief, niet te controleren, niet afg</w:t>
      </w:r>
      <w:r w:rsidR="006B5572" w:rsidRPr="006B5572">
        <w:rPr>
          <w:sz w:val="22"/>
          <w:szCs w:val="22"/>
        </w:rPr>
        <w:t>e</w:t>
      </w:r>
      <w:r w:rsidR="006B5572" w:rsidRPr="006B5572">
        <w:rPr>
          <w:sz w:val="22"/>
          <w:szCs w:val="22"/>
        </w:rPr>
        <w:t>stemd op regionale verschillen</w:t>
      </w:r>
      <w:r w:rsidR="006F5A1D">
        <w:rPr>
          <w:sz w:val="22"/>
          <w:szCs w:val="22"/>
        </w:rPr>
        <w:br/>
      </w:r>
      <w:r w:rsidR="006B5572" w:rsidRPr="006B5572">
        <w:rPr>
          <w:sz w:val="22"/>
          <w:szCs w:val="22"/>
        </w:rPr>
        <w:t>Specifieke</w:t>
      </w:r>
      <w:r w:rsidR="006B5572">
        <w:rPr>
          <w:sz w:val="22"/>
          <w:szCs w:val="22"/>
        </w:rPr>
        <w:t>:</w:t>
      </w:r>
      <w:r w:rsidR="006B5572" w:rsidRPr="006B5572">
        <w:rPr>
          <w:sz w:val="22"/>
          <w:szCs w:val="22"/>
        </w:rPr>
        <w:t xml:space="preserve"> </w:t>
      </w:r>
    </w:p>
    <w:p w:rsidR="006B5572" w:rsidRPr="009F4259" w:rsidRDefault="006B5572" w:rsidP="009F4259">
      <w:pPr>
        <w:pStyle w:val="Lijstalinea"/>
        <w:numPr>
          <w:ilvl w:val="1"/>
          <w:numId w:val="8"/>
        </w:numPr>
        <w:jc w:val="both"/>
        <w:rPr>
          <w:sz w:val="22"/>
          <w:szCs w:val="22"/>
        </w:rPr>
      </w:pPr>
      <w:r w:rsidRPr="009F4259">
        <w:rPr>
          <w:sz w:val="22"/>
          <w:szCs w:val="22"/>
        </w:rPr>
        <w:t>Minimum maaswijdte: gekende problemen met 80mm in tongvisserij</w:t>
      </w:r>
    </w:p>
    <w:p w:rsidR="006B5572" w:rsidRPr="009F4259" w:rsidRDefault="006B5572" w:rsidP="009F4259">
      <w:pPr>
        <w:pStyle w:val="Lijstalinea"/>
        <w:numPr>
          <w:ilvl w:val="1"/>
          <w:numId w:val="8"/>
        </w:numPr>
        <w:jc w:val="both"/>
        <w:rPr>
          <w:sz w:val="22"/>
          <w:szCs w:val="22"/>
        </w:rPr>
      </w:pPr>
      <w:r w:rsidRPr="009F4259">
        <w:rPr>
          <w:sz w:val="22"/>
          <w:szCs w:val="22"/>
        </w:rPr>
        <w:t>Minimum aanlandingsmaten: onvoldoende afgestemd op minimum maaswijdte.</w:t>
      </w:r>
    </w:p>
    <w:p w:rsidR="006B5572" w:rsidRPr="009F4259" w:rsidRDefault="006B5572" w:rsidP="009F4259">
      <w:pPr>
        <w:pStyle w:val="Lijstalinea"/>
        <w:numPr>
          <w:ilvl w:val="1"/>
          <w:numId w:val="8"/>
        </w:numPr>
        <w:jc w:val="both"/>
        <w:rPr>
          <w:sz w:val="22"/>
          <w:szCs w:val="22"/>
        </w:rPr>
      </w:pPr>
      <w:r w:rsidRPr="009F4259">
        <w:rPr>
          <w:sz w:val="22"/>
          <w:szCs w:val="22"/>
        </w:rPr>
        <w:t>Verbod op bepaalde visserijen/vistuigen/gebied of seizoen: complex en niet te controleren</w:t>
      </w:r>
    </w:p>
    <w:p w:rsidR="006B5572" w:rsidRPr="009F4259" w:rsidRDefault="006B5572" w:rsidP="009F4259">
      <w:pPr>
        <w:pStyle w:val="Lijstalinea"/>
        <w:numPr>
          <w:ilvl w:val="1"/>
          <w:numId w:val="8"/>
        </w:numPr>
        <w:jc w:val="both"/>
        <w:rPr>
          <w:sz w:val="22"/>
          <w:szCs w:val="22"/>
        </w:rPr>
      </w:pPr>
      <w:r w:rsidRPr="009F4259">
        <w:rPr>
          <w:sz w:val="22"/>
          <w:szCs w:val="22"/>
        </w:rPr>
        <w:t xml:space="preserve">Gesloten gebieden: moeten bepaalde permanent gesloten gebieden behouden worden? </w:t>
      </w:r>
    </w:p>
    <w:p w:rsidR="006B5572" w:rsidRPr="009F4259" w:rsidRDefault="006B5572" w:rsidP="009F4259">
      <w:pPr>
        <w:pStyle w:val="Lijstalinea"/>
        <w:numPr>
          <w:ilvl w:val="1"/>
          <w:numId w:val="8"/>
        </w:numPr>
        <w:jc w:val="both"/>
        <w:rPr>
          <w:sz w:val="22"/>
          <w:szCs w:val="22"/>
        </w:rPr>
      </w:pPr>
      <w:r w:rsidRPr="009F4259">
        <w:rPr>
          <w:sz w:val="22"/>
          <w:szCs w:val="22"/>
        </w:rPr>
        <w:t>Vangstsamenstellingen: min. percentages doelsoorten en max. bijvangstpercentages zijn oorzaak van veel discards. Hebben we dat nog nodig??</w:t>
      </w:r>
    </w:p>
    <w:p w:rsidR="006B5572" w:rsidRPr="009F4259" w:rsidRDefault="006B5572" w:rsidP="009F4259">
      <w:pPr>
        <w:pStyle w:val="Lijstalinea"/>
        <w:numPr>
          <w:ilvl w:val="1"/>
          <w:numId w:val="8"/>
        </w:numPr>
        <w:jc w:val="both"/>
        <w:rPr>
          <w:sz w:val="22"/>
          <w:szCs w:val="22"/>
        </w:rPr>
      </w:pPr>
      <w:r w:rsidRPr="009F4259">
        <w:rPr>
          <w:sz w:val="22"/>
          <w:szCs w:val="22"/>
        </w:rPr>
        <w:t>Gedetailleerde regels netten – Selectiviteit: te complex - niet altijd te controleren. He</w:t>
      </w:r>
      <w:r w:rsidRPr="009F4259">
        <w:rPr>
          <w:sz w:val="22"/>
          <w:szCs w:val="22"/>
        </w:rPr>
        <w:t>b</w:t>
      </w:r>
      <w:r w:rsidRPr="009F4259">
        <w:rPr>
          <w:sz w:val="22"/>
          <w:szCs w:val="22"/>
        </w:rPr>
        <w:t>ben we dat nog nodig?</w:t>
      </w:r>
    </w:p>
    <w:p w:rsidR="008F011F" w:rsidRPr="00084D03" w:rsidRDefault="008F011F" w:rsidP="008F011F">
      <w:pPr>
        <w:pStyle w:val="StandaardSV"/>
        <w:ind w:left="360"/>
        <w:rPr>
          <w:szCs w:val="22"/>
        </w:rPr>
      </w:pPr>
    </w:p>
    <w:p w:rsidR="00C03A29" w:rsidRPr="00084D03" w:rsidRDefault="009F4259" w:rsidP="009F4259">
      <w:pPr>
        <w:pStyle w:val="StandaardSV"/>
        <w:numPr>
          <w:ilvl w:val="0"/>
          <w:numId w:val="8"/>
        </w:numPr>
        <w:rPr>
          <w:szCs w:val="22"/>
        </w:rPr>
      </w:pPr>
      <w:r>
        <w:rPr>
          <w:szCs w:val="22"/>
        </w:rPr>
        <w:t>a)</w:t>
      </w:r>
      <w:r>
        <w:rPr>
          <w:szCs w:val="22"/>
        </w:rPr>
        <w:tab/>
      </w:r>
      <w:r w:rsidR="00C03A29" w:rsidRPr="00084D03">
        <w:rPr>
          <w:szCs w:val="22"/>
        </w:rPr>
        <w:t>2010</w:t>
      </w:r>
      <w:r w:rsidR="00C03A29" w:rsidRPr="00084D03">
        <w:rPr>
          <w:szCs w:val="22"/>
        </w:rPr>
        <w:tab/>
        <w:t>149 gecontroleerde vaartuigen</w:t>
      </w:r>
    </w:p>
    <w:p w:rsidR="00C03A29" w:rsidRPr="00084D03" w:rsidRDefault="00C03A29" w:rsidP="006F5A1D">
      <w:pPr>
        <w:pStyle w:val="StandaardSV"/>
        <w:ind w:left="360" w:firstLine="348"/>
        <w:rPr>
          <w:szCs w:val="22"/>
        </w:rPr>
      </w:pPr>
      <w:r w:rsidRPr="00084D03">
        <w:rPr>
          <w:szCs w:val="22"/>
        </w:rPr>
        <w:t>2011</w:t>
      </w:r>
      <w:r w:rsidRPr="00084D03">
        <w:rPr>
          <w:szCs w:val="22"/>
        </w:rPr>
        <w:tab/>
        <w:t>158 gecontroleerde vaartuigen</w:t>
      </w:r>
    </w:p>
    <w:p w:rsidR="00C03A29" w:rsidRPr="00084D03" w:rsidRDefault="00C03A29" w:rsidP="006F5A1D">
      <w:pPr>
        <w:pStyle w:val="StandaardSV"/>
        <w:ind w:left="360" w:firstLine="348"/>
        <w:rPr>
          <w:szCs w:val="22"/>
        </w:rPr>
      </w:pPr>
      <w:r w:rsidRPr="00084D03">
        <w:rPr>
          <w:szCs w:val="22"/>
        </w:rPr>
        <w:t>2012</w:t>
      </w:r>
      <w:r w:rsidRPr="00084D03">
        <w:rPr>
          <w:szCs w:val="22"/>
        </w:rPr>
        <w:tab/>
        <w:t>161 gecontroleerde vaartuigen</w:t>
      </w:r>
    </w:p>
    <w:p w:rsidR="00791AA9" w:rsidRPr="00084D03" w:rsidRDefault="00791AA9" w:rsidP="005237D8">
      <w:pPr>
        <w:pStyle w:val="StandaardSV"/>
        <w:rPr>
          <w:szCs w:val="22"/>
        </w:rPr>
      </w:pPr>
    </w:p>
    <w:p w:rsidR="00C03A29" w:rsidRPr="00084D03" w:rsidRDefault="00C03A29" w:rsidP="006F5A1D">
      <w:pPr>
        <w:pStyle w:val="StandaardSV"/>
        <w:numPr>
          <w:ilvl w:val="0"/>
          <w:numId w:val="5"/>
        </w:numPr>
        <w:rPr>
          <w:szCs w:val="22"/>
        </w:rPr>
      </w:pPr>
      <w:r w:rsidRPr="00084D03">
        <w:rPr>
          <w:szCs w:val="22"/>
          <w:u w:val="single"/>
        </w:rPr>
        <w:t>Totaal</w:t>
      </w:r>
      <w:r w:rsidRPr="00084D03">
        <w:rPr>
          <w:szCs w:val="22"/>
        </w:rPr>
        <w:t xml:space="preserve"> aantal geverbaliseerde zeevisserij inbreuken (vaststellingen aan land, zee en lucht) </w:t>
      </w:r>
    </w:p>
    <w:p w:rsidR="00C03A29" w:rsidRPr="00084D03" w:rsidRDefault="00C03A29" w:rsidP="00C03A29">
      <w:pPr>
        <w:pStyle w:val="StandaardSV"/>
        <w:ind w:left="360"/>
        <w:rPr>
          <w:szCs w:val="22"/>
        </w:rPr>
      </w:pPr>
    </w:p>
    <w:p w:rsidR="00C03A29" w:rsidRPr="00084D03" w:rsidRDefault="00C03A29" w:rsidP="006F5A1D">
      <w:pPr>
        <w:pStyle w:val="StandaardSV"/>
        <w:ind w:left="360" w:firstLine="348"/>
        <w:rPr>
          <w:szCs w:val="22"/>
        </w:rPr>
      </w:pPr>
      <w:r w:rsidRPr="00084D03">
        <w:rPr>
          <w:szCs w:val="22"/>
        </w:rPr>
        <w:t>2010</w:t>
      </w:r>
      <w:r w:rsidRPr="00084D03">
        <w:rPr>
          <w:szCs w:val="22"/>
        </w:rPr>
        <w:tab/>
        <w:t>35 PV</w:t>
      </w:r>
    </w:p>
    <w:p w:rsidR="00C03A29" w:rsidRPr="00084D03" w:rsidRDefault="00C03A29" w:rsidP="006F5A1D">
      <w:pPr>
        <w:pStyle w:val="StandaardSV"/>
        <w:ind w:left="360" w:firstLine="348"/>
        <w:rPr>
          <w:szCs w:val="22"/>
        </w:rPr>
      </w:pPr>
      <w:r w:rsidRPr="00084D03">
        <w:rPr>
          <w:szCs w:val="22"/>
        </w:rPr>
        <w:t>2011</w:t>
      </w:r>
      <w:r w:rsidRPr="00084D03">
        <w:rPr>
          <w:szCs w:val="22"/>
        </w:rPr>
        <w:tab/>
        <w:t>27 PV</w:t>
      </w:r>
    </w:p>
    <w:p w:rsidR="00C03A29" w:rsidRPr="00084D03" w:rsidRDefault="00C03A29" w:rsidP="006F5A1D">
      <w:pPr>
        <w:pStyle w:val="StandaardSV"/>
        <w:ind w:left="360" w:firstLine="348"/>
        <w:rPr>
          <w:szCs w:val="22"/>
        </w:rPr>
      </w:pPr>
      <w:r w:rsidRPr="00084D03">
        <w:rPr>
          <w:szCs w:val="22"/>
        </w:rPr>
        <w:t>2012</w:t>
      </w:r>
      <w:r w:rsidRPr="00084D03">
        <w:rPr>
          <w:szCs w:val="22"/>
        </w:rPr>
        <w:tab/>
        <w:t>24 PV</w:t>
      </w:r>
    </w:p>
    <w:p w:rsidR="00791AA9" w:rsidRPr="00084D03" w:rsidRDefault="00791AA9" w:rsidP="005237D8">
      <w:pPr>
        <w:pStyle w:val="StandaardSV"/>
        <w:rPr>
          <w:szCs w:val="22"/>
        </w:rPr>
      </w:pPr>
    </w:p>
    <w:p w:rsidR="00C03A29" w:rsidRPr="00084D03" w:rsidRDefault="00C03A29" w:rsidP="006F5A1D">
      <w:pPr>
        <w:pStyle w:val="StandaardSV"/>
        <w:numPr>
          <w:ilvl w:val="0"/>
          <w:numId w:val="5"/>
        </w:numPr>
        <w:rPr>
          <w:szCs w:val="22"/>
        </w:rPr>
      </w:pPr>
      <w:r w:rsidRPr="00084D03">
        <w:rPr>
          <w:szCs w:val="22"/>
        </w:rPr>
        <w:t xml:space="preserve">Correctionele vervolging voor de meeste door PV vastgestelde inbreuken. </w:t>
      </w:r>
    </w:p>
    <w:p w:rsidR="00C03A29" w:rsidRPr="00084D03" w:rsidRDefault="00C03A29" w:rsidP="006F5A1D">
      <w:pPr>
        <w:pStyle w:val="StandaardSV"/>
        <w:ind w:left="360" w:firstLine="348"/>
        <w:rPr>
          <w:szCs w:val="22"/>
        </w:rPr>
      </w:pPr>
      <w:r w:rsidRPr="00084D03">
        <w:rPr>
          <w:szCs w:val="22"/>
        </w:rPr>
        <w:t>Seponering is uitzonderlijk. Een aantal recente gevallen zijn nog in onderzoek.</w:t>
      </w:r>
    </w:p>
    <w:p w:rsidR="005237D8" w:rsidRPr="00084D03" w:rsidRDefault="005237D8" w:rsidP="005237D8">
      <w:pPr>
        <w:pStyle w:val="StandaardSV"/>
        <w:rPr>
          <w:szCs w:val="22"/>
        </w:rPr>
      </w:pPr>
    </w:p>
    <w:p w:rsidR="00C03A29" w:rsidRPr="00084D03" w:rsidRDefault="009F4259" w:rsidP="009F4259">
      <w:pPr>
        <w:pStyle w:val="StandaardSV"/>
        <w:numPr>
          <w:ilvl w:val="0"/>
          <w:numId w:val="8"/>
        </w:numPr>
        <w:rPr>
          <w:szCs w:val="22"/>
        </w:rPr>
      </w:pPr>
      <w:r>
        <w:rPr>
          <w:szCs w:val="22"/>
        </w:rPr>
        <w:t>a)</w:t>
      </w:r>
      <w:r>
        <w:rPr>
          <w:szCs w:val="22"/>
        </w:rPr>
        <w:tab/>
      </w:r>
      <w:r w:rsidR="00C03A29" w:rsidRPr="00084D03">
        <w:rPr>
          <w:szCs w:val="22"/>
        </w:rPr>
        <w:t>2010</w:t>
      </w:r>
      <w:r w:rsidR="00C03A29" w:rsidRPr="00084D03">
        <w:rPr>
          <w:szCs w:val="22"/>
        </w:rPr>
        <w:tab/>
        <w:t>37 vluchten tijdens dewelke de positie van 392 schepen vastgesteld werd</w:t>
      </w:r>
    </w:p>
    <w:p w:rsidR="00C03A29" w:rsidRPr="00084D03" w:rsidRDefault="00C03A29" w:rsidP="006F5A1D">
      <w:pPr>
        <w:pStyle w:val="StandaardSV"/>
        <w:ind w:left="360" w:firstLine="348"/>
        <w:rPr>
          <w:szCs w:val="22"/>
        </w:rPr>
      </w:pPr>
      <w:r w:rsidRPr="00084D03">
        <w:rPr>
          <w:szCs w:val="22"/>
        </w:rPr>
        <w:t>2011</w:t>
      </w:r>
      <w:r w:rsidRPr="00084D03">
        <w:rPr>
          <w:szCs w:val="22"/>
        </w:rPr>
        <w:tab/>
        <w:t>41 vluchten tijdens dewelke de positie van 311 schepen vastgesteld werd</w:t>
      </w:r>
    </w:p>
    <w:p w:rsidR="00C03A29" w:rsidRPr="00084D03" w:rsidRDefault="00C03A29" w:rsidP="006F5A1D">
      <w:pPr>
        <w:pStyle w:val="StandaardSV"/>
        <w:ind w:left="360" w:firstLine="348"/>
        <w:rPr>
          <w:szCs w:val="22"/>
        </w:rPr>
      </w:pPr>
      <w:r w:rsidRPr="00084D03">
        <w:rPr>
          <w:szCs w:val="22"/>
        </w:rPr>
        <w:t>2012</w:t>
      </w:r>
      <w:r w:rsidRPr="00084D03">
        <w:rPr>
          <w:szCs w:val="22"/>
        </w:rPr>
        <w:tab/>
        <w:t>44 vluchten tijdens dewelke de positie van 501 schepen vastgesteld werd</w:t>
      </w:r>
    </w:p>
    <w:p w:rsidR="00791AA9" w:rsidRPr="00084D03" w:rsidRDefault="00791AA9" w:rsidP="005237D8">
      <w:pPr>
        <w:pStyle w:val="StandaardSV"/>
        <w:rPr>
          <w:szCs w:val="22"/>
        </w:rPr>
      </w:pPr>
    </w:p>
    <w:p w:rsidR="006F5A1D" w:rsidRDefault="00C03A29" w:rsidP="006F5A1D">
      <w:pPr>
        <w:pStyle w:val="StandaardSV"/>
        <w:numPr>
          <w:ilvl w:val="0"/>
          <w:numId w:val="6"/>
        </w:numPr>
        <w:jc w:val="left"/>
        <w:rPr>
          <w:szCs w:val="22"/>
        </w:rPr>
      </w:pPr>
      <w:r w:rsidRPr="006F5A1D">
        <w:rPr>
          <w:szCs w:val="22"/>
        </w:rPr>
        <w:t>Zie onder 6b)</w:t>
      </w:r>
      <w:r w:rsidR="006F5A1D">
        <w:rPr>
          <w:szCs w:val="22"/>
        </w:rPr>
        <w:br/>
      </w:r>
    </w:p>
    <w:p w:rsidR="00C03A29" w:rsidRPr="006F5A1D" w:rsidRDefault="00C03A29" w:rsidP="006F5A1D">
      <w:pPr>
        <w:pStyle w:val="StandaardSV"/>
        <w:numPr>
          <w:ilvl w:val="0"/>
          <w:numId w:val="6"/>
        </w:numPr>
        <w:rPr>
          <w:szCs w:val="22"/>
        </w:rPr>
      </w:pPr>
      <w:r w:rsidRPr="006F5A1D">
        <w:rPr>
          <w:szCs w:val="22"/>
        </w:rPr>
        <w:t>Zie onder 6c)</w:t>
      </w:r>
    </w:p>
    <w:p w:rsidR="005237D8" w:rsidRPr="00084D03" w:rsidRDefault="005237D8" w:rsidP="005237D8">
      <w:pPr>
        <w:pStyle w:val="StandaardSV"/>
        <w:rPr>
          <w:szCs w:val="22"/>
        </w:rPr>
      </w:pPr>
    </w:p>
    <w:p w:rsidR="00C03A29" w:rsidRPr="00084D03" w:rsidRDefault="009F4259" w:rsidP="009F4259">
      <w:pPr>
        <w:pStyle w:val="StandaardSV"/>
        <w:numPr>
          <w:ilvl w:val="0"/>
          <w:numId w:val="8"/>
        </w:numPr>
        <w:rPr>
          <w:szCs w:val="22"/>
        </w:rPr>
      </w:pPr>
      <w:r>
        <w:rPr>
          <w:szCs w:val="22"/>
        </w:rPr>
        <w:t>a)</w:t>
      </w:r>
      <w:r>
        <w:rPr>
          <w:szCs w:val="22"/>
        </w:rPr>
        <w:tab/>
      </w:r>
      <w:r w:rsidR="00C03A29" w:rsidRPr="00084D03">
        <w:rPr>
          <w:szCs w:val="22"/>
        </w:rPr>
        <w:t>2010</w:t>
      </w:r>
      <w:r w:rsidR="00C03A29" w:rsidRPr="00084D03">
        <w:rPr>
          <w:szCs w:val="22"/>
        </w:rPr>
        <w:tab/>
        <w:t xml:space="preserve">89 dagen visserijwacht met 121 </w:t>
      </w:r>
      <w:r w:rsidR="003E08D2">
        <w:rPr>
          <w:szCs w:val="22"/>
        </w:rPr>
        <w:t>controles aan boord</w:t>
      </w:r>
    </w:p>
    <w:p w:rsidR="00C03A29" w:rsidRPr="00084D03" w:rsidRDefault="00C03A29" w:rsidP="006F5A1D">
      <w:pPr>
        <w:pStyle w:val="StandaardSV"/>
        <w:ind w:left="360" w:firstLine="348"/>
        <w:rPr>
          <w:szCs w:val="22"/>
        </w:rPr>
      </w:pPr>
      <w:r w:rsidRPr="00084D03">
        <w:rPr>
          <w:szCs w:val="22"/>
        </w:rPr>
        <w:t>2011</w:t>
      </w:r>
      <w:r w:rsidRPr="00084D03">
        <w:rPr>
          <w:szCs w:val="22"/>
        </w:rPr>
        <w:tab/>
        <w:t xml:space="preserve">86 dagen visserijwacht met 99 </w:t>
      </w:r>
      <w:r w:rsidR="003E08D2">
        <w:rPr>
          <w:szCs w:val="22"/>
        </w:rPr>
        <w:t>controles aan boord</w:t>
      </w:r>
    </w:p>
    <w:p w:rsidR="00C03A29" w:rsidRPr="00084D03" w:rsidRDefault="00C03A29" w:rsidP="006F5A1D">
      <w:pPr>
        <w:pStyle w:val="StandaardSV"/>
        <w:ind w:left="360" w:firstLine="348"/>
        <w:rPr>
          <w:szCs w:val="22"/>
        </w:rPr>
      </w:pPr>
      <w:r w:rsidRPr="00084D03">
        <w:rPr>
          <w:szCs w:val="22"/>
        </w:rPr>
        <w:t>2012</w:t>
      </w:r>
      <w:r w:rsidRPr="00084D03">
        <w:rPr>
          <w:szCs w:val="22"/>
        </w:rPr>
        <w:tab/>
        <w:t xml:space="preserve">99 dagen visserijwacht met 72 </w:t>
      </w:r>
      <w:r w:rsidR="003E08D2">
        <w:rPr>
          <w:szCs w:val="22"/>
        </w:rPr>
        <w:t>controles aan boord</w:t>
      </w:r>
    </w:p>
    <w:p w:rsidR="00791AA9" w:rsidRPr="00084D03" w:rsidRDefault="00791AA9" w:rsidP="005237D8">
      <w:pPr>
        <w:pStyle w:val="StandaardSV"/>
        <w:rPr>
          <w:szCs w:val="22"/>
        </w:rPr>
      </w:pPr>
    </w:p>
    <w:p w:rsidR="00C03A29" w:rsidRPr="00084D03" w:rsidRDefault="00C03A29" w:rsidP="006F5A1D">
      <w:pPr>
        <w:pStyle w:val="StandaardSV"/>
        <w:numPr>
          <w:ilvl w:val="0"/>
          <w:numId w:val="7"/>
        </w:numPr>
        <w:rPr>
          <w:szCs w:val="22"/>
        </w:rPr>
      </w:pPr>
      <w:r w:rsidRPr="00084D03">
        <w:rPr>
          <w:szCs w:val="22"/>
        </w:rPr>
        <w:t>Zie onder 6b)</w:t>
      </w:r>
    </w:p>
    <w:p w:rsidR="00791AA9" w:rsidRPr="00084D03" w:rsidRDefault="00791AA9" w:rsidP="005237D8">
      <w:pPr>
        <w:pStyle w:val="StandaardSV"/>
        <w:rPr>
          <w:szCs w:val="22"/>
        </w:rPr>
      </w:pPr>
    </w:p>
    <w:p w:rsidR="005237D8" w:rsidRPr="00084D03" w:rsidRDefault="00C03A29" w:rsidP="006F5A1D">
      <w:pPr>
        <w:pStyle w:val="StandaardSV"/>
        <w:numPr>
          <w:ilvl w:val="0"/>
          <w:numId w:val="7"/>
        </w:numPr>
        <w:rPr>
          <w:i/>
          <w:szCs w:val="22"/>
        </w:rPr>
      </w:pPr>
      <w:r w:rsidRPr="00084D03">
        <w:rPr>
          <w:szCs w:val="22"/>
        </w:rPr>
        <w:t>Zie o</w:t>
      </w:r>
      <w:bookmarkStart w:id="0" w:name="_GoBack"/>
      <w:bookmarkEnd w:id="0"/>
      <w:r w:rsidRPr="00084D03">
        <w:rPr>
          <w:szCs w:val="22"/>
        </w:rPr>
        <w:t>nder 6c)</w:t>
      </w:r>
    </w:p>
    <w:sectPr w:rsidR="005237D8" w:rsidRPr="00084D03" w:rsidSect="0084124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72" w:rsidRDefault="006B5572">
      <w:r>
        <w:separator/>
      </w:r>
    </w:p>
  </w:endnote>
  <w:endnote w:type="continuationSeparator" w:id="0">
    <w:p w:rsidR="006B5572" w:rsidRDefault="006B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72" w:rsidRDefault="006B5572">
      <w:r>
        <w:separator/>
      </w:r>
    </w:p>
  </w:footnote>
  <w:footnote w:type="continuationSeparator" w:id="0">
    <w:p w:rsidR="006B5572" w:rsidRDefault="006B5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5673404"/>
    <w:multiLevelType w:val="hybridMultilevel"/>
    <w:tmpl w:val="1B0CE158"/>
    <w:lvl w:ilvl="0" w:tplc="A984B0EA">
      <w:start w:val="2"/>
      <w:numFmt w:val="lowerLetter"/>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05D4604"/>
    <w:multiLevelType w:val="hybridMultilevel"/>
    <w:tmpl w:val="A09E53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BF75CCC"/>
    <w:multiLevelType w:val="hybridMultilevel"/>
    <w:tmpl w:val="6D663EF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nsid w:val="34E20F01"/>
    <w:multiLevelType w:val="hybridMultilevel"/>
    <w:tmpl w:val="34F2753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A641353"/>
    <w:multiLevelType w:val="hybridMultilevel"/>
    <w:tmpl w:val="8B3632F8"/>
    <w:lvl w:ilvl="0" w:tplc="0813000F">
      <w:start w:val="1"/>
      <w:numFmt w:val="decimal"/>
      <w:lvlText w:val="%1."/>
      <w:lvlJc w:val="left"/>
      <w:pPr>
        <w:ind w:left="360" w:hanging="360"/>
      </w:pPr>
    </w:lvl>
    <w:lvl w:ilvl="1" w:tplc="72D0FD3C">
      <w:numFmt w:val="bullet"/>
      <w:lvlText w:val="-"/>
      <w:lvlJc w:val="left"/>
      <w:pPr>
        <w:ind w:left="1080" w:hanging="360"/>
      </w:pPr>
      <w:rPr>
        <w:rFonts w:ascii="Times New Roman" w:eastAsia="Times New Roman" w:hAnsi="Times New Roman"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E597E48"/>
    <w:multiLevelType w:val="hybridMultilevel"/>
    <w:tmpl w:val="E258D2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6276743"/>
    <w:multiLevelType w:val="hybridMultilevel"/>
    <w:tmpl w:val="BC209D1E"/>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DF42906"/>
    <w:multiLevelType w:val="hybridMultilevel"/>
    <w:tmpl w:val="9AA2A0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61931BAB"/>
    <w:multiLevelType w:val="hybridMultilevel"/>
    <w:tmpl w:val="322054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E8C4D44"/>
    <w:multiLevelType w:val="hybridMultilevel"/>
    <w:tmpl w:val="1EDC3BCE"/>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7"/>
  </w:num>
  <w:num w:numId="6">
    <w:abstractNumId w:val="10"/>
  </w:num>
  <w:num w:numId="7">
    <w:abstractNumId w:val="1"/>
  </w:num>
  <w:num w:numId="8">
    <w:abstractNumId w:val="5"/>
  </w:num>
  <w:num w:numId="9">
    <w:abstractNumId w:val="3"/>
  </w:num>
  <w:num w:numId="10">
    <w:abstractNumId w:val="2"/>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1544"/>
    <w:rsid w:val="00010B84"/>
    <w:rsid w:val="00011C8C"/>
    <w:rsid w:val="00057706"/>
    <w:rsid w:val="000755C2"/>
    <w:rsid w:val="00084D03"/>
    <w:rsid w:val="0008597D"/>
    <w:rsid w:val="000A5321"/>
    <w:rsid w:val="000C6B7E"/>
    <w:rsid w:val="000D046E"/>
    <w:rsid w:val="000D347A"/>
    <w:rsid w:val="000D5024"/>
    <w:rsid w:val="000E0C0B"/>
    <w:rsid w:val="000E7F72"/>
    <w:rsid w:val="00102476"/>
    <w:rsid w:val="001058E4"/>
    <w:rsid w:val="001561C9"/>
    <w:rsid w:val="0016148B"/>
    <w:rsid w:val="00170714"/>
    <w:rsid w:val="001755B2"/>
    <w:rsid w:val="001A4E37"/>
    <w:rsid w:val="001C0B52"/>
    <w:rsid w:val="001D50C6"/>
    <w:rsid w:val="001F713E"/>
    <w:rsid w:val="001F7D2A"/>
    <w:rsid w:val="00202FA9"/>
    <w:rsid w:val="002536A1"/>
    <w:rsid w:val="002821A9"/>
    <w:rsid w:val="002A4956"/>
    <w:rsid w:val="002B65A3"/>
    <w:rsid w:val="002F1544"/>
    <w:rsid w:val="00321F10"/>
    <w:rsid w:val="0032261D"/>
    <w:rsid w:val="00323AF3"/>
    <w:rsid w:val="0034616F"/>
    <w:rsid w:val="00347F5C"/>
    <w:rsid w:val="003750D5"/>
    <w:rsid w:val="003862C5"/>
    <w:rsid w:val="003900C5"/>
    <w:rsid w:val="0039205C"/>
    <w:rsid w:val="003B6A5C"/>
    <w:rsid w:val="003D5F78"/>
    <w:rsid w:val="003E08D2"/>
    <w:rsid w:val="00423F29"/>
    <w:rsid w:val="0046761C"/>
    <w:rsid w:val="0047032B"/>
    <w:rsid w:val="00472C97"/>
    <w:rsid w:val="00477EB3"/>
    <w:rsid w:val="00481D8D"/>
    <w:rsid w:val="004A56C3"/>
    <w:rsid w:val="004D21E2"/>
    <w:rsid w:val="004F3708"/>
    <w:rsid w:val="00512E83"/>
    <w:rsid w:val="00515194"/>
    <w:rsid w:val="005237D8"/>
    <w:rsid w:val="00540203"/>
    <w:rsid w:val="00540740"/>
    <w:rsid w:val="00544D37"/>
    <w:rsid w:val="00560124"/>
    <w:rsid w:val="00572902"/>
    <w:rsid w:val="005B3194"/>
    <w:rsid w:val="00625733"/>
    <w:rsid w:val="006876BD"/>
    <w:rsid w:val="006A5A3E"/>
    <w:rsid w:val="006B5572"/>
    <w:rsid w:val="006F445E"/>
    <w:rsid w:val="006F5A1D"/>
    <w:rsid w:val="007076DD"/>
    <w:rsid w:val="00723B3F"/>
    <w:rsid w:val="007408E7"/>
    <w:rsid w:val="00766C70"/>
    <w:rsid w:val="0077567F"/>
    <w:rsid w:val="007900E2"/>
    <w:rsid w:val="00791AA9"/>
    <w:rsid w:val="007B383B"/>
    <w:rsid w:val="007D2D75"/>
    <w:rsid w:val="007F17F6"/>
    <w:rsid w:val="0084124D"/>
    <w:rsid w:val="00842183"/>
    <w:rsid w:val="00867AAA"/>
    <w:rsid w:val="008A6DA3"/>
    <w:rsid w:val="008E1D97"/>
    <w:rsid w:val="008E3430"/>
    <w:rsid w:val="008E6CE1"/>
    <w:rsid w:val="008F011F"/>
    <w:rsid w:val="009511C4"/>
    <w:rsid w:val="00995A04"/>
    <w:rsid w:val="00995F79"/>
    <w:rsid w:val="009A0EA7"/>
    <w:rsid w:val="009A6335"/>
    <w:rsid w:val="009F4259"/>
    <w:rsid w:val="00A17B75"/>
    <w:rsid w:val="00A83692"/>
    <w:rsid w:val="00A8473D"/>
    <w:rsid w:val="00AD549A"/>
    <w:rsid w:val="00AE40DC"/>
    <w:rsid w:val="00B065CF"/>
    <w:rsid w:val="00B16D19"/>
    <w:rsid w:val="00B228ED"/>
    <w:rsid w:val="00B446B6"/>
    <w:rsid w:val="00B82A3E"/>
    <w:rsid w:val="00B97D7F"/>
    <w:rsid w:val="00BB2A82"/>
    <w:rsid w:val="00BB38B7"/>
    <w:rsid w:val="00BB6E27"/>
    <w:rsid w:val="00BE315B"/>
    <w:rsid w:val="00C03A29"/>
    <w:rsid w:val="00C53AA8"/>
    <w:rsid w:val="00C625C9"/>
    <w:rsid w:val="00CE2DB2"/>
    <w:rsid w:val="00CE5C0A"/>
    <w:rsid w:val="00D10A53"/>
    <w:rsid w:val="00D146CD"/>
    <w:rsid w:val="00D44CA5"/>
    <w:rsid w:val="00D4751D"/>
    <w:rsid w:val="00D5568D"/>
    <w:rsid w:val="00D61A12"/>
    <w:rsid w:val="00D67BAF"/>
    <w:rsid w:val="00DA3A9B"/>
    <w:rsid w:val="00DD67A2"/>
    <w:rsid w:val="00DE405B"/>
    <w:rsid w:val="00E14771"/>
    <w:rsid w:val="00E43487"/>
    <w:rsid w:val="00E478B9"/>
    <w:rsid w:val="00E839E8"/>
    <w:rsid w:val="00E8651F"/>
    <w:rsid w:val="00E90F22"/>
    <w:rsid w:val="00EA590B"/>
    <w:rsid w:val="00EB0A62"/>
    <w:rsid w:val="00EC7EE1"/>
    <w:rsid w:val="00F17DF2"/>
    <w:rsid w:val="00F32D9C"/>
    <w:rsid w:val="00F338DE"/>
    <w:rsid w:val="00F74FD2"/>
    <w:rsid w:val="00F95675"/>
    <w:rsid w:val="00FA31D3"/>
    <w:rsid w:val="00FD176E"/>
    <w:rsid w:val="00FF6D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124D"/>
    <w:rPr>
      <w:sz w:val="24"/>
      <w:lang w:val="nl-NL" w:eastAsia="nl-NL"/>
    </w:rPr>
  </w:style>
  <w:style w:type="paragraph" w:styleId="Kop1">
    <w:name w:val="heading 1"/>
    <w:basedOn w:val="Standaard"/>
    <w:next w:val="Standaard"/>
    <w:qFormat/>
    <w:rsid w:val="0084124D"/>
    <w:pPr>
      <w:keepNext/>
      <w:numPr>
        <w:numId w:val="1"/>
      </w:numPr>
      <w:jc w:val="both"/>
      <w:outlineLvl w:val="0"/>
    </w:pPr>
    <w:rPr>
      <w:b/>
      <w:caps/>
    </w:rPr>
  </w:style>
  <w:style w:type="paragraph" w:styleId="Kop2">
    <w:name w:val="heading 2"/>
    <w:basedOn w:val="Standaard"/>
    <w:next w:val="Standaard"/>
    <w:qFormat/>
    <w:rsid w:val="0084124D"/>
    <w:pPr>
      <w:keepNext/>
      <w:tabs>
        <w:tab w:val="num" w:pos="567"/>
      </w:tabs>
      <w:ind w:left="567" w:hanging="567"/>
      <w:outlineLvl w:val="1"/>
    </w:pPr>
    <w:rPr>
      <w:b/>
    </w:rPr>
  </w:style>
  <w:style w:type="paragraph" w:styleId="Kop3">
    <w:name w:val="heading 3"/>
    <w:basedOn w:val="Standaard"/>
    <w:next w:val="Standaard"/>
    <w:qFormat/>
    <w:rsid w:val="0084124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4124D"/>
    <w:pPr>
      <w:framePr w:w="7920" w:h="1980" w:hRule="exact" w:hSpace="141" w:wrap="auto" w:hAnchor="page" w:xAlign="center" w:yAlign="bottom"/>
      <w:ind w:left="2880"/>
    </w:pPr>
  </w:style>
  <w:style w:type="paragraph" w:styleId="Afzender">
    <w:name w:val="envelope return"/>
    <w:basedOn w:val="Standaard"/>
    <w:rsid w:val="0084124D"/>
  </w:style>
  <w:style w:type="paragraph" w:styleId="Inhopg1">
    <w:name w:val="toc 1"/>
    <w:basedOn w:val="Standaard"/>
    <w:next w:val="Standaard"/>
    <w:autoRedefine/>
    <w:semiHidden/>
    <w:rsid w:val="0084124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84124D"/>
    <w:pPr>
      <w:tabs>
        <w:tab w:val="right" w:leader="dot" w:pos="9741"/>
      </w:tabs>
      <w:spacing w:before="80" w:after="80"/>
      <w:ind w:left="1134" w:hanging="567"/>
    </w:pPr>
    <w:rPr>
      <w:noProof/>
    </w:rPr>
  </w:style>
  <w:style w:type="paragraph" w:styleId="Inhopg3">
    <w:name w:val="toc 3"/>
    <w:basedOn w:val="Standaard"/>
    <w:next w:val="Standaard"/>
    <w:autoRedefine/>
    <w:semiHidden/>
    <w:rsid w:val="0084124D"/>
    <w:pPr>
      <w:tabs>
        <w:tab w:val="right" w:leader="dot" w:pos="9741"/>
      </w:tabs>
      <w:spacing w:before="40" w:after="40"/>
      <w:ind w:left="1701" w:hanging="567"/>
    </w:pPr>
    <w:rPr>
      <w:i/>
    </w:rPr>
  </w:style>
  <w:style w:type="paragraph" w:styleId="Plattetekst2">
    <w:name w:val="Body Text 2"/>
    <w:basedOn w:val="Standaard"/>
    <w:rsid w:val="0084124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84124D"/>
    <w:pPr>
      <w:jc w:val="both"/>
    </w:pPr>
    <w:rPr>
      <w:b/>
      <w:smallCaps/>
      <w:sz w:val="22"/>
    </w:rPr>
  </w:style>
  <w:style w:type="paragraph" w:customStyle="1" w:styleId="SVTitel">
    <w:name w:val="SV Titel"/>
    <w:basedOn w:val="Standaard"/>
    <w:rsid w:val="0084124D"/>
    <w:pPr>
      <w:jc w:val="both"/>
    </w:pPr>
    <w:rPr>
      <w:i/>
      <w:sz w:val="22"/>
    </w:rPr>
  </w:style>
  <w:style w:type="paragraph" w:customStyle="1" w:styleId="StandaardSV">
    <w:name w:val="Standaard SV"/>
    <w:basedOn w:val="Standaard"/>
    <w:rsid w:val="0084124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table" w:styleId="Tabelraster">
    <w:name w:val="Table Grid"/>
    <w:basedOn w:val="Standaardtabel"/>
    <w:rsid w:val="00FF6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011F"/>
    <w:rPr>
      <w:color w:val="0000FF"/>
      <w:u w:val="single"/>
    </w:rPr>
  </w:style>
  <w:style w:type="character" w:styleId="Verwijzingopmerking">
    <w:name w:val="annotation reference"/>
    <w:rsid w:val="002A4956"/>
    <w:rPr>
      <w:sz w:val="16"/>
      <w:szCs w:val="16"/>
    </w:rPr>
  </w:style>
  <w:style w:type="paragraph" w:styleId="Tekstopmerking">
    <w:name w:val="annotation text"/>
    <w:basedOn w:val="Standaard"/>
    <w:link w:val="TekstopmerkingChar"/>
    <w:rsid w:val="002A4956"/>
    <w:rPr>
      <w:sz w:val="20"/>
    </w:rPr>
  </w:style>
  <w:style w:type="character" w:customStyle="1" w:styleId="TekstopmerkingChar">
    <w:name w:val="Tekst opmerking Char"/>
    <w:link w:val="Tekstopmerking"/>
    <w:rsid w:val="002A4956"/>
    <w:rPr>
      <w:lang w:val="nl-NL" w:eastAsia="nl-NL"/>
    </w:rPr>
  </w:style>
  <w:style w:type="paragraph" w:styleId="Onderwerpvanopmerking">
    <w:name w:val="annotation subject"/>
    <w:basedOn w:val="Tekstopmerking"/>
    <w:next w:val="Tekstopmerking"/>
    <w:link w:val="OnderwerpvanopmerkingChar"/>
    <w:rsid w:val="002A4956"/>
    <w:rPr>
      <w:b/>
      <w:bCs/>
    </w:rPr>
  </w:style>
  <w:style w:type="character" w:customStyle="1" w:styleId="OnderwerpvanopmerkingChar">
    <w:name w:val="Onderwerp van opmerking Char"/>
    <w:link w:val="Onderwerpvanopmerking"/>
    <w:rsid w:val="002A4956"/>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910701118">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088966051">
      <w:bodyDiv w:val="1"/>
      <w:marLeft w:val="0"/>
      <w:marRight w:val="0"/>
      <w:marTop w:val="0"/>
      <w:marBottom w:val="0"/>
      <w:divBdr>
        <w:top w:val="none" w:sz="0" w:space="0" w:color="auto"/>
        <w:left w:val="none" w:sz="0" w:space="0" w:color="auto"/>
        <w:bottom w:val="none" w:sz="0" w:space="0" w:color="auto"/>
        <w:right w:val="none" w:sz="0" w:space="0" w:color="auto"/>
      </w:divBdr>
      <w:divsChild>
        <w:div w:id="1609003378">
          <w:marLeft w:val="0"/>
          <w:marRight w:val="0"/>
          <w:marTop w:val="0"/>
          <w:marBottom w:val="0"/>
          <w:divBdr>
            <w:top w:val="none" w:sz="0" w:space="0" w:color="auto"/>
            <w:left w:val="none" w:sz="0" w:space="0" w:color="auto"/>
            <w:bottom w:val="none" w:sz="0" w:space="0" w:color="auto"/>
            <w:right w:val="none" w:sz="0" w:space="0" w:color="auto"/>
          </w:divBdr>
          <w:divsChild>
            <w:div w:id="1639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449">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 w:id="1720014785">
      <w:bodyDiv w:val="1"/>
      <w:marLeft w:val="0"/>
      <w:marRight w:val="0"/>
      <w:marTop w:val="0"/>
      <w:marBottom w:val="0"/>
      <w:divBdr>
        <w:top w:val="none" w:sz="0" w:space="0" w:color="auto"/>
        <w:left w:val="none" w:sz="0" w:space="0" w:color="auto"/>
        <w:bottom w:val="none" w:sz="0" w:space="0" w:color="auto"/>
        <w:right w:val="none" w:sz="0" w:space="0" w:color="auto"/>
      </w:divBdr>
    </w:div>
    <w:div w:id="1745252782">
      <w:bodyDiv w:val="1"/>
      <w:marLeft w:val="0"/>
      <w:marRight w:val="0"/>
      <w:marTop w:val="0"/>
      <w:marBottom w:val="0"/>
      <w:divBdr>
        <w:top w:val="none" w:sz="0" w:space="0" w:color="auto"/>
        <w:left w:val="none" w:sz="0" w:space="0" w:color="auto"/>
        <w:bottom w:val="none" w:sz="0" w:space="0" w:color="auto"/>
        <w:right w:val="none" w:sz="0" w:space="0" w:color="auto"/>
      </w:divBdr>
    </w:div>
    <w:div w:id="1810707596">
      <w:bodyDiv w:val="1"/>
      <w:marLeft w:val="0"/>
      <w:marRight w:val="0"/>
      <w:marTop w:val="0"/>
      <w:marBottom w:val="0"/>
      <w:divBdr>
        <w:top w:val="none" w:sz="0" w:space="0" w:color="auto"/>
        <w:left w:val="none" w:sz="0" w:space="0" w:color="auto"/>
        <w:bottom w:val="none" w:sz="0" w:space="0" w:color="auto"/>
        <w:right w:val="none" w:sz="0" w:space="0" w:color="auto"/>
      </w:divBdr>
    </w:div>
    <w:div w:id="20558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A2F9-9F9A-4709-879B-A2F57F3B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7219</CharactersWithSpaces>
  <SharedDoc>false</SharedDoc>
  <HLinks>
    <vt:vector size="6" baseType="variant">
      <vt:variant>
        <vt:i4>786434</vt:i4>
      </vt:variant>
      <vt:variant>
        <vt:i4>0</vt:i4>
      </vt:variant>
      <vt:variant>
        <vt:i4>0</vt:i4>
      </vt:variant>
      <vt:variant>
        <vt:i4>5</vt:i4>
      </vt:variant>
      <vt:variant>
        <vt:lpwstr>http://www.vlaanderen.be/landbouw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2013-08-16T09:45:00Z</cp:lastPrinted>
  <dcterms:created xsi:type="dcterms:W3CDTF">2013-09-23T07:41:00Z</dcterms:created>
  <dcterms:modified xsi:type="dcterms:W3CDTF">2013-10-01T13:46:00Z</dcterms:modified>
</cp:coreProperties>
</file>