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45" w:rsidRPr="00693743" w:rsidRDefault="00530E45" w:rsidP="00530E45">
      <w:pPr>
        <w:jc w:val="both"/>
        <w:rPr>
          <w:rFonts w:ascii="Times New Roman Vet" w:hAnsi="Times New Roman Vet"/>
          <w:smallCaps/>
          <w:sz w:val="22"/>
          <w:szCs w:val="22"/>
          <w:lang w:val="nl-BE"/>
        </w:rPr>
      </w:pPr>
      <w:proofErr w:type="spellStart"/>
      <w:r w:rsidRPr="00693743">
        <w:rPr>
          <w:rFonts w:ascii="Times New Roman Vet" w:hAnsi="Times New Roman Vet"/>
          <w:b/>
          <w:smallCaps/>
          <w:sz w:val="22"/>
          <w:szCs w:val="22"/>
          <w:lang w:val="nl-BE"/>
        </w:rPr>
        <w:t>ingrid</w:t>
      </w:r>
      <w:proofErr w:type="spellEnd"/>
      <w:r w:rsidRPr="00693743">
        <w:rPr>
          <w:rFonts w:ascii="Times New Roman Vet" w:hAnsi="Times New Roman Vet"/>
          <w:b/>
          <w:smallCaps/>
          <w:sz w:val="22"/>
          <w:szCs w:val="22"/>
          <w:lang w:val="nl-BE"/>
        </w:rPr>
        <w:t xml:space="preserve"> lieten</w:t>
      </w:r>
    </w:p>
    <w:p w:rsidR="00530E45" w:rsidRPr="00693743" w:rsidRDefault="00530E45" w:rsidP="00530E45">
      <w:pPr>
        <w:pStyle w:val="StandaardSV"/>
        <w:pBdr>
          <w:bottom w:val="single" w:sz="4" w:space="1" w:color="auto"/>
        </w:pBdr>
        <w:rPr>
          <w:smallCaps/>
          <w:szCs w:val="22"/>
          <w:lang w:val="nl-BE"/>
        </w:rPr>
      </w:pPr>
      <w:r w:rsidRPr="00693743">
        <w:rPr>
          <w:smallCaps/>
          <w:szCs w:val="22"/>
          <w:lang w:val="nl-BE"/>
        </w:rPr>
        <w:t xml:space="preserve">viceminister-president van de </w:t>
      </w:r>
      <w:proofErr w:type="spellStart"/>
      <w:r w:rsidRPr="00693743">
        <w:rPr>
          <w:smallCaps/>
          <w:szCs w:val="22"/>
          <w:lang w:val="nl-BE"/>
        </w:rPr>
        <w:t>vlaamse</w:t>
      </w:r>
      <w:proofErr w:type="spellEnd"/>
      <w:r w:rsidRPr="00693743">
        <w:rPr>
          <w:smallCaps/>
          <w:szCs w:val="22"/>
          <w:lang w:val="nl-BE"/>
        </w:rPr>
        <w:t xml:space="preserve"> regering, </w:t>
      </w:r>
      <w:proofErr w:type="spellStart"/>
      <w:r w:rsidRPr="00693743">
        <w:rPr>
          <w:smallCaps/>
          <w:szCs w:val="22"/>
          <w:lang w:val="nl-BE"/>
        </w:rPr>
        <w:t>vlaams</w:t>
      </w:r>
      <w:proofErr w:type="spellEnd"/>
      <w:r w:rsidRPr="00693743">
        <w:rPr>
          <w:smallCaps/>
          <w:szCs w:val="22"/>
          <w:lang w:val="nl-BE"/>
        </w:rPr>
        <w:t xml:space="preserve"> minister van innovatie, overheidsinvesteringen, media en armoedebestrijding</w:t>
      </w:r>
    </w:p>
    <w:p w:rsidR="00530E45" w:rsidRDefault="00530E45" w:rsidP="00530E45">
      <w:pPr>
        <w:pStyle w:val="StandaardSV"/>
        <w:pBdr>
          <w:bottom w:val="single" w:sz="4" w:space="1" w:color="auto"/>
        </w:pBdr>
      </w:pPr>
    </w:p>
    <w:p w:rsidR="00530E45" w:rsidRDefault="00530E45" w:rsidP="00530E45">
      <w:pPr>
        <w:jc w:val="both"/>
        <w:rPr>
          <w:sz w:val="22"/>
        </w:rPr>
      </w:pPr>
    </w:p>
    <w:p w:rsidR="00E81637" w:rsidRDefault="00E81637" w:rsidP="00530E45">
      <w:pPr>
        <w:jc w:val="both"/>
        <w:rPr>
          <w:sz w:val="22"/>
        </w:rPr>
      </w:pPr>
      <w:r>
        <w:rPr>
          <w:b/>
          <w:smallCaps/>
          <w:sz w:val="22"/>
        </w:rPr>
        <w:t>a</w:t>
      </w:r>
      <w:r w:rsidR="002E2293" w:rsidRPr="00E81637">
        <w:rPr>
          <w:b/>
          <w:smallCaps/>
          <w:sz w:val="22"/>
        </w:rPr>
        <w:t>ntwoord</w:t>
      </w:r>
      <w:r w:rsidR="002E2293">
        <w:rPr>
          <w:sz w:val="22"/>
        </w:rPr>
        <w:t xml:space="preserve"> </w:t>
      </w:r>
    </w:p>
    <w:p w:rsidR="00530E45" w:rsidRDefault="002E2293" w:rsidP="00530E45">
      <w:pPr>
        <w:jc w:val="both"/>
        <w:rPr>
          <w:sz w:val="22"/>
        </w:rPr>
      </w:pPr>
      <w:r>
        <w:rPr>
          <w:sz w:val="22"/>
        </w:rPr>
        <w:t>op v</w:t>
      </w:r>
      <w:r w:rsidR="00530E45">
        <w:rPr>
          <w:sz w:val="22"/>
        </w:rPr>
        <w:t>raag nr. 473</w:t>
      </w:r>
      <w:r w:rsidR="00E81637">
        <w:rPr>
          <w:sz w:val="22"/>
        </w:rPr>
        <w:t xml:space="preserve"> </w:t>
      </w:r>
      <w:r w:rsidR="00530E45">
        <w:rPr>
          <w:sz w:val="22"/>
        </w:rPr>
        <w:t>van 17 juni 2013</w:t>
      </w:r>
    </w:p>
    <w:p w:rsidR="00530E45" w:rsidRDefault="00530E45" w:rsidP="00530E45">
      <w:pPr>
        <w:pStyle w:val="StandaardSV"/>
        <w:rPr>
          <w:b/>
        </w:rPr>
      </w:pPr>
      <w:r>
        <w:t xml:space="preserve">van </w:t>
      </w:r>
      <w:proofErr w:type="spellStart"/>
      <w:r>
        <w:rPr>
          <w:b/>
          <w:smallCaps/>
        </w:rPr>
        <w:t>matthias</w:t>
      </w:r>
      <w:proofErr w:type="spellEnd"/>
      <w:r>
        <w:rPr>
          <w:b/>
          <w:smallCaps/>
        </w:rPr>
        <w:t xml:space="preserve"> </w:t>
      </w:r>
      <w:proofErr w:type="spellStart"/>
      <w:r>
        <w:rPr>
          <w:b/>
          <w:smallCaps/>
        </w:rPr>
        <w:t>diependaele</w:t>
      </w:r>
      <w:proofErr w:type="spellEnd"/>
    </w:p>
    <w:p w:rsidR="00530E45" w:rsidRDefault="00530E45" w:rsidP="00530E45">
      <w:pPr>
        <w:pBdr>
          <w:bottom w:val="single" w:sz="4" w:space="1" w:color="auto"/>
        </w:pBdr>
        <w:jc w:val="both"/>
        <w:rPr>
          <w:sz w:val="22"/>
        </w:rPr>
      </w:pPr>
    </w:p>
    <w:p w:rsidR="00530E45" w:rsidRDefault="00530E45" w:rsidP="00530E45">
      <w:pPr>
        <w:pStyle w:val="StandaardSV"/>
      </w:pPr>
    </w:p>
    <w:p w:rsidR="00530E45" w:rsidRPr="00530E45" w:rsidRDefault="00530E45" w:rsidP="00530E45">
      <w:pPr>
        <w:pStyle w:val="StandaardSV"/>
      </w:pPr>
    </w:p>
    <w:p w:rsidR="00EB47F0" w:rsidRPr="002E2293" w:rsidRDefault="002E2293" w:rsidP="00F57CA3">
      <w:pPr>
        <w:pStyle w:val="StandaardSV"/>
        <w:numPr>
          <w:ilvl w:val="0"/>
          <w:numId w:val="24"/>
        </w:numPr>
      </w:pPr>
      <w:r>
        <w:t xml:space="preserve">Het aantal </w:t>
      </w:r>
      <w:r w:rsidR="00530E45" w:rsidRPr="00530E45">
        <w:t xml:space="preserve">elektrische wagens en hybride wagens </w:t>
      </w:r>
      <w:r>
        <w:t>die</w:t>
      </w:r>
      <w:r w:rsidR="00530E45" w:rsidRPr="00530E45">
        <w:t xml:space="preserve"> in de eerste jaarhelft van 2013 ingeschreven </w:t>
      </w:r>
      <w:r>
        <w:t xml:space="preserve">werden </w:t>
      </w:r>
      <w:r w:rsidR="00530E45" w:rsidRPr="00530E45">
        <w:t xml:space="preserve">in Vlaanderen en </w:t>
      </w:r>
      <w:r w:rsidR="00530E45" w:rsidRPr="002E2293">
        <w:t>België</w:t>
      </w:r>
      <w:r w:rsidRPr="002E2293">
        <w:t xml:space="preserve"> </w:t>
      </w:r>
      <w:r w:rsidR="00F57CA3" w:rsidRPr="002E2293">
        <w:t xml:space="preserve"> (Bron FOD Mobiliteit en Vervoer)</w:t>
      </w:r>
      <w:r w:rsidRPr="002E2293">
        <w:t xml:space="preserve">  :</w:t>
      </w:r>
    </w:p>
    <w:p w:rsidR="002E2293" w:rsidRDefault="002E2293" w:rsidP="00F57CA3">
      <w:pPr>
        <w:pStyle w:val="StandaardSV"/>
        <w:rPr>
          <w:u w:val="single"/>
        </w:rPr>
      </w:pPr>
    </w:p>
    <w:p w:rsidR="00EB47F0" w:rsidRPr="002E2293" w:rsidRDefault="00EB47F0" w:rsidP="00F92C23">
      <w:pPr>
        <w:pStyle w:val="StandaardSV"/>
        <w:ind w:left="426"/>
        <w:rPr>
          <w:u w:val="single"/>
        </w:rPr>
      </w:pPr>
      <w:r w:rsidRPr="002E2293">
        <w:rPr>
          <w:u w:val="single"/>
        </w:rPr>
        <w:t xml:space="preserve">Opmerking : dit zijn de cijfers voor EV en PHEV </w:t>
      </w:r>
      <w:r w:rsidR="000040C0" w:rsidRPr="002E2293">
        <w:rPr>
          <w:u w:val="single"/>
        </w:rPr>
        <w:t xml:space="preserve">in de categorie N1 en M1 </w:t>
      </w:r>
      <w:r w:rsidRPr="002E2293">
        <w:rPr>
          <w:u w:val="single"/>
        </w:rPr>
        <w:t xml:space="preserve">(de gewone </w:t>
      </w:r>
      <w:proofErr w:type="spellStart"/>
      <w:r w:rsidRPr="002E2293">
        <w:rPr>
          <w:u w:val="single"/>
        </w:rPr>
        <w:t>hybrides</w:t>
      </w:r>
      <w:proofErr w:type="spellEnd"/>
      <w:r w:rsidRPr="002E2293">
        <w:rPr>
          <w:u w:val="single"/>
        </w:rPr>
        <w:t xml:space="preserve"> zijn niet opgenomen in deze statistiek)</w:t>
      </w:r>
    </w:p>
    <w:p w:rsidR="00F57CA3" w:rsidRPr="002E2293" w:rsidRDefault="00F57CA3" w:rsidP="00F92C23">
      <w:pPr>
        <w:pStyle w:val="StandaardSV"/>
        <w:ind w:left="426"/>
      </w:pPr>
    </w:p>
    <w:p w:rsidR="00F57CA3" w:rsidRPr="002E2293" w:rsidRDefault="00F57CA3" w:rsidP="00F92C23">
      <w:pPr>
        <w:pStyle w:val="StandaardSV"/>
        <w:ind w:left="426"/>
      </w:pPr>
      <w:r w:rsidRPr="002E2293">
        <w:t>Personenwagens (M1):</w:t>
      </w:r>
    </w:p>
    <w:p w:rsidR="00F57CA3" w:rsidRPr="002E2293" w:rsidRDefault="00F57CA3" w:rsidP="00F92C23">
      <w:pPr>
        <w:pStyle w:val="StandaardSV"/>
        <w:ind w:left="426"/>
      </w:pPr>
      <w:r w:rsidRPr="002E2293">
        <w:t>België:</w:t>
      </w:r>
    </w:p>
    <w:p w:rsidR="00F57CA3" w:rsidRPr="002E2293" w:rsidRDefault="00F57CA3" w:rsidP="00F92C23">
      <w:pPr>
        <w:pStyle w:val="StandaardSV"/>
        <w:ind w:left="426"/>
      </w:pPr>
      <w:r w:rsidRPr="002E2293">
        <w:t>Totaal aantal ingeschreven nieuwe voertuigen 01/2013-06/2013: 292.920</w:t>
      </w:r>
    </w:p>
    <w:p w:rsidR="00F57CA3" w:rsidRPr="002E2293" w:rsidRDefault="00F57CA3" w:rsidP="00F92C23">
      <w:pPr>
        <w:pStyle w:val="StandaardSV"/>
        <w:ind w:left="426"/>
      </w:pPr>
      <w:r w:rsidRPr="002E2293">
        <w:t>Aantal elektrische voertuigen: 136</w:t>
      </w:r>
    </w:p>
    <w:p w:rsidR="00F57CA3" w:rsidRPr="002E2293" w:rsidRDefault="00F57CA3" w:rsidP="00F92C23">
      <w:pPr>
        <w:pStyle w:val="StandaardSV"/>
        <w:ind w:left="426"/>
      </w:pPr>
      <w:r w:rsidRPr="002E2293">
        <w:t>aantal plug--in hybride voertuigen: 158</w:t>
      </w:r>
    </w:p>
    <w:p w:rsidR="00F57CA3" w:rsidRPr="002E2293" w:rsidRDefault="00F57CA3" w:rsidP="00F92C23">
      <w:pPr>
        <w:pStyle w:val="StandaardSV"/>
        <w:ind w:left="426"/>
      </w:pPr>
    </w:p>
    <w:p w:rsidR="00F57CA3" w:rsidRPr="002E2293" w:rsidRDefault="00F57CA3" w:rsidP="00F92C23">
      <w:pPr>
        <w:pStyle w:val="StandaardSV"/>
        <w:ind w:left="426"/>
      </w:pPr>
      <w:r w:rsidRPr="002E2293">
        <w:t>Personenwagens (M1):</w:t>
      </w:r>
    </w:p>
    <w:p w:rsidR="00F57CA3" w:rsidRPr="002E2293" w:rsidRDefault="00F57CA3" w:rsidP="00F92C23">
      <w:pPr>
        <w:pStyle w:val="StandaardSV"/>
        <w:ind w:left="426"/>
      </w:pPr>
      <w:r w:rsidRPr="002E2293">
        <w:t xml:space="preserve">Vlaanderen: </w:t>
      </w:r>
    </w:p>
    <w:p w:rsidR="00F57CA3" w:rsidRPr="002E2293" w:rsidRDefault="00F57CA3" w:rsidP="00F92C23">
      <w:pPr>
        <w:pStyle w:val="StandaardSV"/>
        <w:ind w:left="426"/>
      </w:pPr>
      <w:r w:rsidRPr="002E2293">
        <w:t>Totaal aantal ingeschreven nieuwe voe</w:t>
      </w:r>
      <w:r w:rsidR="003F5812" w:rsidRPr="002E2293">
        <w:t>rtuigen 01/2013-06/2013: 163.161</w:t>
      </w:r>
    </w:p>
    <w:p w:rsidR="00F57CA3" w:rsidRPr="002E2293" w:rsidRDefault="00F57CA3" w:rsidP="00F92C23">
      <w:pPr>
        <w:pStyle w:val="StandaardSV"/>
        <w:ind w:left="426"/>
      </w:pPr>
      <w:r w:rsidRPr="002E2293">
        <w:t>Aantal elektrische voertuigen: 81</w:t>
      </w:r>
    </w:p>
    <w:p w:rsidR="00F57CA3" w:rsidRPr="002E2293" w:rsidRDefault="00F57CA3" w:rsidP="00F92C23">
      <w:pPr>
        <w:pStyle w:val="StandaardSV"/>
        <w:ind w:left="426"/>
      </w:pPr>
      <w:r w:rsidRPr="002E2293">
        <w:t>aantal plug--in hybride voertuigen: 115</w:t>
      </w:r>
    </w:p>
    <w:p w:rsidR="00F57CA3" w:rsidRPr="002E2293" w:rsidRDefault="00F57CA3" w:rsidP="00F92C23">
      <w:pPr>
        <w:pStyle w:val="StandaardSV"/>
        <w:ind w:left="426"/>
      </w:pPr>
    </w:p>
    <w:p w:rsidR="00F57CA3" w:rsidRPr="002E2293" w:rsidRDefault="00F57CA3" w:rsidP="00F92C23">
      <w:pPr>
        <w:pStyle w:val="StandaardSV"/>
        <w:ind w:left="426"/>
      </w:pPr>
      <w:r w:rsidRPr="002E2293">
        <w:t>Lichte vrachtwagens (N1):</w:t>
      </w:r>
    </w:p>
    <w:p w:rsidR="00F57CA3" w:rsidRPr="002E2293" w:rsidRDefault="00F57CA3" w:rsidP="00F92C23">
      <w:pPr>
        <w:pStyle w:val="StandaardSV"/>
        <w:ind w:left="426"/>
      </w:pPr>
      <w:r w:rsidRPr="002E2293">
        <w:t>België:</w:t>
      </w:r>
    </w:p>
    <w:p w:rsidR="00F57CA3" w:rsidRPr="002E2293" w:rsidRDefault="00F57CA3" w:rsidP="00F92C23">
      <w:pPr>
        <w:pStyle w:val="StandaardSV"/>
        <w:ind w:left="426"/>
      </w:pPr>
      <w:r w:rsidRPr="002E2293">
        <w:t>Totaal aantal ingeschreven nieuwe voertuigen 01/2013-06/2013: 31.495</w:t>
      </w:r>
    </w:p>
    <w:p w:rsidR="00F57CA3" w:rsidRPr="002E2293" w:rsidRDefault="00F57CA3" w:rsidP="00F92C23">
      <w:pPr>
        <w:pStyle w:val="StandaardSV"/>
        <w:ind w:left="426"/>
      </w:pPr>
      <w:r w:rsidRPr="002E2293">
        <w:t>Aantal elektrische voertuigen: 60</w:t>
      </w:r>
    </w:p>
    <w:p w:rsidR="00F57CA3" w:rsidRPr="002E2293" w:rsidRDefault="00F57CA3" w:rsidP="00F92C23">
      <w:pPr>
        <w:pStyle w:val="StandaardSV"/>
        <w:ind w:left="426"/>
      </w:pPr>
      <w:r w:rsidRPr="002E2293">
        <w:t>aantal plug--in hybride voertuigen: /</w:t>
      </w:r>
    </w:p>
    <w:p w:rsidR="00F57CA3" w:rsidRPr="002E2293" w:rsidRDefault="00F57CA3" w:rsidP="00F92C23">
      <w:pPr>
        <w:pStyle w:val="StandaardSV"/>
        <w:ind w:left="426"/>
      </w:pPr>
    </w:p>
    <w:p w:rsidR="00F57CA3" w:rsidRPr="002E2293" w:rsidRDefault="00F57CA3" w:rsidP="00F92C23">
      <w:pPr>
        <w:pStyle w:val="StandaardSV"/>
        <w:ind w:left="426"/>
      </w:pPr>
      <w:r w:rsidRPr="002E2293">
        <w:t>Lichte vrachtwagens (N1):</w:t>
      </w:r>
    </w:p>
    <w:p w:rsidR="00F57CA3" w:rsidRPr="002E2293" w:rsidRDefault="00F57CA3" w:rsidP="00F92C23">
      <w:pPr>
        <w:pStyle w:val="StandaardSV"/>
        <w:ind w:left="426"/>
      </w:pPr>
      <w:r w:rsidRPr="002E2293">
        <w:t xml:space="preserve">Vlaanderen: </w:t>
      </w:r>
    </w:p>
    <w:p w:rsidR="00F57CA3" w:rsidRPr="002E2293" w:rsidRDefault="00F57CA3" w:rsidP="00F92C23">
      <w:pPr>
        <w:pStyle w:val="StandaardSV"/>
        <w:ind w:left="426"/>
      </w:pPr>
      <w:r w:rsidRPr="002E2293">
        <w:t>Totaal aantal ingeschreven nieuwe voertuigen 01/2013-06/2013: 18.855</w:t>
      </w:r>
    </w:p>
    <w:p w:rsidR="00F57CA3" w:rsidRPr="002E2293" w:rsidRDefault="00F57CA3" w:rsidP="00F92C23">
      <w:pPr>
        <w:pStyle w:val="StandaardSV"/>
        <w:ind w:left="426"/>
      </w:pPr>
      <w:r w:rsidRPr="002E2293">
        <w:t>Aantal elektrische voertuigen: 39</w:t>
      </w:r>
    </w:p>
    <w:p w:rsidR="00530E45" w:rsidRPr="002E2293" w:rsidRDefault="00F57CA3" w:rsidP="00F92C23">
      <w:pPr>
        <w:pStyle w:val="StandaardSV"/>
        <w:ind w:left="426"/>
      </w:pPr>
      <w:r w:rsidRPr="002E2293">
        <w:t>aantal plug--in hybride voertuigen: /</w:t>
      </w:r>
    </w:p>
    <w:p w:rsidR="00F57CA3" w:rsidRPr="002E2293" w:rsidRDefault="00F57CA3" w:rsidP="00F92C23">
      <w:pPr>
        <w:pStyle w:val="StandaardSV"/>
        <w:ind w:left="426"/>
      </w:pPr>
    </w:p>
    <w:p w:rsidR="00F57CA3" w:rsidRPr="002E2293" w:rsidRDefault="002E2293" w:rsidP="00F92C23">
      <w:pPr>
        <w:pStyle w:val="StandaardSV"/>
        <w:ind w:left="426"/>
      </w:pPr>
      <w:r w:rsidRPr="002E2293">
        <w:t>Wanneer men de cijfers met andere Europese landen vergelijkt blijkt dat de</w:t>
      </w:r>
      <w:r w:rsidR="00F57CA3" w:rsidRPr="002E2293">
        <w:t xml:space="preserve"> cijfers zeer uiteenlopend </w:t>
      </w:r>
      <w:r>
        <w:t xml:space="preserve">zijn </w:t>
      </w:r>
      <w:r w:rsidR="00EB47F0" w:rsidRPr="002E2293">
        <w:t xml:space="preserve">per land </w:t>
      </w:r>
      <w:r w:rsidR="00F57CA3" w:rsidRPr="002E2293">
        <w:t xml:space="preserve">en sterk afhankelijk van de </w:t>
      </w:r>
      <w:r w:rsidR="00EB47F0" w:rsidRPr="002E2293">
        <w:t>nationale</w:t>
      </w:r>
      <w:r w:rsidR="00F57CA3" w:rsidRPr="002E2293">
        <w:t xml:space="preserve"> incentives. </w:t>
      </w:r>
      <w:r w:rsidR="00EB47F0" w:rsidRPr="002E2293">
        <w:t xml:space="preserve">Landen waar elektrische voertuigen fiscaal heel attractief zijn, zoals Nederland en Noorwegen, hebben veel hogere aandelen van elektrische voertuigen in de new sales. Noorwegen scoort het hoogste en heeft een aandeel van 2 à 3 % van elektrische voertuigen in new </w:t>
      </w:r>
      <w:proofErr w:type="spellStart"/>
      <w:r w:rsidR="00EB47F0" w:rsidRPr="002E2293">
        <w:t>car</w:t>
      </w:r>
      <w:proofErr w:type="spellEnd"/>
      <w:r w:rsidR="00EB47F0" w:rsidRPr="002E2293">
        <w:t xml:space="preserve"> sales. In België ligt dit in 2013 rond de 0,1% (zie vraag 2).</w:t>
      </w:r>
    </w:p>
    <w:p w:rsidR="00283D5C" w:rsidRPr="002E2293" w:rsidRDefault="00283D5C" w:rsidP="00F57CA3">
      <w:pPr>
        <w:pStyle w:val="StandaardSV"/>
      </w:pPr>
    </w:p>
    <w:p w:rsidR="00530E45" w:rsidRPr="002E2293" w:rsidRDefault="00283D5C" w:rsidP="00530E45">
      <w:pPr>
        <w:pStyle w:val="StandaardSV"/>
        <w:numPr>
          <w:ilvl w:val="0"/>
          <w:numId w:val="24"/>
        </w:numPr>
      </w:pPr>
      <w:r>
        <w:t>H</w:t>
      </w:r>
      <w:r w:rsidR="00530E45" w:rsidRPr="002E2293">
        <w:t>et marktaandeel in de eerste helft van 2013 van de elektrische en hybride voertuigen ten aanzien van het totaal</w:t>
      </w:r>
      <w:r w:rsidR="00076E7F">
        <w:t xml:space="preserve"> </w:t>
      </w:r>
      <w:r w:rsidR="00530E45" w:rsidRPr="002E2293">
        <w:t>aantal ingeschreven voertuigen in Vlaanderen en Bel</w:t>
      </w:r>
      <w:r>
        <w:t>gië</w:t>
      </w:r>
      <w:r w:rsidR="00A73FA5">
        <w:t xml:space="preserve"> </w:t>
      </w:r>
      <w:r w:rsidR="00A73FA5" w:rsidRPr="002E2293">
        <w:t xml:space="preserve">(Bron FOD Mobiliteit en Vervoer)  </w:t>
      </w:r>
    </w:p>
    <w:p w:rsidR="00530E45" w:rsidRPr="002E2293" w:rsidRDefault="00530E45" w:rsidP="00530E45">
      <w:pPr>
        <w:pStyle w:val="StandaardSV"/>
      </w:pPr>
    </w:p>
    <w:p w:rsidR="00A610EA" w:rsidRPr="002E2293" w:rsidRDefault="004F307D" w:rsidP="00530E45">
      <w:pPr>
        <w:pStyle w:val="StandaardSV"/>
      </w:pPr>
      <w:r>
        <w:rPr>
          <w:noProof/>
          <w:lang w:val="nl-BE" w:eastAsia="nl-BE"/>
        </w:rPr>
        <w:lastRenderedPageBreak/>
        <w:drawing>
          <wp:inline distT="0" distB="0" distL="0" distR="0">
            <wp:extent cx="5972175" cy="3905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72175" cy="3905250"/>
                    </a:xfrm>
                    <a:prstGeom prst="rect">
                      <a:avLst/>
                    </a:prstGeom>
                    <a:noFill/>
                    <a:ln w="9525">
                      <a:noFill/>
                      <a:miter lim="800000"/>
                      <a:headEnd/>
                      <a:tailEnd/>
                    </a:ln>
                  </pic:spPr>
                </pic:pic>
              </a:graphicData>
            </a:graphic>
          </wp:inline>
        </w:drawing>
      </w:r>
    </w:p>
    <w:p w:rsidR="00EB47F0" w:rsidRDefault="00EB47F0" w:rsidP="00530E45">
      <w:pPr>
        <w:pStyle w:val="StandaardSV"/>
      </w:pPr>
    </w:p>
    <w:p w:rsidR="00283D5C" w:rsidRPr="002E2293" w:rsidRDefault="00283D5C" w:rsidP="00530E45">
      <w:pPr>
        <w:pStyle w:val="StandaardSV"/>
      </w:pPr>
    </w:p>
    <w:p w:rsidR="00902A1E" w:rsidRPr="002E2293" w:rsidRDefault="00902A1E" w:rsidP="00283D5C">
      <w:pPr>
        <w:pStyle w:val="StandaardSV"/>
        <w:numPr>
          <w:ilvl w:val="0"/>
          <w:numId w:val="24"/>
        </w:numPr>
      </w:pPr>
      <w:bookmarkStart w:id="0" w:name="_GoBack"/>
      <w:r w:rsidRPr="002E2293">
        <w:t>De meest recente stand van zaken binnen het kader van de proeftuin rond laadpunten staat beschreven in het jaarverslag dat op 14 maart 2013 aan de “Commissie voor Economie, Economisch overheidsinstrumentarium, innovatie, wetenschapsbeleid, Werk en Sociale Economie” is toegelicht door het Programme Office. Momenteel wordt er gewerkt aan een update van de indicatoren rond laadpunten, voertuigen,</w:t>
      </w:r>
      <w:r w:rsidR="00076E7F">
        <w:t xml:space="preserve"> E.V.</w:t>
      </w:r>
      <w:r w:rsidRPr="002E2293">
        <w:t xml:space="preserve"> datamonitoring, … Dit tussentijds verslag zal publiek beschikbaar zijn </w:t>
      </w:r>
      <w:r w:rsidR="00076E7F">
        <w:t>bij</w:t>
      </w:r>
      <w:r w:rsidRPr="002E2293">
        <w:t xml:space="preserve"> het </w:t>
      </w:r>
      <w:r w:rsidR="00076E7F">
        <w:t>begin</w:t>
      </w:r>
      <w:r w:rsidRPr="002E2293">
        <w:t xml:space="preserve"> van het</w:t>
      </w:r>
      <w:r w:rsidR="00076E7F">
        <w:t xml:space="preserve"> nieuwe</w:t>
      </w:r>
      <w:r w:rsidRPr="002E2293">
        <w:t xml:space="preserve"> parlementair </w:t>
      </w:r>
      <w:r w:rsidR="00076E7F">
        <w:t>jaar</w:t>
      </w:r>
      <w:r w:rsidRPr="002E2293">
        <w:t xml:space="preserve">. </w:t>
      </w:r>
    </w:p>
    <w:p w:rsidR="00902A1E" w:rsidRPr="002E2293" w:rsidRDefault="00902A1E" w:rsidP="00902A1E">
      <w:pPr>
        <w:pStyle w:val="StandaardSV"/>
      </w:pPr>
    </w:p>
    <w:p w:rsidR="00902A1E" w:rsidRPr="002E2293" w:rsidRDefault="00902A1E" w:rsidP="00283D5C">
      <w:pPr>
        <w:pStyle w:val="StandaardSV"/>
        <w:ind w:left="360"/>
      </w:pPr>
      <w:r w:rsidRPr="002E2293">
        <w:t xml:space="preserve">Qua laadpunten was het merendeel van de uitrol van de infrastructuur reeds verwezenlijkt in de loop van 2012. In 2013 zal er binnen </w:t>
      </w:r>
      <w:proofErr w:type="spellStart"/>
      <w:r w:rsidRPr="002E2293">
        <w:t>iMOVE</w:t>
      </w:r>
      <w:proofErr w:type="spellEnd"/>
      <w:r w:rsidRPr="002E2293">
        <w:t xml:space="preserve"> nog wel een verhuis van laadpunten voorzien worden van het private domein naar het publieke domein in het Infrax werkingsgebied. Daarnaast </w:t>
      </w:r>
      <w:r w:rsidR="004308FB" w:rsidRPr="002E2293">
        <w:t>wordt er door alle platformen ook continu nagestreefd om laadpunten van buiten de proeftuin aan de platformen te koppelen, zowel voor het normaal laden als voor het snelladen.</w:t>
      </w:r>
    </w:p>
    <w:p w:rsidR="00530E45" w:rsidRPr="002E2293" w:rsidRDefault="00530E45" w:rsidP="00530E45">
      <w:pPr>
        <w:pStyle w:val="StandaardSV"/>
      </w:pPr>
    </w:p>
    <w:p w:rsidR="00185A6B" w:rsidRPr="002E2293" w:rsidRDefault="004308FB" w:rsidP="00283D5C">
      <w:pPr>
        <w:pStyle w:val="StandaardSV"/>
        <w:numPr>
          <w:ilvl w:val="0"/>
          <w:numId w:val="24"/>
        </w:numPr>
      </w:pPr>
      <w:r w:rsidRPr="002E2293">
        <w:t xml:space="preserve">Het aantal snelladers is in Vlaanderen momenteel nog relatief beperkt, maar de interesse vanuit de markt lijkt wel te groeien. </w:t>
      </w:r>
      <w:r w:rsidR="00C202D3" w:rsidRPr="002E2293">
        <w:t>Zo is Delhaize bezig met het plaatsen van 12 snelladers op zijn parkings</w:t>
      </w:r>
      <w:r w:rsidR="00CD5EA2" w:rsidRPr="002E2293">
        <w:t xml:space="preserve"> en neemt ook Nissan initiatieven om snelladers te plaatsen bij hun eigen dealers en i.s.m. met </w:t>
      </w:r>
      <w:proofErr w:type="spellStart"/>
      <w:r w:rsidR="00CD5EA2" w:rsidRPr="002E2293">
        <w:t>markstspelers</w:t>
      </w:r>
      <w:proofErr w:type="spellEnd"/>
      <w:r w:rsidR="00CD5EA2" w:rsidRPr="002E2293">
        <w:t xml:space="preserve"> zoals The New Motion op andere locaties.</w:t>
      </w:r>
    </w:p>
    <w:p w:rsidR="00185A6B" w:rsidRPr="002E2293" w:rsidRDefault="00185A6B" w:rsidP="004308FB">
      <w:pPr>
        <w:pStyle w:val="StandaardSV"/>
      </w:pPr>
    </w:p>
    <w:p w:rsidR="009F7337" w:rsidRPr="002E2293" w:rsidRDefault="004308FB" w:rsidP="00283D5C">
      <w:pPr>
        <w:pStyle w:val="StandaardSV"/>
        <w:ind w:left="360"/>
      </w:pPr>
      <w:r w:rsidRPr="002E2293">
        <w:t>Binnen de proeftuin lag de focus bij indienen van de dossiers hoofdzakelijk o</w:t>
      </w:r>
      <w:r w:rsidR="00283D5C">
        <w:t>p</w:t>
      </w:r>
      <w:r w:rsidRPr="002E2293">
        <w:t xml:space="preserve"> het normaal laden op publiek en </w:t>
      </w:r>
      <w:proofErr w:type="spellStart"/>
      <w:r w:rsidRPr="002E2293">
        <w:t>semi-publiek</w:t>
      </w:r>
      <w:proofErr w:type="spellEnd"/>
      <w:r w:rsidRPr="002E2293">
        <w:t xml:space="preserve"> domein. </w:t>
      </w:r>
      <w:r w:rsidR="009F7337" w:rsidRPr="002E2293">
        <w:t xml:space="preserve">Binnen </w:t>
      </w:r>
      <w:proofErr w:type="spellStart"/>
      <w:r w:rsidR="009F7337" w:rsidRPr="002E2293">
        <w:t>iMOVE</w:t>
      </w:r>
      <w:proofErr w:type="spellEnd"/>
      <w:r w:rsidR="009F7337" w:rsidRPr="002E2293">
        <w:t xml:space="preserve"> zijn er </w:t>
      </w:r>
      <w:r w:rsidR="004E6D80" w:rsidRPr="002E2293">
        <w:t xml:space="preserve">5 </w:t>
      </w:r>
      <w:r w:rsidR="009F7337" w:rsidRPr="002E2293">
        <w:t xml:space="preserve">snelladers </w:t>
      </w:r>
      <w:r w:rsidR="004E6D80" w:rsidRPr="002E2293">
        <w:t xml:space="preserve">(met telkens 2 aansluitpunten) </w:t>
      </w:r>
      <w:r w:rsidR="009F7337" w:rsidRPr="002E2293">
        <w:t xml:space="preserve">voorzien en bij de andere platformen zijn er ook contacten lopende met een aantal bedrijven om </w:t>
      </w:r>
      <w:proofErr w:type="spellStart"/>
      <w:r w:rsidR="009F7337" w:rsidRPr="002E2293">
        <w:t>snellaadinfrastructuur</w:t>
      </w:r>
      <w:proofErr w:type="spellEnd"/>
      <w:r w:rsidR="009F7337" w:rsidRPr="002E2293">
        <w:t xml:space="preserve"> aan de proeftuin te koppelen door </w:t>
      </w:r>
      <w:r w:rsidR="00E710A3" w:rsidRPr="002E2293">
        <w:t>via een project samen te werken</w:t>
      </w:r>
      <w:r w:rsidR="00283D5C">
        <w:t>.</w:t>
      </w:r>
    </w:p>
    <w:p w:rsidR="00C202D3" w:rsidRPr="002E2293" w:rsidRDefault="00C202D3" w:rsidP="00283D5C">
      <w:pPr>
        <w:pStyle w:val="StandaardSV"/>
        <w:ind w:left="360"/>
      </w:pPr>
    </w:p>
    <w:p w:rsidR="007C4B8F" w:rsidRPr="002E2293" w:rsidRDefault="007C4B8F" w:rsidP="00283D5C">
      <w:pPr>
        <w:pStyle w:val="StandaardSV"/>
        <w:ind w:left="360"/>
      </w:pPr>
      <w:r w:rsidRPr="002E2293">
        <w:t xml:space="preserve">Binnen </w:t>
      </w:r>
      <w:proofErr w:type="spellStart"/>
      <w:r w:rsidRPr="002E2293">
        <w:t>iMOVE</w:t>
      </w:r>
      <w:proofErr w:type="spellEnd"/>
      <w:r w:rsidRPr="002E2293">
        <w:t xml:space="preserve"> zijn er </w:t>
      </w:r>
      <w:r w:rsidR="004E6D80" w:rsidRPr="002E2293">
        <w:t xml:space="preserve">dus </w:t>
      </w:r>
      <w:r w:rsidRPr="002E2293">
        <w:t xml:space="preserve">5 snelladers voorzien met elk 2 aansluitpunten (dus 10 in totaal) : 5 aansluitpunten op basis van de </w:t>
      </w:r>
      <w:proofErr w:type="spellStart"/>
      <w:r w:rsidRPr="002E2293">
        <w:t>CHAdeMO</w:t>
      </w:r>
      <w:proofErr w:type="spellEnd"/>
      <w:r w:rsidRPr="002E2293">
        <w:t xml:space="preserve"> standaard en 5 aansluitpunten met de COMBO2. Van deze 5 is er 1 snellader reeds geïnstalleerd op een P&amp;R in Antwerpen. Voor de 4 andere zijn de besprekingen in de laatste fase. Alle snelladers gaan werken met een laadpas, alsook het SMS systeem en smartphone app zodat iedereen op elk moment toegang krijgt tot deze snellaadpunten.</w:t>
      </w:r>
    </w:p>
    <w:p w:rsidR="002C3651" w:rsidRPr="002E2293" w:rsidRDefault="00283D5C" w:rsidP="00283D5C">
      <w:pPr>
        <w:pStyle w:val="StandaardSV"/>
        <w:numPr>
          <w:ilvl w:val="0"/>
          <w:numId w:val="24"/>
        </w:numPr>
      </w:pPr>
      <w:r>
        <w:lastRenderedPageBreak/>
        <w:t xml:space="preserve">Voor de proeftuin </w:t>
      </w:r>
      <w:r w:rsidR="00E710A3" w:rsidRPr="002E2293">
        <w:t xml:space="preserve">zijn deze aantallen bekend (zie jaarverslag 14/3/2013). </w:t>
      </w:r>
    </w:p>
    <w:p w:rsidR="002C3651" w:rsidRPr="002E2293" w:rsidRDefault="002C3651" w:rsidP="00E710A3">
      <w:pPr>
        <w:pStyle w:val="StandaardSV"/>
      </w:pPr>
    </w:p>
    <w:p w:rsidR="002C3651" w:rsidRPr="002E2293" w:rsidRDefault="00E710A3" w:rsidP="00283D5C">
      <w:pPr>
        <w:pStyle w:val="StandaardSV"/>
        <w:ind w:left="360"/>
      </w:pPr>
      <w:r w:rsidRPr="002E2293">
        <w:t>Voor de andere laadpalen in Vlaanderen</w:t>
      </w:r>
      <w:r w:rsidR="00283D5C">
        <w:t xml:space="preserve"> zijn</w:t>
      </w:r>
      <w:r w:rsidRPr="002E2293">
        <w:t xml:space="preserve"> dergelijke data veel moeilijker te bekomen omdat deze informatie versnipperd zit over tal van m</w:t>
      </w:r>
      <w:r w:rsidR="002010BD" w:rsidRPr="002E2293">
        <w:t>arktpartijen. Tal van websites trachten zoveel mogelijk laadlocaties te verzamelen, maar geen enkele is</w:t>
      </w:r>
      <w:r w:rsidR="00C638E6">
        <w:t xml:space="preserve"> heden</w:t>
      </w:r>
      <w:r w:rsidR="002010BD" w:rsidRPr="002E2293">
        <w:t xml:space="preserve"> up-to-date of </w:t>
      </w:r>
      <w:r w:rsidR="00C638E6">
        <w:t xml:space="preserve"> voldoende </w:t>
      </w:r>
      <w:r w:rsidR="009E129F">
        <w:t>accuraat</w:t>
      </w:r>
      <w:r w:rsidR="002010BD" w:rsidRPr="002E2293">
        <w:t xml:space="preserve">. De website van ASBE lijkt op dit moment de meest uitgebreide </w:t>
      </w:r>
      <w:r w:rsidR="002C3651" w:rsidRPr="002E2293">
        <w:t xml:space="preserve">(410 locaties op 8/7/2013) </w:t>
      </w:r>
      <w:r w:rsidR="002010BD" w:rsidRPr="002E2293">
        <w:t xml:space="preserve">en hierin zitten ook een groot deel van de publieke laadpunten van de proeftuin. Maar zeker </w:t>
      </w:r>
      <w:r w:rsidR="00226514">
        <w:t>het aantal</w:t>
      </w:r>
      <w:r w:rsidR="002010BD" w:rsidRPr="002E2293">
        <w:t xml:space="preserve"> </w:t>
      </w:r>
      <w:proofErr w:type="spellStart"/>
      <w:r w:rsidR="002010BD" w:rsidRPr="002E2293">
        <w:t>semi-publieke</w:t>
      </w:r>
      <w:proofErr w:type="spellEnd"/>
      <w:r w:rsidR="002010BD" w:rsidRPr="002E2293">
        <w:t xml:space="preserve"> laadpunten up-to-date houden</w:t>
      </w:r>
      <w:r w:rsidR="00226514">
        <w:t xml:space="preserve"> is niet evident.</w:t>
      </w:r>
      <w:r w:rsidR="002010BD" w:rsidRPr="002E2293">
        <w:t xml:space="preserve">. </w:t>
      </w:r>
    </w:p>
    <w:p w:rsidR="002C3651" w:rsidRPr="002E2293" w:rsidRDefault="002C3651" w:rsidP="00283D5C">
      <w:pPr>
        <w:pStyle w:val="StandaardSV"/>
        <w:ind w:left="360"/>
      </w:pPr>
    </w:p>
    <w:p w:rsidR="00E710A3" w:rsidRPr="002E2293" w:rsidRDefault="002010BD" w:rsidP="00283D5C">
      <w:pPr>
        <w:pStyle w:val="StandaardSV"/>
        <w:ind w:left="360"/>
      </w:pPr>
      <w:r w:rsidRPr="002E2293">
        <w:t>De proeftuin is zich van het belang van een up-to-date overzicht voor de eindgebruiker bewust en is met de marktpartijen op zoek naar een oplossing om toch het grootste deel van de laadpalen in een centraal systeem verzameld te krijgen</w:t>
      </w:r>
      <w:r w:rsidR="00B7662E" w:rsidRPr="002E2293">
        <w:t xml:space="preserve"> en dit op een zo dynamisch mogelijke manier</w:t>
      </w:r>
      <w:r w:rsidRPr="002E2293">
        <w:t xml:space="preserve">. </w:t>
      </w:r>
      <w:r w:rsidR="00B7662E" w:rsidRPr="002E2293">
        <w:t>Deze data k</w:t>
      </w:r>
      <w:r w:rsidR="00984959">
        <w:t>unnen</w:t>
      </w:r>
      <w:r w:rsidR="00B7662E" w:rsidRPr="002E2293">
        <w:t xml:space="preserve"> als i</w:t>
      </w:r>
      <w:r w:rsidR="00020BA2" w:rsidRPr="002E2293">
        <w:t>n</w:t>
      </w:r>
      <w:r w:rsidR="00B7662E" w:rsidRPr="002E2293">
        <w:t xml:space="preserve">put dienen voor een mobiele app waarin de eindgebruikers de laadlocaties </w:t>
      </w:r>
      <w:r w:rsidR="00020BA2" w:rsidRPr="002E2293">
        <w:t xml:space="preserve">binnen Vlaanderen </w:t>
      </w:r>
      <w:r w:rsidR="00B7662E" w:rsidRPr="002E2293">
        <w:t>kunnen</w:t>
      </w:r>
      <w:r w:rsidR="00020BA2" w:rsidRPr="002E2293">
        <w:t xml:space="preserve"> terugvinden</w:t>
      </w:r>
      <w:r w:rsidR="00B7662E" w:rsidRPr="002E2293">
        <w:t xml:space="preserve">. </w:t>
      </w:r>
      <w:r w:rsidRPr="002E2293">
        <w:t>Binnen de werkgroep interoperabiliteit wordt dit op dit moment besproken.</w:t>
      </w:r>
    </w:p>
    <w:p w:rsidR="00530E45" w:rsidRPr="002E2293" w:rsidRDefault="00530E45" w:rsidP="00530E45">
      <w:pPr>
        <w:pStyle w:val="StandaardSV"/>
      </w:pPr>
    </w:p>
    <w:p w:rsidR="002C3651" w:rsidRPr="002E2293" w:rsidRDefault="002C3651" w:rsidP="00984959">
      <w:pPr>
        <w:pStyle w:val="StandaardSV"/>
        <w:numPr>
          <w:ilvl w:val="0"/>
          <w:numId w:val="24"/>
        </w:numPr>
      </w:pPr>
      <w:r w:rsidRPr="002E2293">
        <w:t xml:space="preserve">De meest recente stand van zaken binnen het kader van de proeftuin rond voertuigen staat beschreven in het jaarverslag dat op 14 maart 2013 aan de “Commissie voor Economie, Economisch overheidsinstrumentarium, innovatie, wetenschapsbeleid, Werk en Sociale Economie” is toegelicht door het Programme Office. </w:t>
      </w:r>
    </w:p>
    <w:p w:rsidR="002C3651" w:rsidRPr="002E2293" w:rsidRDefault="002C3651" w:rsidP="002C3651">
      <w:pPr>
        <w:pStyle w:val="StandaardSV"/>
      </w:pPr>
    </w:p>
    <w:p w:rsidR="00595AC1" w:rsidRPr="002E2293" w:rsidRDefault="002C3651" w:rsidP="00984959">
      <w:pPr>
        <w:pStyle w:val="StandaardSV"/>
        <w:ind w:left="360"/>
      </w:pPr>
      <w:r w:rsidRPr="002E2293">
        <w:t>Gedurende 2013 zijn en zullen nog een aantal extra elektrische voertuigen in gebruik</w:t>
      </w:r>
      <w:r w:rsidR="00F9279E" w:rsidRPr="002E2293">
        <w:t xml:space="preserve"> genomen worden</w:t>
      </w:r>
      <w:r w:rsidRPr="002E2293">
        <w:t xml:space="preserve">. </w:t>
      </w:r>
      <w:r w:rsidR="00F9279E" w:rsidRPr="002E2293">
        <w:t xml:space="preserve">In het jaarverslag was beschreven dat een aantal proeftuinpartners nog bijkomende voertuigen gingen aanschaffen of bouwen. </w:t>
      </w:r>
      <w:r w:rsidRPr="002E2293">
        <w:t xml:space="preserve">Zo zijn </w:t>
      </w:r>
      <w:r w:rsidR="00F9279E" w:rsidRPr="002E2293">
        <w:t xml:space="preserve">op het </w:t>
      </w:r>
      <w:proofErr w:type="spellStart"/>
      <w:r w:rsidR="00F9279E" w:rsidRPr="002E2293">
        <w:t>EVTecLab</w:t>
      </w:r>
      <w:proofErr w:type="spellEnd"/>
      <w:r w:rsidR="00F9279E" w:rsidRPr="002E2293">
        <w:t xml:space="preserve"> event op 23/5/2013 een bijkomende elektrische </w:t>
      </w:r>
      <w:r w:rsidRPr="002E2293">
        <w:t>bestelwa</w:t>
      </w:r>
      <w:r w:rsidR="00F9279E" w:rsidRPr="002E2293">
        <w:t xml:space="preserve">gen van Punch </w:t>
      </w:r>
      <w:proofErr w:type="spellStart"/>
      <w:r w:rsidR="00F9279E" w:rsidRPr="002E2293">
        <w:t>Powertrain</w:t>
      </w:r>
      <w:proofErr w:type="spellEnd"/>
      <w:r w:rsidR="00F9279E" w:rsidRPr="002E2293">
        <w:t xml:space="preserve"> </w:t>
      </w:r>
      <w:r w:rsidRPr="002E2293">
        <w:t xml:space="preserve">en ook de eerste elektrische vrachtwagen </w:t>
      </w:r>
      <w:r w:rsidR="00F9279E" w:rsidRPr="002E2293">
        <w:t xml:space="preserve">van E-Trucks </w:t>
      </w:r>
      <w:r w:rsidRPr="002E2293">
        <w:t>gele</w:t>
      </w:r>
      <w:r w:rsidR="00B7662E" w:rsidRPr="002E2293">
        <w:t>verd aan respectievelijk Flanders' DRIVE en de Stad Lommel.</w:t>
      </w:r>
    </w:p>
    <w:p w:rsidR="00595AC1" w:rsidRPr="002E2293" w:rsidRDefault="00595AC1" w:rsidP="00984959">
      <w:pPr>
        <w:pStyle w:val="StandaardSV"/>
        <w:ind w:left="360"/>
      </w:pPr>
    </w:p>
    <w:p w:rsidR="002C3651" w:rsidRPr="002E2293" w:rsidRDefault="00595AC1" w:rsidP="00984959">
      <w:pPr>
        <w:pStyle w:val="StandaardSV"/>
        <w:ind w:left="360"/>
      </w:pPr>
      <w:r w:rsidRPr="002E2293">
        <w:t xml:space="preserve">Momenteel wordt er gewerkt aan een update van de indicatoren rond laadpunten, voertuigen, datamonitoring, … Dit tussentijds verslag zal publiek beschikbaar zijn </w:t>
      </w:r>
      <w:r w:rsidR="00226514">
        <w:t>bij het begin</w:t>
      </w:r>
      <w:r w:rsidRPr="002E2293">
        <w:t xml:space="preserve"> van het</w:t>
      </w:r>
      <w:r w:rsidR="00226514">
        <w:t xml:space="preserve"> nieuwe </w:t>
      </w:r>
      <w:r w:rsidRPr="002E2293">
        <w:t xml:space="preserve">parlementair </w:t>
      </w:r>
      <w:r w:rsidR="00226514">
        <w:t>jaar</w:t>
      </w:r>
      <w:r w:rsidRPr="002E2293">
        <w:t>.</w:t>
      </w:r>
    </w:p>
    <w:p w:rsidR="00530E45" w:rsidRPr="00530E45" w:rsidRDefault="00530E45" w:rsidP="00530E45">
      <w:pPr>
        <w:pStyle w:val="StandaardSV"/>
      </w:pPr>
    </w:p>
    <w:p w:rsidR="00530E45" w:rsidRPr="00530E45" w:rsidRDefault="00530E45" w:rsidP="00530E45">
      <w:pPr>
        <w:pStyle w:val="StandaardSV"/>
        <w:numPr>
          <w:ilvl w:val="0"/>
          <w:numId w:val="24"/>
        </w:numPr>
      </w:pPr>
      <w:r w:rsidRPr="00530E45">
        <w:t>Wa</w:t>
      </w:r>
      <w:r>
        <w:t>t is de stand van zaken van de “</w:t>
      </w:r>
      <w:proofErr w:type="spellStart"/>
      <w:r w:rsidRPr="00530E45">
        <w:t>position</w:t>
      </w:r>
      <w:proofErr w:type="spellEnd"/>
      <w:r w:rsidRPr="00530E45">
        <w:t xml:space="preserve"> paper</w:t>
      </w:r>
      <w:r>
        <w:t>”</w:t>
      </w:r>
      <w:r w:rsidRPr="00530E45">
        <w:t xml:space="preserve"> aangeleverd door partners in de proeftuin, bedrijven en organisaties waarin beleidsaanbevelingen worden aangereikt? Wanneer </w:t>
      </w:r>
      <w:r>
        <w:t>verwacht de minister</w:t>
      </w:r>
      <w:r w:rsidRPr="00530E45">
        <w:t xml:space="preserve"> die </w:t>
      </w:r>
      <w:proofErr w:type="spellStart"/>
      <w:r w:rsidRPr="00530E45">
        <w:t>position</w:t>
      </w:r>
      <w:proofErr w:type="spellEnd"/>
      <w:r w:rsidRPr="00530E45">
        <w:t xml:space="preserve"> paper in handen te krijgen en welke concrete gevolgen zal </w:t>
      </w:r>
      <w:r>
        <w:t>ze</w:t>
      </w:r>
      <w:r w:rsidRPr="00530E45">
        <w:t xml:space="preserve"> eraan geven? Overweegt de minister op basis van deze </w:t>
      </w:r>
      <w:proofErr w:type="spellStart"/>
      <w:r w:rsidRPr="00530E45">
        <w:t>position</w:t>
      </w:r>
      <w:proofErr w:type="spellEnd"/>
      <w:r w:rsidRPr="00530E45">
        <w:t xml:space="preserve"> p</w:t>
      </w:r>
      <w:r>
        <w:t>aper overleg binnen de Vlaamse R</w:t>
      </w:r>
      <w:r w:rsidRPr="00530E45">
        <w:t>egering om flankerende maatregelen ter stimulering van de elektrische wagen uit te werken?</w:t>
      </w:r>
    </w:p>
    <w:p w:rsidR="00CF0947" w:rsidRDefault="000E37A7" w:rsidP="000E37A7">
      <w:pPr>
        <w:pStyle w:val="SVVlaamsParlement"/>
      </w:pPr>
      <w:r w:rsidRPr="00E16219">
        <w:t xml:space="preserve"> </w:t>
      </w:r>
    </w:p>
    <w:p w:rsidR="001643DB" w:rsidRPr="003F51E2" w:rsidRDefault="00DE53AF" w:rsidP="00F92C23">
      <w:pPr>
        <w:pStyle w:val="StandaardSV"/>
        <w:ind w:left="360"/>
        <w:rPr>
          <w:i/>
        </w:rPr>
      </w:pPr>
      <w:r w:rsidRPr="00E80E50">
        <w:t xml:space="preserve">De </w:t>
      </w:r>
      <w:proofErr w:type="spellStart"/>
      <w:r w:rsidRPr="00E80E50">
        <w:t>position</w:t>
      </w:r>
      <w:proofErr w:type="spellEnd"/>
      <w:r w:rsidRPr="00E80E50">
        <w:t xml:space="preserve"> paper werd op 28 juni jl. als mededeling geagendeerd op de Vlaamse regering.</w:t>
      </w:r>
      <w:r w:rsidR="00E80E50">
        <w:t xml:space="preserve"> Uitgaande </w:t>
      </w:r>
      <w:r w:rsidRPr="00E80E50">
        <w:t xml:space="preserve"> </w:t>
      </w:r>
      <w:r w:rsidR="00E80E50">
        <w:t xml:space="preserve">van deze </w:t>
      </w:r>
      <w:proofErr w:type="spellStart"/>
      <w:r w:rsidR="00E80E50">
        <w:t>position</w:t>
      </w:r>
      <w:proofErr w:type="spellEnd"/>
      <w:r w:rsidR="00E80E50">
        <w:t xml:space="preserve"> paper zal </w:t>
      </w:r>
      <w:r w:rsidRPr="00E80E50">
        <w:t xml:space="preserve">een nota </w:t>
      </w:r>
      <w:r w:rsidR="00E80E50">
        <w:t xml:space="preserve">voor de Vlaamse Regering opgesteld worden </w:t>
      </w:r>
      <w:r w:rsidRPr="00E80E50">
        <w:t>met concrete voorstellen van maatregelen</w:t>
      </w:r>
      <w:r w:rsidR="004F307D" w:rsidRPr="00E80E50">
        <w:t xml:space="preserve"> </w:t>
      </w:r>
      <w:r w:rsidR="00FF78B0" w:rsidRPr="00FF78B0">
        <w:t>voor de verschillende beleidsniveaus</w:t>
      </w:r>
      <w:r w:rsidR="00FF78B0" w:rsidRPr="00FF78B0">
        <w:rPr>
          <w:i/>
        </w:rPr>
        <w:t xml:space="preserve"> </w:t>
      </w:r>
      <w:r w:rsidR="004F307D" w:rsidRPr="00E80E50">
        <w:t xml:space="preserve">ter stimulering van </w:t>
      </w:r>
      <w:r w:rsidR="00E80E50">
        <w:t xml:space="preserve">het gebruik van </w:t>
      </w:r>
      <w:r w:rsidR="004F307D" w:rsidRPr="00E80E50">
        <w:t>de elektrische wagen</w:t>
      </w:r>
      <w:r w:rsidR="00E80E50">
        <w:t>.</w:t>
      </w:r>
      <w:r w:rsidR="004F307D" w:rsidRPr="00E80E50">
        <w:t xml:space="preserve"> </w:t>
      </w:r>
      <w:bookmarkEnd w:id="0"/>
    </w:p>
    <w:sectPr w:rsidR="001643DB" w:rsidRPr="003F51E2" w:rsidSect="0034048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2C615C7"/>
    <w:multiLevelType w:val="hybridMultilevel"/>
    <w:tmpl w:val="AC04C3A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44E73C2"/>
    <w:multiLevelType w:val="hybridMultilevel"/>
    <w:tmpl w:val="2FFEAD4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2BAB0CEE"/>
    <w:multiLevelType w:val="hybridMultilevel"/>
    <w:tmpl w:val="ECC4CAA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1ED1A9A"/>
    <w:multiLevelType w:val="hybridMultilevel"/>
    <w:tmpl w:val="72689E6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9B4752C"/>
    <w:multiLevelType w:val="hybridMultilevel"/>
    <w:tmpl w:val="6978AF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16D0805"/>
    <w:multiLevelType w:val="hybridMultilevel"/>
    <w:tmpl w:val="BC56A9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6">
    <w:nsid w:val="547559E3"/>
    <w:multiLevelType w:val="hybridMultilevel"/>
    <w:tmpl w:val="0BD2E77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55DF1B13"/>
    <w:multiLevelType w:val="hybridMultilevel"/>
    <w:tmpl w:val="07E6696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57DB34F2"/>
    <w:multiLevelType w:val="hybridMultilevel"/>
    <w:tmpl w:val="3F90D4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D4E52CB"/>
    <w:multiLevelType w:val="hybridMultilevel"/>
    <w:tmpl w:val="817276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675908BA"/>
    <w:multiLevelType w:val="hybridMultilevel"/>
    <w:tmpl w:val="3954AC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6B805842"/>
    <w:multiLevelType w:val="hybridMultilevel"/>
    <w:tmpl w:val="2618CE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4BA4BC4"/>
    <w:multiLevelType w:val="hybridMultilevel"/>
    <w:tmpl w:val="7938F0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0"/>
  </w:num>
  <w:num w:numId="5">
    <w:abstractNumId w:val="13"/>
  </w:num>
  <w:num w:numId="6">
    <w:abstractNumId w:val="5"/>
  </w:num>
  <w:num w:numId="7">
    <w:abstractNumId w:val="4"/>
  </w:num>
  <w:num w:numId="8">
    <w:abstractNumId w:val="14"/>
  </w:num>
  <w:num w:numId="9">
    <w:abstractNumId w:val="8"/>
  </w:num>
  <w:num w:numId="10">
    <w:abstractNumId w:val="0"/>
  </w:num>
  <w:num w:numId="11">
    <w:abstractNumId w:val="22"/>
  </w:num>
  <w:num w:numId="12">
    <w:abstractNumId w:val="2"/>
  </w:num>
  <w:num w:numId="13">
    <w:abstractNumId w:val="9"/>
  </w:num>
  <w:num w:numId="14">
    <w:abstractNumId w:val="24"/>
  </w:num>
  <w:num w:numId="15">
    <w:abstractNumId w:val="1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12"/>
  </w:num>
  <w:num w:numId="20">
    <w:abstractNumId w:val="3"/>
  </w:num>
  <w:num w:numId="21">
    <w:abstractNumId w:val="19"/>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040C0"/>
    <w:rsid w:val="00020BA2"/>
    <w:rsid w:val="000464A2"/>
    <w:rsid w:val="00070064"/>
    <w:rsid w:val="00071DA4"/>
    <w:rsid w:val="00076E7F"/>
    <w:rsid w:val="00080040"/>
    <w:rsid w:val="000B727F"/>
    <w:rsid w:val="000E37A7"/>
    <w:rsid w:val="001643DB"/>
    <w:rsid w:val="00171F2E"/>
    <w:rsid w:val="00185A6B"/>
    <w:rsid w:val="00187BFC"/>
    <w:rsid w:val="001E4BBA"/>
    <w:rsid w:val="002010BD"/>
    <w:rsid w:val="00226514"/>
    <w:rsid w:val="002340D2"/>
    <w:rsid w:val="00283D5C"/>
    <w:rsid w:val="002C3651"/>
    <w:rsid w:val="002E2293"/>
    <w:rsid w:val="00302955"/>
    <w:rsid w:val="0034048E"/>
    <w:rsid w:val="00343A8F"/>
    <w:rsid w:val="003B7BC7"/>
    <w:rsid w:val="003F5812"/>
    <w:rsid w:val="00422651"/>
    <w:rsid w:val="00427E2D"/>
    <w:rsid w:val="004308FB"/>
    <w:rsid w:val="004343D2"/>
    <w:rsid w:val="004D7979"/>
    <w:rsid w:val="004E6D80"/>
    <w:rsid w:val="004F307D"/>
    <w:rsid w:val="005051B9"/>
    <w:rsid w:val="00530E45"/>
    <w:rsid w:val="00556747"/>
    <w:rsid w:val="00594B2E"/>
    <w:rsid w:val="00595AC1"/>
    <w:rsid w:val="005A0D53"/>
    <w:rsid w:val="00600F43"/>
    <w:rsid w:val="00610ACD"/>
    <w:rsid w:val="00626F46"/>
    <w:rsid w:val="00667CE6"/>
    <w:rsid w:val="00693743"/>
    <w:rsid w:val="006F29F5"/>
    <w:rsid w:val="006F49EA"/>
    <w:rsid w:val="00702FF6"/>
    <w:rsid w:val="0078435B"/>
    <w:rsid w:val="007A7738"/>
    <w:rsid w:val="007C168B"/>
    <w:rsid w:val="007C4B8F"/>
    <w:rsid w:val="007E2BBA"/>
    <w:rsid w:val="00820D93"/>
    <w:rsid w:val="0083747B"/>
    <w:rsid w:val="00842F2E"/>
    <w:rsid w:val="00844521"/>
    <w:rsid w:val="008E3C7C"/>
    <w:rsid w:val="00902A1E"/>
    <w:rsid w:val="00910320"/>
    <w:rsid w:val="00941198"/>
    <w:rsid w:val="00984959"/>
    <w:rsid w:val="009864CE"/>
    <w:rsid w:val="009C170D"/>
    <w:rsid w:val="009E129F"/>
    <w:rsid w:val="009F10A6"/>
    <w:rsid w:val="009F3657"/>
    <w:rsid w:val="009F7337"/>
    <w:rsid w:val="00A610EA"/>
    <w:rsid w:val="00A65905"/>
    <w:rsid w:val="00A73FA5"/>
    <w:rsid w:val="00AD78E8"/>
    <w:rsid w:val="00B6547D"/>
    <w:rsid w:val="00B7662E"/>
    <w:rsid w:val="00BD07FB"/>
    <w:rsid w:val="00C202D3"/>
    <w:rsid w:val="00C638E6"/>
    <w:rsid w:val="00C75C7E"/>
    <w:rsid w:val="00C86D54"/>
    <w:rsid w:val="00CA1E50"/>
    <w:rsid w:val="00CA6208"/>
    <w:rsid w:val="00CB2006"/>
    <w:rsid w:val="00CC63C8"/>
    <w:rsid w:val="00CD5EA2"/>
    <w:rsid w:val="00CF0947"/>
    <w:rsid w:val="00CF4E65"/>
    <w:rsid w:val="00D17866"/>
    <w:rsid w:val="00D666E0"/>
    <w:rsid w:val="00DE53AF"/>
    <w:rsid w:val="00DF6517"/>
    <w:rsid w:val="00E44AB0"/>
    <w:rsid w:val="00E710A3"/>
    <w:rsid w:val="00E80E50"/>
    <w:rsid w:val="00E81637"/>
    <w:rsid w:val="00EB47F0"/>
    <w:rsid w:val="00EF296F"/>
    <w:rsid w:val="00F52CAF"/>
    <w:rsid w:val="00F57CA3"/>
    <w:rsid w:val="00F72631"/>
    <w:rsid w:val="00F9279E"/>
    <w:rsid w:val="00F92C23"/>
    <w:rsid w:val="00FC1093"/>
    <w:rsid w:val="00FC489F"/>
    <w:rsid w:val="00FF78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048E"/>
    <w:rPr>
      <w:sz w:val="24"/>
      <w:lang w:val="nl-NL" w:eastAsia="nl-NL"/>
    </w:rPr>
  </w:style>
  <w:style w:type="paragraph" w:styleId="Kop1">
    <w:name w:val="heading 1"/>
    <w:basedOn w:val="Standaard"/>
    <w:next w:val="Standaard"/>
    <w:qFormat/>
    <w:rsid w:val="0034048E"/>
    <w:pPr>
      <w:keepNext/>
      <w:numPr>
        <w:numId w:val="2"/>
      </w:numPr>
      <w:jc w:val="both"/>
      <w:outlineLvl w:val="0"/>
    </w:pPr>
    <w:rPr>
      <w:b/>
      <w:caps/>
    </w:rPr>
  </w:style>
  <w:style w:type="paragraph" w:styleId="Kop2">
    <w:name w:val="heading 2"/>
    <w:basedOn w:val="Standaard"/>
    <w:next w:val="Standaard"/>
    <w:qFormat/>
    <w:rsid w:val="0034048E"/>
    <w:pPr>
      <w:keepNext/>
      <w:tabs>
        <w:tab w:val="num" w:pos="567"/>
      </w:tabs>
      <w:ind w:left="567" w:hanging="567"/>
      <w:outlineLvl w:val="1"/>
    </w:pPr>
    <w:rPr>
      <w:b/>
    </w:rPr>
  </w:style>
  <w:style w:type="paragraph" w:styleId="Kop3">
    <w:name w:val="heading 3"/>
    <w:basedOn w:val="Standaard"/>
    <w:next w:val="Standaard"/>
    <w:qFormat/>
    <w:rsid w:val="0034048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34048E"/>
    <w:pPr>
      <w:framePr w:w="7920" w:h="1980" w:hRule="exact" w:hSpace="141" w:wrap="auto" w:hAnchor="page" w:xAlign="center" w:yAlign="bottom"/>
      <w:ind w:left="2880"/>
    </w:pPr>
  </w:style>
  <w:style w:type="paragraph" w:styleId="Afzender">
    <w:name w:val="envelope return"/>
    <w:basedOn w:val="Standaard"/>
    <w:rsid w:val="0034048E"/>
  </w:style>
  <w:style w:type="paragraph" w:styleId="Inhopg1">
    <w:name w:val="toc 1"/>
    <w:basedOn w:val="Standaard"/>
    <w:next w:val="Standaard"/>
    <w:autoRedefine/>
    <w:semiHidden/>
    <w:rsid w:val="0034048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34048E"/>
    <w:pPr>
      <w:tabs>
        <w:tab w:val="right" w:leader="dot" w:pos="9741"/>
      </w:tabs>
      <w:spacing w:before="80" w:after="80"/>
      <w:ind w:left="1134" w:hanging="567"/>
    </w:pPr>
    <w:rPr>
      <w:noProof/>
    </w:rPr>
  </w:style>
  <w:style w:type="paragraph" w:styleId="Inhopg3">
    <w:name w:val="toc 3"/>
    <w:basedOn w:val="Standaard"/>
    <w:next w:val="Standaard"/>
    <w:autoRedefine/>
    <w:semiHidden/>
    <w:rsid w:val="0034048E"/>
    <w:pPr>
      <w:tabs>
        <w:tab w:val="right" w:leader="dot" w:pos="9741"/>
      </w:tabs>
      <w:spacing w:before="40" w:after="40"/>
      <w:ind w:left="1701" w:hanging="567"/>
    </w:pPr>
    <w:rPr>
      <w:i/>
    </w:rPr>
  </w:style>
  <w:style w:type="paragraph" w:styleId="Plattetekst2">
    <w:name w:val="Body Text 2"/>
    <w:basedOn w:val="Standaard"/>
    <w:rsid w:val="0034048E"/>
    <w:pPr>
      <w:jc w:val="both"/>
    </w:pPr>
    <w:rPr>
      <w:i/>
      <w:sz w:val="22"/>
    </w:rPr>
  </w:style>
  <w:style w:type="paragraph" w:styleId="Normaalweb">
    <w:name w:val="Normal (Web)"/>
    <w:basedOn w:val="Standaard"/>
    <w:uiPriority w:val="99"/>
    <w:unhideWhenUsed/>
    <w:rsid w:val="001643DB"/>
    <w:pPr>
      <w:spacing w:before="100" w:beforeAutospacing="1" w:after="100" w:afterAutospacing="1"/>
    </w:pPr>
    <w:rPr>
      <w:szCs w:val="24"/>
      <w:lang w:val="nl-BE" w:eastAsia="nl-BE"/>
    </w:rPr>
  </w:style>
  <w:style w:type="paragraph" w:customStyle="1" w:styleId="SVVlaamsParlement">
    <w:name w:val="SV Vlaams Parlement"/>
    <w:basedOn w:val="Standaard"/>
    <w:rsid w:val="0034048E"/>
    <w:pPr>
      <w:jc w:val="both"/>
    </w:pPr>
    <w:rPr>
      <w:b/>
      <w:smallCaps/>
      <w:sz w:val="22"/>
    </w:rPr>
  </w:style>
  <w:style w:type="paragraph" w:customStyle="1" w:styleId="SVTitel">
    <w:name w:val="SV Titel"/>
    <w:basedOn w:val="Standaard"/>
    <w:rsid w:val="0034048E"/>
    <w:pPr>
      <w:jc w:val="both"/>
    </w:pPr>
    <w:rPr>
      <w:i/>
      <w:sz w:val="22"/>
    </w:rPr>
  </w:style>
  <w:style w:type="paragraph" w:customStyle="1" w:styleId="StandaardSV">
    <w:name w:val="Standaard SV"/>
    <w:basedOn w:val="Standaard"/>
    <w:rsid w:val="0034048E"/>
    <w:pPr>
      <w:jc w:val="both"/>
    </w:pPr>
    <w:rPr>
      <w:sz w:val="22"/>
    </w:rPr>
  </w:style>
  <w:style w:type="paragraph" w:styleId="Geenafstand">
    <w:name w:val="No Spacing"/>
    <w:uiPriority w:val="1"/>
    <w:qFormat/>
    <w:rsid w:val="001643DB"/>
    <w:rPr>
      <w:rFonts w:ascii="Calibri" w:eastAsia="Calibri" w:hAnsi="Calibri"/>
      <w:sz w:val="22"/>
      <w:szCs w:val="22"/>
      <w:lang w:eastAsia="en-US"/>
    </w:rPr>
  </w:style>
  <w:style w:type="paragraph" w:styleId="Lijstalinea">
    <w:name w:val="List Paragraph"/>
    <w:basedOn w:val="Standaard"/>
    <w:uiPriority w:val="34"/>
    <w:qFormat/>
    <w:rsid w:val="001643DB"/>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1643DB"/>
    <w:rPr>
      <w:rFonts w:ascii="Tahoma" w:hAnsi="Tahoma"/>
      <w:sz w:val="16"/>
      <w:szCs w:val="16"/>
    </w:rPr>
  </w:style>
  <w:style w:type="character" w:customStyle="1" w:styleId="BallontekstChar">
    <w:name w:val="Ballontekst Char"/>
    <w:link w:val="Ballontekst"/>
    <w:rsid w:val="001643DB"/>
    <w:rPr>
      <w:rFonts w:ascii="Tahoma" w:hAnsi="Tahoma" w:cs="Tahoma"/>
      <w:sz w:val="16"/>
      <w:szCs w:val="16"/>
      <w:lang w:val="nl-NL" w:eastAsia="nl-NL"/>
    </w:rPr>
  </w:style>
  <w:style w:type="character" w:styleId="Verwijzingopmerking">
    <w:name w:val="annotation reference"/>
    <w:basedOn w:val="Standaardalinea-lettertype"/>
    <w:rsid w:val="004F307D"/>
    <w:rPr>
      <w:sz w:val="16"/>
      <w:szCs w:val="16"/>
    </w:rPr>
  </w:style>
  <w:style w:type="paragraph" w:styleId="Tekstopmerking">
    <w:name w:val="annotation text"/>
    <w:basedOn w:val="Standaard"/>
    <w:link w:val="TekstopmerkingChar"/>
    <w:rsid w:val="004F307D"/>
    <w:rPr>
      <w:sz w:val="20"/>
    </w:rPr>
  </w:style>
  <w:style w:type="character" w:customStyle="1" w:styleId="TekstopmerkingChar">
    <w:name w:val="Tekst opmerking Char"/>
    <w:basedOn w:val="Standaardalinea-lettertype"/>
    <w:link w:val="Tekstopmerking"/>
    <w:rsid w:val="004F307D"/>
    <w:rPr>
      <w:lang w:val="nl-NL" w:eastAsia="nl-NL"/>
    </w:rPr>
  </w:style>
  <w:style w:type="paragraph" w:styleId="Onderwerpvanopmerking">
    <w:name w:val="annotation subject"/>
    <w:basedOn w:val="Tekstopmerking"/>
    <w:next w:val="Tekstopmerking"/>
    <w:link w:val="OnderwerpvanopmerkingChar"/>
    <w:rsid w:val="004F307D"/>
    <w:rPr>
      <w:b/>
      <w:bCs/>
    </w:rPr>
  </w:style>
  <w:style w:type="character" w:customStyle="1" w:styleId="OnderwerpvanopmerkingChar">
    <w:name w:val="Onderwerp van opmerking Char"/>
    <w:basedOn w:val="TekstopmerkingChar"/>
    <w:link w:val="Onderwerpvanopmerking"/>
    <w:rsid w:val="004F307D"/>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4048E"/>
    <w:rPr>
      <w:sz w:val="24"/>
      <w:lang w:val="nl-NL" w:eastAsia="nl-NL"/>
    </w:rPr>
  </w:style>
  <w:style w:type="paragraph" w:styleId="Kop1">
    <w:name w:val="heading 1"/>
    <w:basedOn w:val="Standaard"/>
    <w:next w:val="Standaard"/>
    <w:qFormat/>
    <w:rsid w:val="0034048E"/>
    <w:pPr>
      <w:keepNext/>
      <w:numPr>
        <w:numId w:val="2"/>
      </w:numPr>
      <w:jc w:val="both"/>
      <w:outlineLvl w:val="0"/>
    </w:pPr>
    <w:rPr>
      <w:b/>
      <w:caps/>
    </w:rPr>
  </w:style>
  <w:style w:type="paragraph" w:styleId="Kop2">
    <w:name w:val="heading 2"/>
    <w:basedOn w:val="Standaard"/>
    <w:next w:val="Standaard"/>
    <w:qFormat/>
    <w:rsid w:val="0034048E"/>
    <w:pPr>
      <w:keepNext/>
      <w:tabs>
        <w:tab w:val="num" w:pos="567"/>
      </w:tabs>
      <w:ind w:left="567" w:hanging="567"/>
      <w:outlineLvl w:val="1"/>
    </w:pPr>
    <w:rPr>
      <w:b/>
    </w:rPr>
  </w:style>
  <w:style w:type="paragraph" w:styleId="Kop3">
    <w:name w:val="heading 3"/>
    <w:basedOn w:val="Standaard"/>
    <w:next w:val="Standaard"/>
    <w:qFormat/>
    <w:rsid w:val="0034048E"/>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34048E"/>
    <w:pPr>
      <w:framePr w:w="7920" w:h="1980" w:hRule="exact" w:hSpace="141" w:wrap="auto" w:hAnchor="page" w:xAlign="center" w:yAlign="bottom"/>
      <w:ind w:left="2880"/>
    </w:pPr>
  </w:style>
  <w:style w:type="paragraph" w:styleId="Afzender">
    <w:name w:val="envelope return"/>
    <w:basedOn w:val="Standaard"/>
    <w:rsid w:val="0034048E"/>
  </w:style>
  <w:style w:type="paragraph" w:styleId="Inhopg1">
    <w:name w:val="toc 1"/>
    <w:basedOn w:val="Standaard"/>
    <w:next w:val="Standaard"/>
    <w:autoRedefine/>
    <w:semiHidden/>
    <w:rsid w:val="0034048E"/>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34048E"/>
    <w:pPr>
      <w:tabs>
        <w:tab w:val="right" w:leader="dot" w:pos="9741"/>
      </w:tabs>
      <w:spacing w:before="80" w:after="80"/>
      <w:ind w:left="1134" w:hanging="567"/>
    </w:pPr>
    <w:rPr>
      <w:noProof/>
    </w:rPr>
  </w:style>
  <w:style w:type="paragraph" w:styleId="Inhopg3">
    <w:name w:val="toc 3"/>
    <w:basedOn w:val="Standaard"/>
    <w:next w:val="Standaard"/>
    <w:autoRedefine/>
    <w:semiHidden/>
    <w:rsid w:val="0034048E"/>
    <w:pPr>
      <w:tabs>
        <w:tab w:val="right" w:leader="dot" w:pos="9741"/>
      </w:tabs>
      <w:spacing w:before="40" w:after="40"/>
      <w:ind w:left="1701" w:hanging="567"/>
    </w:pPr>
    <w:rPr>
      <w:i/>
    </w:rPr>
  </w:style>
  <w:style w:type="paragraph" w:styleId="Plattetekst2">
    <w:name w:val="Body Text 2"/>
    <w:basedOn w:val="Standaard"/>
    <w:rsid w:val="0034048E"/>
    <w:pPr>
      <w:jc w:val="both"/>
    </w:pPr>
    <w:rPr>
      <w:i/>
      <w:sz w:val="22"/>
    </w:rPr>
  </w:style>
  <w:style w:type="paragraph" w:styleId="Normaalweb">
    <w:name w:val="Normal (Web)"/>
    <w:basedOn w:val="Standaard"/>
    <w:uiPriority w:val="99"/>
    <w:unhideWhenUsed/>
    <w:rsid w:val="001643DB"/>
    <w:pPr>
      <w:spacing w:before="100" w:beforeAutospacing="1" w:after="100" w:afterAutospacing="1"/>
    </w:pPr>
    <w:rPr>
      <w:szCs w:val="24"/>
      <w:lang w:val="nl-BE" w:eastAsia="nl-BE"/>
    </w:rPr>
  </w:style>
  <w:style w:type="paragraph" w:customStyle="1" w:styleId="SVVlaamsParlement">
    <w:name w:val="SV Vlaams Parlement"/>
    <w:basedOn w:val="Standaard"/>
    <w:rsid w:val="0034048E"/>
    <w:pPr>
      <w:jc w:val="both"/>
    </w:pPr>
    <w:rPr>
      <w:b/>
      <w:smallCaps/>
      <w:sz w:val="22"/>
    </w:rPr>
  </w:style>
  <w:style w:type="paragraph" w:customStyle="1" w:styleId="SVTitel">
    <w:name w:val="SV Titel"/>
    <w:basedOn w:val="Standaard"/>
    <w:rsid w:val="0034048E"/>
    <w:pPr>
      <w:jc w:val="both"/>
    </w:pPr>
    <w:rPr>
      <w:i/>
      <w:sz w:val="22"/>
    </w:rPr>
  </w:style>
  <w:style w:type="paragraph" w:customStyle="1" w:styleId="StandaardSV">
    <w:name w:val="Standaard SV"/>
    <w:basedOn w:val="Standaard"/>
    <w:rsid w:val="0034048E"/>
    <w:pPr>
      <w:jc w:val="both"/>
    </w:pPr>
    <w:rPr>
      <w:sz w:val="22"/>
    </w:rPr>
  </w:style>
  <w:style w:type="paragraph" w:styleId="Geenafstand">
    <w:name w:val="No Spacing"/>
    <w:uiPriority w:val="1"/>
    <w:qFormat/>
    <w:rsid w:val="001643DB"/>
    <w:rPr>
      <w:rFonts w:ascii="Calibri" w:eastAsia="Calibri" w:hAnsi="Calibri"/>
      <w:sz w:val="22"/>
      <w:szCs w:val="22"/>
      <w:lang w:eastAsia="en-US"/>
    </w:rPr>
  </w:style>
  <w:style w:type="paragraph" w:styleId="Lijstalinea">
    <w:name w:val="List Paragraph"/>
    <w:basedOn w:val="Standaard"/>
    <w:uiPriority w:val="34"/>
    <w:qFormat/>
    <w:rsid w:val="001643DB"/>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rsid w:val="001643DB"/>
    <w:rPr>
      <w:rFonts w:ascii="Tahoma" w:hAnsi="Tahoma"/>
      <w:sz w:val="16"/>
      <w:szCs w:val="16"/>
    </w:rPr>
  </w:style>
  <w:style w:type="character" w:customStyle="1" w:styleId="BallontekstChar">
    <w:name w:val="Ballontekst Char"/>
    <w:link w:val="Ballontekst"/>
    <w:rsid w:val="001643DB"/>
    <w:rPr>
      <w:rFonts w:ascii="Tahoma" w:hAnsi="Tahoma" w:cs="Tahoma"/>
      <w:sz w:val="16"/>
      <w:szCs w:val="16"/>
      <w:lang w:val="nl-NL" w:eastAsia="nl-NL"/>
    </w:rPr>
  </w:style>
  <w:style w:type="character" w:styleId="Verwijzingopmerking">
    <w:name w:val="annotation reference"/>
    <w:basedOn w:val="Standaardalinea-lettertype"/>
    <w:rsid w:val="004F307D"/>
    <w:rPr>
      <w:sz w:val="16"/>
      <w:szCs w:val="16"/>
    </w:rPr>
  </w:style>
  <w:style w:type="paragraph" w:styleId="Tekstopmerking">
    <w:name w:val="annotation text"/>
    <w:basedOn w:val="Standaard"/>
    <w:link w:val="TekstopmerkingChar"/>
    <w:rsid w:val="004F307D"/>
    <w:rPr>
      <w:sz w:val="20"/>
    </w:rPr>
  </w:style>
  <w:style w:type="character" w:customStyle="1" w:styleId="TekstopmerkingChar">
    <w:name w:val="Tekst opmerking Char"/>
    <w:basedOn w:val="Standaardalinea-lettertype"/>
    <w:link w:val="Tekstopmerking"/>
    <w:rsid w:val="004F307D"/>
    <w:rPr>
      <w:lang w:val="nl-NL" w:eastAsia="nl-NL"/>
    </w:rPr>
  </w:style>
  <w:style w:type="paragraph" w:styleId="Onderwerpvanopmerking">
    <w:name w:val="annotation subject"/>
    <w:basedOn w:val="Tekstopmerking"/>
    <w:next w:val="Tekstopmerking"/>
    <w:link w:val="OnderwerpvanopmerkingChar"/>
    <w:rsid w:val="004F307D"/>
    <w:rPr>
      <w:b/>
      <w:bCs/>
    </w:rPr>
  </w:style>
  <w:style w:type="character" w:customStyle="1" w:styleId="OnderwerpvanopmerkingChar">
    <w:name w:val="Onderwerp van opmerking Char"/>
    <w:basedOn w:val="TekstopmerkingChar"/>
    <w:link w:val="Onderwerpvanopmerking"/>
    <w:rsid w:val="004F307D"/>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51085">
      <w:bodyDiv w:val="1"/>
      <w:marLeft w:val="0"/>
      <w:marRight w:val="0"/>
      <w:marTop w:val="0"/>
      <w:marBottom w:val="0"/>
      <w:divBdr>
        <w:top w:val="none" w:sz="0" w:space="0" w:color="auto"/>
        <w:left w:val="none" w:sz="0" w:space="0" w:color="auto"/>
        <w:bottom w:val="none" w:sz="0" w:space="0" w:color="auto"/>
        <w:right w:val="none" w:sz="0" w:space="0" w:color="auto"/>
      </w:divBdr>
    </w:div>
    <w:div w:id="1453091958">
      <w:bodyDiv w:val="1"/>
      <w:marLeft w:val="0"/>
      <w:marRight w:val="0"/>
      <w:marTop w:val="0"/>
      <w:marBottom w:val="0"/>
      <w:divBdr>
        <w:top w:val="none" w:sz="0" w:space="0" w:color="auto"/>
        <w:left w:val="none" w:sz="0" w:space="0" w:color="auto"/>
        <w:bottom w:val="none" w:sz="0" w:space="0" w:color="auto"/>
        <w:right w:val="none" w:sz="0" w:space="0" w:color="auto"/>
      </w:divBdr>
    </w:div>
    <w:div w:id="1505242216">
      <w:bodyDiv w:val="1"/>
      <w:marLeft w:val="0"/>
      <w:marRight w:val="0"/>
      <w:marTop w:val="0"/>
      <w:marBottom w:val="0"/>
      <w:divBdr>
        <w:top w:val="none" w:sz="0" w:space="0" w:color="auto"/>
        <w:left w:val="none" w:sz="0" w:space="0" w:color="auto"/>
        <w:bottom w:val="none" w:sz="0" w:space="0" w:color="auto"/>
        <w:right w:val="none" w:sz="0" w:space="0" w:color="auto"/>
      </w:divBdr>
    </w:div>
    <w:div w:id="19271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5912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2013-06-20T18:17:00Z</cp:lastPrinted>
  <dcterms:created xsi:type="dcterms:W3CDTF">2013-09-17T08:52:00Z</dcterms:created>
  <dcterms:modified xsi:type="dcterms:W3CDTF">2013-09-17T08:52:00Z</dcterms:modified>
</cp:coreProperties>
</file>