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041E17"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041E17"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041E17">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041E17"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041E17" w:rsidRPr="00326A58">
        <w:rPr>
          <w:b w:val="0"/>
        </w:rPr>
      </w:r>
      <w:r w:rsidR="00041E17" w:rsidRPr="00326A58">
        <w:rPr>
          <w:b w:val="0"/>
        </w:rPr>
        <w:fldChar w:fldCharType="separate"/>
      </w:r>
      <w:r w:rsidR="00C96A11">
        <w:rPr>
          <w:b w:val="0"/>
        </w:rPr>
        <w:t>6</w:t>
      </w:r>
      <w:r w:rsidR="00EB5673">
        <w:rPr>
          <w:b w:val="0"/>
        </w:rPr>
        <w:t>61</w:t>
      </w:r>
      <w:r w:rsidR="00041E17"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041E17">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041E17">
        <w:rPr>
          <w:b w:val="0"/>
        </w:rPr>
      </w:r>
      <w:r w:rsidR="00041E17">
        <w:rPr>
          <w:b w:val="0"/>
        </w:rPr>
        <w:fldChar w:fldCharType="separate"/>
      </w:r>
      <w:r w:rsidR="00EB5673">
        <w:rPr>
          <w:b w:val="0"/>
        </w:rPr>
        <w:t>12</w:t>
      </w:r>
      <w:r w:rsidR="00041E17">
        <w:rPr>
          <w:b w:val="0"/>
        </w:rPr>
        <w:fldChar w:fldCharType="end"/>
      </w:r>
      <w:bookmarkEnd w:id="3"/>
      <w:r w:rsidRPr="00326A58">
        <w:rPr>
          <w:b w:val="0"/>
        </w:rPr>
        <w:t xml:space="preserve"> </w:t>
      </w:r>
      <w:bookmarkStart w:id="4" w:name="Dropdown2"/>
      <w:r w:rsidR="00041E17">
        <w:rPr>
          <w:b w:val="0"/>
        </w:rPr>
        <w:fldChar w:fldCharType="begin">
          <w:ffData>
            <w:name w:val="Dropdown2"/>
            <w:enabled/>
            <w:calcOnExit w:val="0"/>
            <w:statusText w:type="text" w:val="Kies de maand waarin de vraag gesteld werd."/>
            <w:ddList>
              <w:result w:val="7"/>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041E17">
        <w:rPr>
          <w:b w:val="0"/>
        </w:rPr>
      </w:r>
      <w:r w:rsidR="00041E17">
        <w:rPr>
          <w:b w:val="0"/>
        </w:rPr>
        <w:fldChar w:fldCharType="end"/>
      </w:r>
      <w:bookmarkEnd w:id="4"/>
      <w:r w:rsidRPr="00326A58">
        <w:rPr>
          <w:b w:val="0"/>
        </w:rPr>
        <w:t xml:space="preserve"> </w:t>
      </w:r>
      <w:bookmarkStart w:id="5" w:name="Dropdown3"/>
      <w:r w:rsidR="00041E17">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041E17">
        <w:rPr>
          <w:b w:val="0"/>
        </w:rPr>
      </w:r>
      <w:r w:rsidR="00041E17">
        <w:rPr>
          <w:b w:val="0"/>
        </w:rPr>
        <w:fldChar w:fldCharType="end"/>
      </w:r>
      <w:bookmarkEnd w:id="5"/>
    </w:p>
    <w:p w:rsidR="000976E9" w:rsidRDefault="000976E9" w:rsidP="00CA594C">
      <w:pPr>
        <w:rPr>
          <w:szCs w:val="22"/>
        </w:rPr>
      </w:pPr>
      <w:r>
        <w:rPr>
          <w:szCs w:val="22"/>
        </w:rPr>
        <w:t xml:space="preserve">van </w:t>
      </w:r>
      <w:r w:rsidR="00041E17"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041E17" w:rsidRPr="009D7043">
        <w:rPr>
          <w:rStyle w:val="AntwoordNaamMinisterChar"/>
        </w:rPr>
      </w:r>
      <w:r w:rsidR="00041E17" w:rsidRPr="009D7043">
        <w:rPr>
          <w:rStyle w:val="AntwoordNaamMinisterChar"/>
        </w:rPr>
        <w:fldChar w:fldCharType="separate"/>
      </w:r>
      <w:proofErr w:type="spellStart"/>
      <w:r w:rsidR="00B77216">
        <w:rPr>
          <w:rStyle w:val="AntwoordNaamMinisterChar"/>
        </w:rPr>
        <w:t>j</w:t>
      </w:r>
      <w:r w:rsidR="00A55169">
        <w:rPr>
          <w:rStyle w:val="AntwoordNaamMinisterChar"/>
        </w:rPr>
        <w:t>ohan</w:t>
      </w:r>
      <w:proofErr w:type="spellEnd"/>
      <w:r w:rsidR="00A55169">
        <w:rPr>
          <w:rStyle w:val="AntwoordNaamMinisterChar"/>
        </w:rPr>
        <w:t xml:space="preserve"> </w:t>
      </w:r>
      <w:r w:rsidR="00B77216">
        <w:rPr>
          <w:rStyle w:val="AntwoordNaamMinisterChar"/>
        </w:rPr>
        <w:t>v</w:t>
      </w:r>
      <w:r w:rsidR="00A55169">
        <w:rPr>
          <w:rStyle w:val="AntwoordNaamMinisterChar"/>
        </w:rPr>
        <w:t>erstreken</w:t>
      </w:r>
      <w:r w:rsidR="00041E17"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504CF5" w:rsidRPr="00251180" w:rsidRDefault="00EB5673" w:rsidP="00C96A11">
      <w:pPr>
        <w:pStyle w:val="StandaardSV"/>
        <w:numPr>
          <w:ilvl w:val="0"/>
          <w:numId w:val="19"/>
        </w:numPr>
        <w:rPr>
          <w:szCs w:val="22"/>
        </w:rPr>
      </w:pPr>
      <w:proofErr w:type="spellStart"/>
      <w:r w:rsidRPr="007A143F">
        <w:lastRenderedPageBreak/>
        <w:t>Peace</w:t>
      </w:r>
      <w:proofErr w:type="spellEnd"/>
      <w:r w:rsidRPr="007A143F">
        <w:t xml:space="preserve"> </w:t>
      </w:r>
      <w:proofErr w:type="spellStart"/>
      <w:r w:rsidRPr="007A143F">
        <w:t>Village</w:t>
      </w:r>
      <w:proofErr w:type="spellEnd"/>
      <w:r w:rsidRPr="007A143F">
        <w:t xml:space="preserve"> wordt geëxploiteerd door de vzw Vredesproject Mesen, in 2009 overgenomen door een groep aangesloten bij de vzw Volkstoerisme</w:t>
      </w:r>
      <w:r>
        <w:t>.</w:t>
      </w:r>
    </w:p>
    <w:p w:rsidR="00FC5E95" w:rsidRDefault="00FC5E95" w:rsidP="00FC5E95">
      <w:pPr>
        <w:pStyle w:val="StandaardSV"/>
        <w:ind w:left="360"/>
        <w:rPr>
          <w:szCs w:val="22"/>
        </w:rPr>
      </w:pPr>
    </w:p>
    <w:p w:rsidR="00EB5673" w:rsidRDefault="00EB5673" w:rsidP="00EB5673">
      <w:pPr>
        <w:pStyle w:val="StandaardSV"/>
        <w:numPr>
          <w:ilvl w:val="0"/>
          <w:numId w:val="19"/>
        </w:numPr>
      </w:pPr>
      <w:r>
        <w:t xml:space="preserve">In 2012 bedroegen de bedrijfsopbrengsten van haalde Peace Village </w:t>
      </w:r>
      <w:r w:rsidRPr="00C1140F">
        <w:t>479.244,81</w:t>
      </w:r>
      <w:r>
        <w:t xml:space="preserve"> euro, waarvan 422.621,39 euro eigen inkomsten </w:t>
      </w:r>
      <w:r w:rsidRPr="00C1140F">
        <w:t>uit</w:t>
      </w:r>
      <w:r>
        <w:t xml:space="preserve"> verhuur van </w:t>
      </w:r>
      <w:r w:rsidRPr="00C1140F">
        <w:t xml:space="preserve">kamer en ontbijt, </w:t>
      </w:r>
      <w:r>
        <w:t xml:space="preserve">en </w:t>
      </w:r>
      <w:r w:rsidRPr="00C1140F">
        <w:t xml:space="preserve">inkomsten </w:t>
      </w:r>
      <w:r>
        <w:t>uit maaltijden</w:t>
      </w:r>
      <w:r w:rsidRPr="00C1140F">
        <w:t>, cafetaria, doorverkopen.</w:t>
      </w:r>
    </w:p>
    <w:p w:rsidR="00EB5673" w:rsidRDefault="00EB5673" w:rsidP="00EB5673">
      <w:pPr>
        <w:pStyle w:val="StandaardSV"/>
        <w:ind w:left="360"/>
      </w:pPr>
      <w:r>
        <w:t>De bedrijfskosten bedroegen in 2012 in totaal 459.310,20 euro, waarvan 72.981,06 euro voor aankopen, 129.301,94 euro voor diensten en diverse goederen, 231.500,63 euro voor bezoldigingen, 12.850,88 euro voor afschrijvingen en 12.675,69 euro voor overige bedrijfskosten.</w:t>
      </w:r>
    </w:p>
    <w:p w:rsidR="00065280" w:rsidRDefault="00065280" w:rsidP="00EB5673">
      <w:pPr>
        <w:pStyle w:val="StandaardSV"/>
        <w:ind w:left="360"/>
      </w:pPr>
      <w:r>
        <w:t>Het boekjaar 2012 sloot met een positief bedrijfsresultaat van 19.934,61 euro. De financiële kosten bedroegen in 2012 8.725,78 euro en de opbrengsten 29,09 euro. Daarnaast realiseerde Peace Village 14.701,42 euro uitzonderlijke kosten</w:t>
      </w:r>
      <w:r w:rsidR="00B64592">
        <w:t xml:space="preserve"> (</w:t>
      </w:r>
      <w:r w:rsidR="004B3B9E">
        <w:t xml:space="preserve">o.a. </w:t>
      </w:r>
      <w:r w:rsidR="00B64592">
        <w:t>terugbetaling van de subsidie aan het Agentschap voor Sociaal Cultureel Werk)</w:t>
      </w:r>
      <w:r>
        <w:t>. Het nettoresultaat voor 2012 was negatief voor een totaal bedrag van 3.463,50 euro</w:t>
      </w:r>
    </w:p>
    <w:p w:rsidR="009E43EE" w:rsidRDefault="009E43EE" w:rsidP="009E43EE">
      <w:pPr>
        <w:pStyle w:val="StandaardSV"/>
        <w:ind w:left="720"/>
      </w:pPr>
    </w:p>
    <w:p w:rsidR="002429AB" w:rsidRDefault="00B77216" w:rsidP="00B77216">
      <w:pPr>
        <w:pStyle w:val="StandaardSV"/>
        <w:numPr>
          <w:ilvl w:val="0"/>
          <w:numId w:val="19"/>
        </w:numPr>
        <w:tabs>
          <w:tab w:val="left" w:pos="426"/>
        </w:tabs>
        <w:ind w:left="709" w:hanging="709"/>
      </w:pPr>
      <w:r>
        <w:t>a)</w:t>
      </w:r>
      <w:r>
        <w:tab/>
      </w:r>
      <w:r w:rsidR="00B64592">
        <w:t>Toerisme Vlaanderen heeft h</w:t>
      </w:r>
      <w:r w:rsidR="00B64592" w:rsidRPr="00A73BFB">
        <w:t xml:space="preserve">et gebouw op 1 juni 2006 in erfpacht gegeven aan de vzw Vredesproject Mesen. </w:t>
      </w:r>
      <w:r w:rsidR="00B64592">
        <w:t>N</w:t>
      </w:r>
      <w:r w:rsidR="00B64592" w:rsidRPr="00A73BFB">
        <w:t xml:space="preserve">adat de Ieren zich </w:t>
      </w:r>
      <w:r w:rsidR="00B64592">
        <w:t>rond de jaarovergang</w:t>
      </w:r>
      <w:r w:rsidR="00B64592" w:rsidRPr="00A73BFB">
        <w:t xml:space="preserve"> 2008</w:t>
      </w:r>
      <w:r w:rsidR="00B64592">
        <w:t>-2009</w:t>
      </w:r>
      <w:r w:rsidR="00B64592" w:rsidRPr="00A73BFB">
        <w:t xml:space="preserve"> h</w:t>
      </w:r>
      <w:r w:rsidR="00B64592">
        <w:t xml:space="preserve">adden teruggetrokken uit de vzw, heeft </w:t>
      </w:r>
      <w:r w:rsidR="00B64592" w:rsidRPr="00A73BFB">
        <w:t xml:space="preserve">de vzw </w:t>
      </w:r>
      <w:r w:rsidR="00B64592">
        <w:t>V</w:t>
      </w:r>
      <w:r w:rsidR="00B64592" w:rsidRPr="00A73BFB">
        <w:t xml:space="preserve">olkstoerisme </w:t>
      </w:r>
      <w:r w:rsidR="00B64592">
        <w:t>d</w:t>
      </w:r>
      <w:r w:rsidR="00B64592" w:rsidRPr="00A73BFB">
        <w:t>e erfpacht</w:t>
      </w:r>
      <w:r w:rsidR="00B64592">
        <w:t xml:space="preserve"> </w:t>
      </w:r>
      <w:r w:rsidR="00B64592" w:rsidRPr="00A73BFB">
        <w:t>overgenomen.</w:t>
      </w:r>
      <w:r w:rsidR="00B64592">
        <w:t xml:space="preserve"> Tussen 2009 en 2012 heeft Toerisme Vlaanderen een driejarig tewerkstellingsproject gesubsidieerd van een voltijds verantwoordelijke voor de prospectie en promotie. Daarnaast heeft Toerisme Vlaanderen de voorbije jaren nog een aantal infrastructuurwerken voor zijn rekening genomen om het hostel a</w:t>
      </w:r>
      <w:r w:rsidR="00B64592" w:rsidRPr="00E46842">
        <w:t>lle mogelijkheden te bieden om rendabel te zijn</w:t>
      </w:r>
      <w:r w:rsidR="00B64592">
        <w:t>. De belangrijkste investering betreft de inrichting van acht</w:t>
      </w:r>
      <w:r w:rsidR="00B64592" w:rsidRPr="00E46842">
        <w:t xml:space="preserve"> tweepersoonskamers</w:t>
      </w:r>
      <w:r w:rsidR="00B64592">
        <w:t xml:space="preserve">, </w:t>
      </w:r>
      <w:r w:rsidR="00B64592" w:rsidRPr="00E46842">
        <w:t>zodat de</w:t>
      </w:r>
      <w:r w:rsidR="00B64592">
        <w:t xml:space="preserve"> begeleiders en</w:t>
      </w:r>
      <w:r w:rsidR="00B64592" w:rsidRPr="00E46842">
        <w:t xml:space="preserve"> buschauffeurs </w:t>
      </w:r>
      <w:r w:rsidR="00B64592">
        <w:t xml:space="preserve">van groepen </w:t>
      </w:r>
      <w:r w:rsidR="00B64592" w:rsidRPr="00E46842">
        <w:t>een</w:t>
      </w:r>
      <w:r w:rsidR="00B64592">
        <w:t xml:space="preserve"> aparte kamer hebben.</w:t>
      </w:r>
    </w:p>
    <w:p w:rsidR="00B64592" w:rsidRDefault="00B64592" w:rsidP="00B77216">
      <w:pPr>
        <w:pStyle w:val="StandaardSV"/>
        <w:ind w:left="708"/>
      </w:pPr>
      <w:r>
        <w:t>De vzw Vredeproject Mesen ontvangt jaarlijks een subsidie voor jeugdwerk van het Agentschap Sociaal Cultureel Werk. De subsidie voor 2011 werd in 2012 quasi volledig teruggevorderd omdat niet voldaan werd aan de voorwaarde om 10 jeugdwerkgroepen te ontvangen.</w:t>
      </w:r>
    </w:p>
    <w:p w:rsidR="00B64592" w:rsidRDefault="00B64592" w:rsidP="00B64592">
      <w:pPr>
        <w:pStyle w:val="StandaardSV"/>
        <w:ind w:left="360"/>
      </w:pPr>
    </w:p>
    <w:p w:rsidR="00B64592" w:rsidRDefault="00B77216" w:rsidP="00B77216">
      <w:pPr>
        <w:pStyle w:val="StandaardSV"/>
        <w:ind w:left="709" w:hanging="283"/>
      </w:pPr>
      <w:r>
        <w:t>b)</w:t>
      </w:r>
      <w:r>
        <w:tab/>
      </w:r>
      <w:r w:rsidR="00B64592">
        <w:t>Onderstaande tabel geeft een overzicht van de door de Vlaamse overheid toegekende bedragen:</w:t>
      </w:r>
    </w:p>
    <w:p w:rsidR="004B3B9E" w:rsidRDefault="004B3B9E" w:rsidP="00B64592">
      <w:pPr>
        <w:pStyle w:val="StandaardSV"/>
        <w:ind w:left="360"/>
      </w:pPr>
    </w:p>
    <w:tbl>
      <w:tblPr>
        <w:tblStyle w:val="Eenvoudigetabel1"/>
        <w:tblW w:w="7571" w:type="dxa"/>
        <w:tblInd w:w="675" w:type="dxa"/>
        <w:tblLook w:val="04A0" w:firstRow="1" w:lastRow="0" w:firstColumn="1" w:lastColumn="0" w:noHBand="0" w:noVBand="1"/>
      </w:tblPr>
      <w:tblGrid>
        <w:gridCol w:w="889"/>
        <w:gridCol w:w="5065"/>
        <w:gridCol w:w="1617"/>
      </w:tblGrid>
      <w:tr w:rsidR="004B3B9E" w:rsidRPr="004B3B9E" w:rsidTr="004B3B9E">
        <w:trPr>
          <w:cnfStyle w:val="100000000000" w:firstRow="1" w:lastRow="0" w:firstColumn="0" w:lastColumn="0" w:oddVBand="0" w:evenVBand="0" w:oddHBand="0" w:evenHBand="0" w:firstRowFirstColumn="0" w:firstRowLastColumn="0" w:lastRowFirstColumn="0" w:lastRowLastColumn="0"/>
        </w:trPr>
        <w:tc>
          <w:tcPr>
            <w:tcW w:w="889" w:type="dxa"/>
          </w:tcPr>
          <w:p w:rsidR="004B3B9E" w:rsidRPr="004B3B9E" w:rsidRDefault="004B3B9E" w:rsidP="000619B1">
            <w:pPr>
              <w:pStyle w:val="StandaardSV"/>
              <w:rPr>
                <w:szCs w:val="22"/>
              </w:rPr>
            </w:pPr>
            <w:r w:rsidRPr="004B3B9E">
              <w:rPr>
                <w:szCs w:val="22"/>
              </w:rPr>
              <w:t>Jaartal</w:t>
            </w:r>
          </w:p>
        </w:tc>
        <w:tc>
          <w:tcPr>
            <w:tcW w:w="5065" w:type="dxa"/>
          </w:tcPr>
          <w:p w:rsidR="004B3B9E" w:rsidRPr="004B3B9E" w:rsidRDefault="004B3B9E" w:rsidP="000619B1">
            <w:pPr>
              <w:pStyle w:val="StandaardSV"/>
              <w:jc w:val="left"/>
              <w:rPr>
                <w:szCs w:val="22"/>
              </w:rPr>
            </w:pPr>
            <w:r w:rsidRPr="004B3B9E">
              <w:rPr>
                <w:szCs w:val="22"/>
              </w:rPr>
              <w:t>Aard der werken/ondersteuning</w:t>
            </w:r>
          </w:p>
        </w:tc>
        <w:tc>
          <w:tcPr>
            <w:tcW w:w="1617" w:type="dxa"/>
          </w:tcPr>
          <w:p w:rsidR="004B3B9E" w:rsidRPr="004B3B9E" w:rsidRDefault="004B3B9E" w:rsidP="004B3B9E">
            <w:pPr>
              <w:pStyle w:val="StandaardSV"/>
              <w:jc w:val="right"/>
              <w:rPr>
                <w:szCs w:val="22"/>
              </w:rPr>
            </w:pPr>
            <w:r w:rsidRPr="004B3B9E">
              <w:rPr>
                <w:szCs w:val="22"/>
              </w:rPr>
              <w:t>Bedrag</w:t>
            </w:r>
          </w:p>
        </w:tc>
      </w:tr>
      <w:tr w:rsidR="004B3B9E" w:rsidRPr="004B3B9E" w:rsidTr="004B3B9E">
        <w:tc>
          <w:tcPr>
            <w:tcW w:w="889" w:type="dxa"/>
          </w:tcPr>
          <w:p w:rsidR="004B3B9E" w:rsidRPr="004B3B9E" w:rsidRDefault="004B3B9E" w:rsidP="000619B1">
            <w:pPr>
              <w:pStyle w:val="StandaardSV"/>
              <w:rPr>
                <w:szCs w:val="22"/>
              </w:rPr>
            </w:pPr>
            <w:r w:rsidRPr="004B3B9E">
              <w:rPr>
                <w:szCs w:val="22"/>
              </w:rPr>
              <w:t xml:space="preserve">2008 </w:t>
            </w:r>
          </w:p>
        </w:tc>
        <w:tc>
          <w:tcPr>
            <w:tcW w:w="5065" w:type="dxa"/>
          </w:tcPr>
          <w:p w:rsidR="004B3B9E" w:rsidRPr="004B3B9E" w:rsidRDefault="004B3B9E" w:rsidP="000619B1">
            <w:pPr>
              <w:pStyle w:val="StandaardSV"/>
              <w:jc w:val="left"/>
              <w:rPr>
                <w:szCs w:val="22"/>
              </w:rPr>
            </w:pPr>
            <w:r w:rsidRPr="004B3B9E">
              <w:rPr>
                <w:szCs w:val="22"/>
              </w:rPr>
              <w:t>subsidie jeugdwerk</w:t>
            </w:r>
          </w:p>
        </w:tc>
        <w:tc>
          <w:tcPr>
            <w:tcW w:w="1617" w:type="dxa"/>
          </w:tcPr>
          <w:p w:rsidR="004B3B9E" w:rsidRPr="004B3B9E" w:rsidRDefault="004B3B9E" w:rsidP="004B3B9E">
            <w:pPr>
              <w:pStyle w:val="StandaardSV"/>
              <w:jc w:val="right"/>
              <w:rPr>
                <w:szCs w:val="22"/>
              </w:rPr>
            </w:pPr>
            <w:r w:rsidRPr="004B3B9E">
              <w:rPr>
                <w:szCs w:val="22"/>
              </w:rPr>
              <w:t>€ 11.250,00</w:t>
            </w:r>
          </w:p>
        </w:tc>
      </w:tr>
      <w:tr w:rsidR="004B3B9E" w:rsidRPr="004B3B9E" w:rsidTr="004B3B9E">
        <w:tc>
          <w:tcPr>
            <w:tcW w:w="889" w:type="dxa"/>
          </w:tcPr>
          <w:p w:rsidR="004B3B9E" w:rsidRPr="004B3B9E" w:rsidRDefault="004B3B9E" w:rsidP="000619B1">
            <w:pPr>
              <w:pStyle w:val="StandaardSV"/>
              <w:rPr>
                <w:szCs w:val="22"/>
              </w:rPr>
            </w:pPr>
            <w:r w:rsidRPr="004B3B9E">
              <w:rPr>
                <w:szCs w:val="22"/>
              </w:rPr>
              <w:t>2009</w:t>
            </w:r>
          </w:p>
        </w:tc>
        <w:tc>
          <w:tcPr>
            <w:tcW w:w="5065" w:type="dxa"/>
          </w:tcPr>
          <w:p w:rsidR="004B3B9E" w:rsidRPr="004B3B9E" w:rsidRDefault="004B3B9E" w:rsidP="000619B1">
            <w:pPr>
              <w:pStyle w:val="StandaardSV"/>
              <w:jc w:val="left"/>
              <w:rPr>
                <w:szCs w:val="22"/>
              </w:rPr>
            </w:pPr>
            <w:r w:rsidRPr="004B3B9E">
              <w:rPr>
                <w:szCs w:val="22"/>
              </w:rPr>
              <w:t>tewerkstellingsproject</w:t>
            </w:r>
          </w:p>
        </w:tc>
        <w:tc>
          <w:tcPr>
            <w:tcW w:w="1617" w:type="dxa"/>
          </w:tcPr>
          <w:p w:rsidR="004B3B9E" w:rsidRPr="004B3B9E" w:rsidRDefault="004B3B9E" w:rsidP="004B3B9E">
            <w:pPr>
              <w:pStyle w:val="StandaardSV"/>
              <w:jc w:val="right"/>
              <w:rPr>
                <w:szCs w:val="22"/>
              </w:rPr>
            </w:pPr>
            <w:r w:rsidRPr="004B3B9E">
              <w:rPr>
                <w:szCs w:val="22"/>
              </w:rPr>
              <w:t>€ 4.854,06</w:t>
            </w:r>
          </w:p>
        </w:tc>
      </w:tr>
      <w:tr w:rsidR="004B3B9E" w:rsidRPr="004B3B9E" w:rsidTr="004B3B9E">
        <w:tc>
          <w:tcPr>
            <w:tcW w:w="889" w:type="dxa"/>
          </w:tcPr>
          <w:p w:rsidR="004B3B9E" w:rsidRPr="004B3B9E" w:rsidRDefault="004B3B9E" w:rsidP="000619B1">
            <w:pPr>
              <w:pStyle w:val="StandaardSV"/>
              <w:rPr>
                <w:szCs w:val="22"/>
              </w:rPr>
            </w:pPr>
          </w:p>
        </w:tc>
        <w:tc>
          <w:tcPr>
            <w:tcW w:w="5065" w:type="dxa"/>
          </w:tcPr>
          <w:p w:rsidR="004B3B9E" w:rsidRPr="004B3B9E" w:rsidRDefault="004B3B9E" w:rsidP="000619B1">
            <w:pPr>
              <w:pStyle w:val="StandaardSV"/>
              <w:jc w:val="left"/>
              <w:rPr>
                <w:szCs w:val="22"/>
              </w:rPr>
            </w:pPr>
            <w:r w:rsidRPr="004B3B9E">
              <w:rPr>
                <w:szCs w:val="22"/>
              </w:rPr>
              <w:t>subsidie jeugdwerk</w:t>
            </w:r>
          </w:p>
        </w:tc>
        <w:tc>
          <w:tcPr>
            <w:tcW w:w="1617" w:type="dxa"/>
          </w:tcPr>
          <w:p w:rsidR="004B3B9E" w:rsidRPr="004B3B9E" w:rsidRDefault="004B3B9E" w:rsidP="004B3B9E">
            <w:pPr>
              <w:pStyle w:val="StandaardSV"/>
              <w:jc w:val="right"/>
              <w:rPr>
                <w:szCs w:val="22"/>
              </w:rPr>
            </w:pPr>
            <w:r w:rsidRPr="004B3B9E">
              <w:rPr>
                <w:szCs w:val="22"/>
              </w:rPr>
              <w:t>€ 17.953,00</w:t>
            </w:r>
          </w:p>
        </w:tc>
      </w:tr>
      <w:tr w:rsidR="004B3B9E" w:rsidRPr="004B3B9E" w:rsidTr="004B3B9E">
        <w:tc>
          <w:tcPr>
            <w:tcW w:w="889" w:type="dxa"/>
          </w:tcPr>
          <w:p w:rsidR="004B3B9E" w:rsidRPr="004B3B9E" w:rsidRDefault="004B3B9E" w:rsidP="000619B1">
            <w:pPr>
              <w:pStyle w:val="StandaardSV"/>
              <w:rPr>
                <w:szCs w:val="22"/>
              </w:rPr>
            </w:pPr>
            <w:r w:rsidRPr="004B3B9E">
              <w:rPr>
                <w:szCs w:val="22"/>
              </w:rPr>
              <w:t>2010</w:t>
            </w:r>
          </w:p>
        </w:tc>
        <w:tc>
          <w:tcPr>
            <w:tcW w:w="5065" w:type="dxa"/>
          </w:tcPr>
          <w:p w:rsidR="004B3B9E" w:rsidRPr="004B3B9E" w:rsidRDefault="004B3B9E" w:rsidP="000619B1">
            <w:pPr>
              <w:pStyle w:val="StandaardSV"/>
              <w:jc w:val="left"/>
              <w:rPr>
                <w:szCs w:val="22"/>
              </w:rPr>
            </w:pPr>
            <w:r w:rsidRPr="004B3B9E">
              <w:rPr>
                <w:szCs w:val="22"/>
              </w:rPr>
              <w:t>subsidie jeugdwerk</w:t>
            </w:r>
          </w:p>
        </w:tc>
        <w:tc>
          <w:tcPr>
            <w:tcW w:w="1617" w:type="dxa"/>
          </w:tcPr>
          <w:p w:rsidR="004B3B9E" w:rsidRPr="004B3B9E" w:rsidRDefault="004B3B9E" w:rsidP="004B3B9E">
            <w:pPr>
              <w:pStyle w:val="StandaardSV"/>
              <w:jc w:val="right"/>
              <w:rPr>
                <w:szCs w:val="22"/>
              </w:rPr>
            </w:pPr>
            <w:r w:rsidRPr="004B3B9E">
              <w:rPr>
                <w:szCs w:val="22"/>
              </w:rPr>
              <w:t>€ 15.267,00</w:t>
            </w:r>
          </w:p>
        </w:tc>
      </w:tr>
      <w:tr w:rsidR="004B3B9E" w:rsidRPr="004B3B9E" w:rsidTr="004B3B9E">
        <w:tc>
          <w:tcPr>
            <w:tcW w:w="889" w:type="dxa"/>
          </w:tcPr>
          <w:p w:rsidR="004B3B9E" w:rsidRPr="004B3B9E" w:rsidRDefault="004B3B9E" w:rsidP="000619B1">
            <w:pPr>
              <w:pStyle w:val="StandaardSV"/>
              <w:rPr>
                <w:szCs w:val="22"/>
              </w:rPr>
            </w:pPr>
          </w:p>
        </w:tc>
        <w:tc>
          <w:tcPr>
            <w:tcW w:w="5065" w:type="dxa"/>
          </w:tcPr>
          <w:p w:rsidR="004B3B9E" w:rsidRPr="004B3B9E" w:rsidRDefault="004B3B9E" w:rsidP="000619B1">
            <w:pPr>
              <w:pStyle w:val="StandaardSV"/>
              <w:jc w:val="left"/>
              <w:rPr>
                <w:szCs w:val="22"/>
              </w:rPr>
            </w:pPr>
            <w:r w:rsidRPr="004B3B9E">
              <w:rPr>
                <w:szCs w:val="22"/>
              </w:rPr>
              <w:t>aanpassing ventilatie en energieaudit</w:t>
            </w:r>
          </w:p>
        </w:tc>
        <w:tc>
          <w:tcPr>
            <w:tcW w:w="1617" w:type="dxa"/>
          </w:tcPr>
          <w:p w:rsidR="004B3B9E" w:rsidRPr="004B3B9E" w:rsidRDefault="004B3B9E" w:rsidP="004B3B9E">
            <w:pPr>
              <w:pStyle w:val="StandaardSV"/>
              <w:jc w:val="right"/>
              <w:rPr>
                <w:szCs w:val="22"/>
              </w:rPr>
            </w:pPr>
            <w:r w:rsidRPr="004B3B9E">
              <w:rPr>
                <w:szCs w:val="22"/>
              </w:rPr>
              <w:t xml:space="preserve">€ 5.534,54 </w:t>
            </w:r>
          </w:p>
        </w:tc>
      </w:tr>
      <w:tr w:rsidR="004B3B9E" w:rsidRPr="004B3B9E" w:rsidTr="004B3B9E">
        <w:tc>
          <w:tcPr>
            <w:tcW w:w="889" w:type="dxa"/>
          </w:tcPr>
          <w:p w:rsidR="004B3B9E" w:rsidRPr="004B3B9E" w:rsidRDefault="004B3B9E" w:rsidP="000619B1">
            <w:pPr>
              <w:pStyle w:val="StandaardSV"/>
              <w:rPr>
                <w:szCs w:val="22"/>
              </w:rPr>
            </w:pPr>
          </w:p>
        </w:tc>
        <w:tc>
          <w:tcPr>
            <w:tcW w:w="5065" w:type="dxa"/>
          </w:tcPr>
          <w:p w:rsidR="004B3B9E" w:rsidRPr="004B3B9E" w:rsidRDefault="004B3B9E" w:rsidP="000619B1">
            <w:pPr>
              <w:pStyle w:val="StandaardSV"/>
              <w:jc w:val="left"/>
              <w:rPr>
                <w:szCs w:val="22"/>
              </w:rPr>
            </w:pPr>
            <w:r w:rsidRPr="004B3B9E">
              <w:rPr>
                <w:szCs w:val="22"/>
              </w:rPr>
              <w:t>tewerkstellingsproject</w:t>
            </w:r>
          </w:p>
        </w:tc>
        <w:tc>
          <w:tcPr>
            <w:tcW w:w="1617" w:type="dxa"/>
          </w:tcPr>
          <w:p w:rsidR="004B3B9E" w:rsidRPr="004B3B9E" w:rsidRDefault="004B3B9E" w:rsidP="004B3B9E">
            <w:pPr>
              <w:pStyle w:val="StandaardSV"/>
              <w:jc w:val="right"/>
              <w:rPr>
                <w:szCs w:val="22"/>
              </w:rPr>
            </w:pPr>
            <w:r w:rsidRPr="004B3B9E">
              <w:rPr>
                <w:szCs w:val="22"/>
              </w:rPr>
              <w:t>€ 25.931,85</w:t>
            </w:r>
          </w:p>
        </w:tc>
      </w:tr>
      <w:tr w:rsidR="004B3B9E" w:rsidRPr="004B3B9E" w:rsidTr="004B3B9E">
        <w:tc>
          <w:tcPr>
            <w:tcW w:w="889" w:type="dxa"/>
          </w:tcPr>
          <w:p w:rsidR="004B3B9E" w:rsidRPr="004B3B9E" w:rsidRDefault="004B3B9E" w:rsidP="000619B1">
            <w:pPr>
              <w:pStyle w:val="StandaardSV"/>
              <w:rPr>
                <w:szCs w:val="22"/>
              </w:rPr>
            </w:pPr>
            <w:r w:rsidRPr="004B3B9E">
              <w:rPr>
                <w:szCs w:val="22"/>
              </w:rPr>
              <w:t>2011</w:t>
            </w:r>
          </w:p>
        </w:tc>
        <w:tc>
          <w:tcPr>
            <w:tcW w:w="5065" w:type="dxa"/>
          </w:tcPr>
          <w:p w:rsidR="004B3B9E" w:rsidRPr="004B3B9E" w:rsidRDefault="004B3B9E" w:rsidP="000619B1">
            <w:pPr>
              <w:pStyle w:val="StandaardSV"/>
              <w:jc w:val="left"/>
              <w:rPr>
                <w:szCs w:val="22"/>
              </w:rPr>
            </w:pPr>
            <w:r w:rsidRPr="004B3B9E">
              <w:rPr>
                <w:szCs w:val="22"/>
              </w:rPr>
              <w:t>subsidie jeugdwerk</w:t>
            </w:r>
          </w:p>
        </w:tc>
        <w:tc>
          <w:tcPr>
            <w:tcW w:w="1617" w:type="dxa"/>
          </w:tcPr>
          <w:p w:rsidR="004B3B9E" w:rsidRPr="004B3B9E" w:rsidRDefault="004B3B9E" w:rsidP="004B3B9E">
            <w:pPr>
              <w:pStyle w:val="StandaardSV"/>
              <w:jc w:val="right"/>
              <w:rPr>
                <w:szCs w:val="22"/>
              </w:rPr>
            </w:pPr>
            <w:r w:rsidRPr="004B3B9E">
              <w:rPr>
                <w:szCs w:val="22"/>
              </w:rPr>
              <w:t>€ 13.911,00*</w:t>
            </w:r>
          </w:p>
        </w:tc>
      </w:tr>
      <w:tr w:rsidR="004B3B9E" w:rsidRPr="004B3B9E" w:rsidTr="004B3B9E">
        <w:tc>
          <w:tcPr>
            <w:tcW w:w="889" w:type="dxa"/>
          </w:tcPr>
          <w:p w:rsidR="004B3B9E" w:rsidRPr="004B3B9E" w:rsidRDefault="004B3B9E" w:rsidP="000619B1">
            <w:pPr>
              <w:pStyle w:val="StandaardSV"/>
              <w:rPr>
                <w:szCs w:val="22"/>
              </w:rPr>
            </w:pPr>
          </w:p>
        </w:tc>
        <w:tc>
          <w:tcPr>
            <w:tcW w:w="5065" w:type="dxa"/>
          </w:tcPr>
          <w:p w:rsidR="004B3B9E" w:rsidRPr="004B3B9E" w:rsidRDefault="004B3B9E" w:rsidP="000619B1">
            <w:pPr>
              <w:pStyle w:val="StandaardSV"/>
              <w:jc w:val="left"/>
              <w:rPr>
                <w:szCs w:val="22"/>
              </w:rPr>
            </w:pPr>
            <w:r w:rsidRPr="004B3B9E">
              <w:rPr>
                <w:szCs w:val="22"/>
              </w:rPr>
              <w:t xml:space="preserve">- nazicht luchtgroep op dak; </w:t>
            </w:r>
            <w:r w:rsidRPr="004B3B9E">
              <w:rPr>
                <w:szCs w:val="22"/>
              </w:rPr>
              <w:br/>
              <w:t>- werken aan water- en cv-installatie;</w:t>
            </w:r>
            <w:r w:rsidRPr="004B3B9E">
              <w:rPr>
                <w:szCs w:val="22"/>
              </w:rPr>
              <w:br/>
            </w:r>
            <w:r w:rsidRPr="004B3B9E">
              <w:rPr>
                <w:szCs w:val="22"/>
              </w:rPr>
              <w:lastRenderedPageBreak/>
              <w:t xml:space="preserve">- veiligheidscoördinatie inrichten 8 kamers </w:t>
            </w:r>
          </w:p>
        </w:tc>
        <w:tc>
          <w:tcPr>
            <w:tcW w:w="1617" w:type="dxa"/>
          </w:tcPr>
          <w:p w:rsidR="004B3B9E" w:rsidRPr="004B3B9E" w:rsidRDefault="004B3B9E" w:rsidP="004B3B9E">
            <w:pPr>
              <w:pStyle w:val="StandaardSV"/>
              <w:jc w:val="right"/>
              <w:rPr>
                <w:szCs w:val="22"/>
              </w:rPr>
            </w:pPr>
            <w:r w:rsidRPr="004B3B9E">
              <w:rPr>
                <w:szCs w:val="22"/>
              </w:rPr>
              <w:lastRenderedPageBreak/>
              <w:t xml:space="preserve">€ 27.376,85 </w:t>
            </w:r>
          </w:p>
        </w:tc>
      </w:tr>
      <w:tr w:rsidR="004B3B9E" w:rsidRPr="004B3B9E" w:rsidTr="004B3B9E">
        <w:tc>
          <w:tcPr>
            <w:tcW w:w="889" w:type="dxa"/>
          </w:tcPr>
          <w:p w:rsidR="004B3B9E" w:rsidRPr="004B3B9E" w:rsidRDefault="004B3B9E" w:rsidP="000619B1">
            <w:pPr>
              <w:pStyle w:val="StandaardSV"/>
              <w:rPr>
                <w:szCs w:val="22"/>
              </w:rPr>
            </w:pPr>
          </w:p>
        </w:tc>
        <w:tc>
          <w:tcPr>
            <w:tcW w:w="5065" w:type="dxa"/>
          </w:tcPr>
          <w:p w:rsidR="004B3B9E" w:rsidRPr="004B3B9E" w:rsidRDefault="004B3B9E" w:rsidP="000619B1">
            <w:pPr>
              <w:pStyle w:val="StandaardSV"/>
              <w:jc w:val="left"/>
              <w:rPr>
                <w:szCs w:val="22"/>
              </w:rPr>
            </w:pPr>
            <w:r w:rsidRPr="004B3B9E">
              <w:rPr>
                <w:szCs w:val="22"/>
              </w:rPr>
              <w:t>tewerkstellingsproject</w:t>
            </w:r>
          </w:p>
        </w:tc>
        <w:tc>
          <w:tcPr>
            <w:tcW w:w="1617" w:type="dxa"/>
          </w:tcPr>
          <w:p w:rsidR="004B3B9E" w:rsidRPr="004B3B9E" w:rsidRDefault="004B3B9E" w:rsidP="004B3B9E">
            <w:pPr>
              <w:pStyle w:val="StandaardSV"/>
              <w:jc w:val="right"/>
              <w:rPr>
                <w:szCs w:val="22"/>
              </w:rPr>
            </w:pPr>
            <w:r w:rsidRPr="004B3B9E">
              <w:rPr>
                <w:szCs w:val="22"/>
              </w:rPr>
              <w:t>€ 28.465,28</w:t>
            </w:r>
          </w:p>
        </w:tc>
      </w:tr>
      <w:tr w:rsidR="004B3B9E" w:rsidRPr="004B3B9E" w:rsidTr="004B3B9E">
        <w:tc>
          <w:tcPr>
            <w:tcW w:w="889" w:type="dxa"/>
          </w:tcPr>
          <w:p w:rsidR="004B3B9E" w:rsidRPr="004B3B9E" w:rsidRDefault="004B3B9E" w:rsidP="000619B1">
            <w:pPr>
              <w:pStyle w:val="StandaardSV"/>
              <w:rPr>
                <w:szCs w:val="22"/>
              </w:rPr>
            </w:pPr>
            <w:r w:rsidRPr="004B3B9E">
              <w:rPr>
                <w:szCs w:val="22"/>
              </w:rPr>
              <w:t>2012</w:t>
            </w:r>
          </w:p>
        </w:tc>
        <w:tc>
          <w:tcPr>
            <w:tcW w:w="5065" w:type="dxa"/>
          </w:tcPr>
          <w:p w:rsidR="004B3B9E" w:rsidRPr="004B3B9E" w:rsidRDefault="004B3B9E" w:rsidP="000619B1">
            <w:pPr>
              <w:pStyle w:val="StandaardSV"/>
              <w:jc w:val="left"/>
              <w:rPr>
                <w:szCs w:val="22"/>
              </w:rPr>
            </w:pPr>
            <w:r w:rsidRPr="004B3B9E">
              <w:rPr>
                <w:szCs w:val="22"/>
              </w:rPr>
              <w:t>subsidie jeugdwerk</w:t>
            </w:r>
          </w:p>
        </w:tc>
        <w:tc>
          <w:tcPr>
            <w:tcW w:w="1617" w:type="dxa"/>
          </w:tcPr>
          <w:p w:rsidR="004B3B9E" w:rsidRPr="004B3B9E" w:rsidRDefault="004B3B9E" w:rsidP="004B3B9E">
            <w:pPr>
              <w:pStyle w:val="StandaardSV"/>
              <w:jc w:val="right"/>
              <w:rPr>
                <w:szCs w:val="22"/>
              </w:rPr>
            </w:pPr>
            <w:r w:rsidRPr="004B3B9E">
              <w:rPr>
                <w:szCs w:val="22"/>
              </w:rPr>
              <w:t>€ 11.202,00</w:t>
            </w:r>
          </w:p>
        </w:tc>
      </w:tr>
      <w:tr w:rsidR="004B3B9E" w:rsidRPr="004B3B9E" w:rsidTr="004B3B9E">
        <w:tc>
          <w:tcPr>
            <w:tcW w:w="889" w:type="dxa"/>
          </w:tcPr>
          <w:p w:rsidR="004B3B9E" w:rsidRPr="004B3B9E" w:rsidRDefault="004B3B9E" w:rsidP="000619B1">
            <w:pPr>
              <w:pStyle w:val="StandaardSV"/>
              <w:rPr>
                <w:szCs w:val="22"/>
              </w:rPr>
            </w:pPr>
          </w:p>
        </w:tc>
        <w:tc>
          <w:tcPr>
            <w:tcW w:w="5065" w:type="dxa"/>
          </w:tcPr>
          <w:p w:rsidR="004B3B9E" w:rsidRPr="004B3B9E" w:rsidRDefault="004B3B9E" w:rsidP="000619B1">
            <w:pPr>
              <w:pStyle w:val="StandaardSV"/>
              <w:jc w:val="left"/>
              <w:rPr>
                <w:szCs w:val="22"/>
              </w:rPr>
            </w:pPr>
            <w:r w:rsidRPr="004B3B9E">
              <w:rPr>
                <w:szCs w:val="22"/>
              </w:rPr>
              <w:t>tewerkstellingsproject</w:t>
            </w:r>
          </w:p>
        </w:tc>
        <w:tc>
          <w:tcPr>
            <w:tcW w:w="1617" w:type="dxa"/>
          </w:tcPr>
          <w:p w:rsidR="004B3B9E" w:rsidRPr="004B3B9E" w:rsidRDefault="004B3B9E" w:rsidP="004B3B9E">
            <w:pPr>
              <w:pStyle w:val="StandaardSV"/>
              <w:jc w:val="right"/>
              <w:rPr>
                <w:szCs w:val="22"/>
              </w:rPr>
            </w:pPr>
            <w:r w:rsidRPr="004B3B9E">
              <w:rPr>
                <w:szCs w:val="22"/>
              </w:rPr>
              <w:t>€ 28.492,87</w:t>
            </w:r>
          </w:p>
        </w:tc>
      </w:tr>
      <w:tr w:rsidR="004B3B9E" w:rsidRPr="004B3B9E" w:rsidTr="004B3B9E">
        <w:tc>
          <w:tcPr>
            <w:tcW w:w="889" w:type="dxa"/>
          </w:tcPr>
          <w:p w:rsidR="004B3B9E" w:rsidRPr="004B3B9E" w:rsidRDefault="004B3B9E" w:rsidP="000619B1">
            <w:pPr>
              <w:pStyle w:val="StandaardSV"/>
              <w:rPr>
                <w:szCs w:val="22"/>
              </w:rPr>
            </w:pPr>
          </w:p>
        </w:tc>
        <w:tc>
          <w:tcPr>
            <w:tcW w:w="5065" w:type="dxa"/>
          </w:tcPr>
          <w:p w:rsidR="004B3B9E" w:rsidRPr="004B3B9E" w:rsidRDefault="004B3B9E" w:rsidP="000619B1">
            <w:pPr>
              <w:pStyle w:val="StandaardSV"/>
              <w:jc w:val="left"/>
              <w:rPr>
                <w:szCs w:val="22"/>
              </w:rPr>
            </w:pPr>
            <w:r w:rsidRPr="004B3B9E">
              <w:rPr>
                <w:szCs w:val="22"/>
              </w:rPr>
              <w:t>*Terugvordering subsidie jeugdwerk</w:t>
            </w:r>
          </w:p>
        </w:tc>
        <w:tc>
          <w:tcPr>
            <w:tcW w:w="1617" w:type="dxa"/>
          </w:tcPr>
          <w:p w:rsidR="004B3B9E" w:rsidRPr="004B3B9E" w:rsidRDefault="004B3B9E" w:rsidP="004B3B9E">
            <w:pPr>
              <w:pStyle w:val="StandaardSV"/>
              <w:jc w:val="right"/>
              <w:rPr>
                <w:szCs w:val="22"/>
              </w:rPr>
            </w:pPr>
            <w:r w:rsidRPr="004B3B9E">
              <w:rPr>
                <w:szCs w:val="22"/>
              </w:rPr>
              <w:t>- €11.250,00</w:t>
            </w:r>
          </w:p>
        </w:tc>
      </w:tr>
      <w:tr w:rsidR="004B3B9E" w:rsidRPr="004B3B9E" w:rsidTr="004B3B9E">
        <w:tc>
          <w:tcPr>
            <w:tcW w:w="889" w:type="dxa"/>
          </w:tcPr>
          <w:p w:rsidR="004B3B9E" w:rsidRPr="004B3B9E" w:rsidRDefault="004B3B9E" w:rsidP="000619B1">
            <w:pPr>
              <w:pStyle w:val="StandaardSV"/>
              <w:rPr>
                <w:szCs w:val="22"/>
              </w:rPr>
            </w:pPr>
            <w:r w:rsidRPr="004B3B9E">
              <w:rPr>
                <w:szCs w:val="22"/>
              </w:rPr>
              <w:t>2013</w:t>
            </w:r>
          </w:p>
        </w:tc>
        <w:tc>
          <w:tcPr>
            <w:tcW w:w="5065" w:type="dxa"/>
          </w:tcPr>
          <w:p w:rsidR="004B3B9E" w:rsidRPr="004B3B9E" w:rsidRDefault="004B3B9E" w:rsidP="000619B1">
            <w:pPr>
              <w:pStyle w:val="StandaardSV"/>
              <w:jc w:val="left"/>
              <w:rPr>
                <w:szCs w:val="22"/>
              </w:rPr>
            </w:pPr>
            <w:r w:rsidRPr="004B3B9E">
              <w:rPr>
                <w:szCs w:val="22"/>
              </w:rPr>
              <w:t>inrichting 8 tweepersoonskamers boven de toegankelijke kamers</w:t>
            </w:r>
          </w:p>
        </w:tc>
        <w:tc>
          <w:tcPr>
            <w:tcW w:w="1617" w:type="dxa"/>
          </w:tcPr>
          <w:p w:rsidR="004B3B9E" w:rsidRPr="004B3B9E" w:rsidRDefault="004B3B9E" w:rsidP="004B3B9E">
            <w:pPr>
              <w:pStyle w:val="StandaardSV"/>
              <w:jc w:val="right"/>
              <w:rPr>
                <w:szCs w:val="22"/>
              </w:rPr>
            </w:pPr>
            <w:r w:rsidRPr="004B3B9E">
              <w:rPr>
                <w:szCs w:val="22"/>
              </w:rPr>
              <w:t xml:space="preserve">€ 305.241,50 </w:t>
            </w:r>
          </w:p>
        </w:tc>
      </w:tr>
      <w:tr w:rsidR="004B3B9E" w:rsidRPr="004B3B9E" w:rsidTr="004B3B9E">
        <w:tc>
          <w:tcPr>
            <w:tcW w:w="889" w:type="dxa"/>
          </w:tcPr>
          <w:p w:rsidR="004B3B9E" w:rsidRPr="004B3B9E" w:rsidRDefault="004B3B9E" w:rsidP="000619B1">
            <w:pPr>
              <w:pStyle w:val="StandaardSV"/>
              <w:rPr>
                <w:szCs w:val="22"/>
              </w:rPr>
            </w:pPr>
          </w:p>
        </w:tc>
        <w:tc>
          <w:tcPr>
            <w:tcW w:w="5065" w:type="dxa"/>
          </w:tcPr>
          <w:p w:rsidR="004B3B9E" w:rsidRPr="004B3B9E" w:rsidRDefault="004B3B9E" w:rsidP="000619B1">
            <w:pPr>
              <w:pStyle w:val="StandaardSV"/>
              <w:jc w:val="left"/>
              <w:rPr>
                <w:szCs w:val="22"/>
              </w:rPr>
            </w:pPr>
          </w:p>
        </w:tc>
        <w:tc>
          <w:tcPr>
            <w:tcW w:w="1617" w:type="dxa"/>
          </w:tcPr>
          <w:p w:rsidR="004B3B9E" w:rsidRPr="004B3B9E" w:rsidRDefault="004B3B9E" w:rsidP="004B3B9E">
            <w:pPr>
              <w:pStyle w:val="StandaardSV"/>
              <w:jc w:val="right"/>
              <w:rPr>
                <w:szCs w:val="22"/>
              </w:rPr>
            </w:pPr>
          </w:p>
        </w:tc>
      </w:tr>
      <w:tr w:rsidR="004B3B9E" w:rsidRPr="004B3B9E" w:rsidTr="004B3B9E">
        <w:tc>
          <w:tcPr>
            <w:tcW w:w="889" w:type="dxa"/>
          </w:tcPr>
          <w:p w:rsidR="004B3B9E" w:rsidRPr="004B3B9E" w:rsidRDefault="004B3B9E" w:rsidP="000619B1">
            <w:pPr>
              <w:pStyle w:val="StandaardSV"/>
              <w:rPr>
                <w:szCs w:val="22"/>
              </w:rPr>
            </w:pPr>
          </w:p>
        </w:tc>
        <w:tc>
          <w:tcPr>
            <w:tcW w:w="5065" w:type="dxa"/>
          </w:tcPr>
          <w:p w:rsidR="004B3B9E" w:rsidRPr="004B3B9E" w:rsidRDefault="004B3B9E" w:rsidP="00FF1D10">
            <w:pPr>
              <w:pStyle w:val="StandaardSV"/>
              <w:rPr>
                <w:szCs w:val="22"/>
              </w:rPr>
            </w:pPr>
            <w:r>
              <w:rPr>
                <w:szCs w:val="22"/>
              </w:rPr>
              <w:t>Totaal</w:t>
            </w:r>
          </w:p>
        </w:tc>
        <w:tc>
          <w:tcPr>
            <w:tcW w:w="1617" w:type="dxa"/>
          </w:tcPr>
          <w:p w:rsidR="004B3B9E" w:rsidRPr="004B3B9E" w:rsidRDefault="004B3B9E" w:rsidP="004B3B9E">
            <w:pPr>
              <w:pStyle w:val="StandaardSV"/>
              <w:jc w:val="right"/>
              <w:rPr>
                <w:szCs w:val="22"/>
              </w:rPr>
            </w:pPr>
            <w:r w:rsidRPr="004B3B9E">
              <w:rPr>
                <w:szCs w:val="22"/>
              </w:rPr>
              <w:t>€ 484.229,95</w:t>
            </w:r>
          </w:p>
        </w:tc>
      </w:tr>
    </w:tbl>
    <w:p w:rsidR="00B64592" w:rsidRDefault="00B64592" w:rsidP="00B64592">
      <w:pPr>
        <w:pStyle w:val="StandaardSV"/>
        <w:ind w:left="360"/>
      </w:pPr>
    </w:p>
    <w:p w:rsidR="00A55169" w:rsidRDefault="00B77216" w:rsidP="00B77216">
      <w:pPr>
        <w:pStyle w:val="StandaardSV"/>
        <w:ind w:left="709" w:hanging="283"/>
      </w:pPr>
      <w:r>
        <w:t>c)</w:t>
      </w:r>
      <w:r>
        <w:tab/>
      </w:r>
      <w:r w:rsidR="004B3B9E">
        <w:t xml:space="preserve">In 2012 heeft Toerisme Vlaanderen </w:t>
      </w:r>
      <w:r w:rsidR="00DD48BC">
        <w:t xml:space="preserve">een animatiesubsidie van </w:t>
      </w:r>
      <w:r w:rsidR="004B3B9E">
        <w:t xml:space="preserve">162 euro uitbetaald. </w:t>
      </w:r>
      <w:r w:rsidR="004B3B9E" w:rsidRPr="0003279D">
        <w:t xml:space="preserve">Er is geen </w:t>
      </w:r>
      <w:r w:rsidR="004B3B9E">
        <w:t xml:space="preserve">andere </w:t>
      </w:r>
      <w:r w:rsidR="004B3B9E" w:rsidRPr="0003279D">
        <w:t>ondersteuning vanuit Vlaanderen voor de educatieve werking.</w:t>
      </w:r>
    </w:p>
    <w:p w:rsidR="004B3B9E" w:rsidRDefault="004B3B9E" w:rsidP="00A55169">
      <w:pPr>
        <w:pStyle w:val="StandaardSV"/>
        <w:ind w:left="360"/>
      </w:pPr>
    </w:p>
    <w:p w:rsidR="00A55169" w:rsidRDefault="004B3B9E" w:rsidP="009E43EE">
      <w:pPr>
        <w:pStyle w:val="StandaardSV"/>
        <w:numPr>
          <w:ilvl w:val="0"/>
          <w:numId w:val="19"/>
        </w:numPr>
      </w:pPr>
      <w:r>
        <w:t>Als bijlage gaat een overzicht van de maandelijkse overnachtingen in 2012 en 2013 (eerste vier maanden).</w:t>
      </w:r>
    </w:p>
    <w:p w:rsidR="004B3B9E" w:rsidRDefault="004B3B9E" w:rsidP="004B3B9E">
      <w:pPr>
        <w:pStyle w:val="StandaardSV"/>
      </w:pPr>
    </w:p>
    <w:p w:rsidR="004B3B9E" w:rsidRDefault="004B3B9E" w:rsidP="009E43EE">
      <w:pPr>
        <w:pStyle w:val="StandaardSV"/>
        <w:numPr>
          <w:ilvl w:val="0"/>
          <w:numId w:val="19"/>
        </w:numPr>
      </w:pPr>
      <w:r>
        <w:t>Peace Village ontvangt voornamelijk groepen</w:t>
      </w:r>
      <w:r w:rsidRPr="00D24D7D">
        <w:t>. Individuele verblijvers (individue</w:t>
      </w:r>
      <w:r>
        <w:t>n</w:t>
      </w:r>
      <w:r w:rsidRPr="00D24D7D">
        <w:t>, gezinnen,…) overnachten</w:t>
      </w:r>
      <w:r>
        <w:t xml:space="preserve"> er</w:t>
      </w:r>
      <w:r w:rsidRPr="00D24D7D">
        <w:t xml:space="preserve"> slechts uitzonderlijk. </w:t>
      </w:r>
      <w:r>
        <w:t xml:space="preserve">Engelse schoolgroepen zijn de belangrijkste doelgroep. </w:t>
      </w:r>
      <w:r w:rsidRPr="00D24D7D">
        <w:t>De cijfers voor 2013 hebben betrekking op de eerste jaarhelft.</w:t>
      </w:r>
    </w:p>
    <w:p w:rsidR="00DD48BC" w:rsidRDefault="00DD48BC" w:rsidP="00DD48BC">
      <w:pPr>
        <w:pStyle w:val="StandaardSV"/>
        <w:ind w:left="360"/>
      </w:pPr>
    </w:p>
    <w:p w:rsidR="00DD48BC" w:rsidRDefault="00DD48BC" w:rsidP="00DD48BC">
      <w:pPr>
        <w:pStyle w:val="StandaardSV"/>
        <w:ind w:left="360"/>
      </w:pPr>
      <w:r>
        <w:t>Onderstaande tabel geeft een overzicht van de overnachtingen naar doelgroep:</w:t>
      </w:r>
    </w:p>
    <w:p w:rsidR="00DD48BC" w:rsidRDefault="00DD48BC" w:rsidP="00DD48BC">
      <w:pPr>
        <w:pStyle w:val="StandaardSV"/>
        <w:ind w:left="360"/>
      </w:pPr>
    </w:p>
    <w:tbl>
      <w:tblPr>
        <w:tblStyle w:val="Eenvoudigetabel1"/>
        <w:tblW w:w="5510" w:type="dxa"/>
        <w:tblInd w:w="534" w:type="dxa"/>
        <w:tblLayout w:type="fixed"/>
        <w:tblLook w:val="04A0" w:firstRow="1" w:lastRow="0" w:firstColumn="1" w:lastColumn="0" w:noHBand="0" w:noVBand="1"/>
      </w:tblPr>
      <w:tblGrid>
        <w:gridCol w:w="3260"/>
        <w:gridCol w:w="1125"/>
        <w:gridCol w:w="1125"/>
      </w:tblGrid>
      <w:tr w:rsidR="00DD48BC" w:rsidRPr="00DD48BC" w:rsidTr="00DD48BC">
        <w:trPr>
          <w:cnfStyle w:val="100000000000" w:firstRow="1" w:lastRow="0" w:firstColumn="0" w:lastColumn="0" w:oddVBand="0" w:evenVBand="0" w:oddHBand="0" w:evenHBand="0" w:firstRowFirstColumn="0" w:firstRowLastColumn="0" w:lastRowFirstColumn="0" w:lastRowLastColumn="0"/>
          <w:trHeight w:val="293"/>
        </w:trPr>
        <w:tc>
          <w:tcPr>
            <w:tcW w:w="3260" w:type="dxa"/>
            <w:noWrap/>
            <w:hideMark/>
          </w:tcPr>
          <w:p w:rsidR="00DD48BC" w:rsidRPr="00DD48BC" w:rsidRDefault="00DD48BC" w:rsidP="000619B1">
            <w:pPr>
              <w:pStyle w:val="StandaardSV"/>
              <w:rPr>
                <w:bCs/>
                <w:szCs w:val="22"/>
              </w:rPr>
            </w:pPr>
            <w:r w:rsidRPr="00DD48BC">
              <w:rPr>
                <w:bCs/>
                <w:szCs w:val="22"/>
              </w:rPr>
              <w:t>Overnachtingen</w:t>
            </w:r>
          </w:p>
        </w:tc>
        <w:tc>
          <w:tcPr>
            <w:tcW w:w="1125" w:type="dxa"/>
          </w:tcPr>
          <w:p w:rsidR="00DD48BC" w:rsidRPr="00DD48BC" w:rsidRDefault="00DD48BC" w:rsidP="00DD48BC">
            <w:pPr>
              <w:pStyle w:val="StandaardSV"/>
              <w:jc w:val="right"/>
              <w:rPr>
                <w:bCs/>
                <w:szCs w:val="22"/>
              </w:rPr>
            </w:pPr>
            <w:r w:rsidRPr="00DD48BC">
              <w:rPr>
                <w:bCs/>
                <w:szCs w:val="22"/>
              </w:rPr>
              <w:t>2012</w:t>
            </w:r>
          </w:p>
        </w:tc>
        <w:tc>
          <w:tcPr>
            <w:tcW w:w="1125" w:type="dxa"/>
            <w:noWrap/>
            <w:hideMark/>
          </w:tcPr>
          <w:p w:rsidR="00DD48BC" w:rsidRPr="00DD48BC" w:rsidRDefault="00DD48BC" w:rsidP="00DD48BC">
            <w:pPr>
              <w:pStyle w:val="StandaardSV"/>
              <w:jc w:val="right"/>
              <w:rPr>
                <w:bCs/>
                <w:szCs w:val="22"/>
              </w:rPr>
            </w:pPr>
            <w:r w:rsidRPr="00DD48BC">
              <w:rPr>
                <w:bCs/>
                <w:szCs w:val="22"/>
              </w:rPr>
              <w:t>2013</w:t>
            </w:r>
          </w:p>
        </w:tc>
      </w:tr>
      <w:tr w:rsidR="00DD48BC" w:rsidRPr="00DD48BC" w:rsidTr="00DD48BC">
        <w:trPr>
          <w:trHeight w:val="293"/>
        </w:trPr>
        <w:tc>
          <w:tcPr>
            <w:tcW w:w="3260" w:type="dxa"/>
            <w:noWrap/>
            <w:hideMark/>
          </w:tcPr>
          <w:p w:rsidR="00DD48BC" w:rsidRPr="00DD48BC" w:rsidRDefault="00DD48BC" w:rsidP="000619B1">
            <w:pPr>
              <w:pStyle w:val="StandaardSV"/>
              <w:rPr>
                <w:bCs/>
                <w:szCs w:val="22"/>
              </w:rPr>
            </w:pPr>
            <w:r w:rsidRPr="00DD48BC">
              <w:rPr>
                <w:bCs/>
                <w:szCs w:val="22"/>
              </w:rPr>
              <w:t>Individueel</w:t>
            </w:r>
          </w:p>
        </w:tc>
        <w:tc>
          <w:tcPr>
            <w:tcW w:w="1125" w:type="dxa"/>
          </w:tcPr>
          <w:p w:rsidR="00DD48BC" w:rsidRPr="00DD48BC" w:rsidRDefault="00DD48BC" w:rsidP="00DD48BC">
            <w:pPr>
              <w:pStyle w:val="StandaardSV"/>
              <w:jc w:val="right"/>
              <w:rPr>
                <w:bCs/>
                <w:szCs w:val="22"/>
              </w:rPr>
            </w:pPr>
            <w:r w:rsidRPr="00DD48BC">
              <w:rPr>
                <w:bCs/>
                <w:szCs w:val="22"/>
              </w:rPr>
              <w:t>590</w:t>
            </w:r>
          </w:p>
        </w:tc>
        <w:tc>
          <w:tcPr>
            <w:tcW w:w="1125" w:type="dxa"/>
            <w:noWrap/>
            <w:hideMark/>
          </w:tcPr>
          <w:p w:rsidR="00DD48BC" w:rsidRPr="00DD48BC" w:rsidRDefault="00DD48BC" w:rsidP="00DD48BC">
            <w:pPr>
              <w:pStyle w:val="StandaardSV"/>
              <w:jc w:val="right"/>
              <w:rPr>
                <w:bCs/>
                <w:szCs w:val="22"/>
              </w:rPr>
            </w:pPr>
            <w:r w:rsidRPr="00DD48BC">
              <w:rPr>
                <w:bCs/>
                <w:szCs w:val="22"/>
              </w:rPr>
              <w:t>206</w:t>
            </w:r>
          </w:p>
        </w:tc>
      </w:tr>
      <w:tr w:rsidR="00DD48BC" w:rsidRPr="00DD48BC" w:rsidTr="00DD48BC">
        <w:trPr>
          <w:trHeight w:val="293"/>
        </w:trPr>
        <w:tc>
          <w:tcPr>
            <w:tcW w:w="3260" w:type="dxa"/>
            <w:noWrap/>
            <w:hideMark/>
          </w:tcPr>
          <w:p w:rsidR="00DD48BC" w:rsidRPr="00DD48BC" w:rsidRDefault="00DD48BC" w:rsidP="000619B1">
            <w:pPr>
              <w:pStyle w:val="StandaardSV"/>
              <w:rPr>
                <w:bCs/>
                <w:szCs w:val="22"/>
              </w:rPr>
            </w:pPr>
            <w:r w:rsidRPr="00DD48BC">
              <w:rPr>
                <w:bCs/>
                <w:szCs w:val="22"/>
              </w:rPr>
              <w:t>In groepsverband</w:t>
            </w:r>
          </w:p>
        </w:tc>
        <w:tc>
          <w:tcPr>
            <w:tcW w:w="1125" w:type="dxa"/>
          </w:tcPr>
          <w:p w:rsidR="00DD48BC" w:rsidRPr="00DD48BC" w:rsidRDefault="00DD48BC" w:rsidP="00DD48BC">
            <w:pPr>
              <w:pStyle w:val="StandaardSV"/>
              <w:jc w:val="right"/>
              <w:rPr>
                <w:bCs/>
                <w:szCs w:val="22"/>
              </w:rPr>
            </w:pPr>
            <w:r w:rsidRPr="00DD48BC">
              <w:rPr>
                <w:bCs/>
                <w:szCs w:val="22"/>
              </w:rPr>
              <w:t>11.935</w:t>
            </w:r>
          </w:p>
        </w:tc>
        <w:tc>
          <w:tcPr>
            <w:tcW w:w="1125" w:type="dxa"/>
            <w:noWrap/>
            <w:hideMark/>
          </w:tcPr>
          <w:p w:rsidR="00DD48BC" w:rsidRPr="00DD48BC" w:rsidRDefault="00DD48BC" w:rsidP="00DD48BC">
            <w:pPr>
              <w:pStyle w:val="StandaardSV"/>
              <w:jc w:val="right"/>
              <w:rPr>
                <w:bCs/>
                <w:szCs w:val="22"/>
              </w:rPr>
            </w:pPr>
            <w:r w:rsidRPr="00DD48BC">
              <w:rPr>
                <w:bCs/>
                <w:szCs w:val="22"/>
              </w:rPr>
              <w:t>6.044</w:t>
            </w:r>
          </w:p>
        </w:tc>
      </w:tr>
      <w:tr w:rsidR="00DD48BC" w:rsidRPr="00DD48BC" w:rsidTr="00DD48BC">
        <w:trPr>
          <w:trHeight w:val="293"/>
        </w:trPr>
        <w:tc>
          <w:tcPr>
            <w:tcW w:w="3260" w:type="dxa"/>
            <w:noWrap/>
            <w:hideMark/>
          </w:tcPr>
          <w:p w:rsidR="00DD48BC" w:rsidRPr="00DD48BC" w:rsidRDefault="00DD48BC" w:rsidP="000619B1">
            <w:pPr>
              <w:pStyle w:val="StandaardSV"/>
              <w:rPr>
                <w:szCs w:val="22"/>
              </w:rPr>
            </w:pPr>
            <w:r w:rsidRPr="00DD48BC">
              <w:rPr>
                <w:szCs w:val="22"/>
              </w:rPr>
              <w:t>Vlaams jeugdwerk</w:t>
            </w:r>
          </w:p>
        </w:tc>
        <w:tc>
          <w:tcPr>
            <w:tcW w:w="1125" w:type="dxa"/>
          </w:tcPr>
          <w:p w:rsidR="00DD48BC" w:rsidRPr="00DD48BC" w:rsidRDefault="00DD48BC" w:rsidP="00DD48BC">
            <w:pPr>
              <w:pStyle w:val="StandaardSV"/>
              <w:jc w:val="right"/>
              <w:rPr>
                <w:szCs w:val="22"/>
              </w:rPr>
            </w:pPr>
            <w:r w:rsidRPr="00DD48BC">
              <w:rPr>
                <w:szCs w:val="22"/>
              </w:rPr>
              <w:t>1.753</w:t>
            </w:r>
          </w:p>
        </w:tc>
        <w:tc>
          <w:tcPr>
            <w:tcW w:w="1125" w:type="dxa"/>
            <w:noWrap/>
            <w:hideMark/>
          </w:tcPr>
          <w:p w:rsidR="00DD48BC" w:rsidRPr="00DD48BC" w:rsidRDefault="00DD48BC" w:rsidP="00DD48BC">
            <w:pPr>
              <w:pStyle w:val="StandaardSV"/>
              <w:jc w:val="right"/>
              <w:rPr>
                <w:szCs w:val="22"/>
              </w:rPr>
            </w:pPr>
          </w:p>
        </w:tc>
      </w:tr>
      <w:tr w:rsidR="00DD48BC" w:rsidRPr="00DD48BC" w:rsidTr="00DD48BC">
        <w:trPr>
          <w:trHeight w:val="293"/>
        </w:trPr>
        <w:tc>
          <w:tcPr>
            <w:tcW w:w="3260" w:type="dxa"/>
            <w:noWrap/>
            <w:hideMark/>
          </w:tcPr>
          <w:p w:rsidR="00DD48BC" w:rsidRPr="00DD48BC" w:rsidRDefault="00DD48BC" w:rsidP="000619B1">
            <w:pPr>
              <w:pStyle w:val="StandaardSV"/>
              <w:rPr>
                <w:szCs w:val="22"/>
              </w:rPr>
            </w:pPr>
            <w:r w:rsidRPr="00DD48BC">
              <w:rPr>
                <w:szCs w:val="22"/>
              </w:rPr>
              <w:t>Andere jeugdgroepen</w:t>
            </w:r>
          </w:p>
        </w:tc>
        <w:tc>
          <w:tcPr>
            <w:tcW w:w="1125" w:type="dxa"/>
          </w:tcPr>
          <w:p w:rsidR="00DD48BC" w:rsidRPr="00DD48BC" w:rsidRDefault="00DD48BC" w:rsidP="00DD48BC">
            <w:pPr>
              <w:pStyle w:val="StandaardSV"/>
              <w:jc w:val="right"/>
              <w:rPr>
                <w:szCs w:val="22"/>
              </w:rPr>
            </w:pPr>
            <w:r w:rsidRPr="00DD48BC">
              <w:rPr>
                <w:szCs w:val="22"/>
              </w:rPr>
              <w:t>140</w:t>
            </w:r>
          </w:p>
        </w:tc>
        <w:tc>
          <w:tcPr>
            <w:tcW w:w="1125" w:type="dxa"/>
            <w:noWrap/>
            <w:hideMark/>
          </w:tcPr>
          <w:p w:rsidR="00DD48BC" w:rsidRPr="00DD48BC" w:rsidRDefault="00DD48BC" w:rsidP="00DD48BC">
            <w:pPr>
              <w:pStyle w:val="StandaardSV"/>
              <w:jc w:val="right"/>
              <w:rPr>
                <w:szCs w:val="22"/>
              </w:rPr>
            </w:pPr>
            <w:r w:rsidRPr="00DD48BC">
              <w:rPr>
                <w:szCs w:val="22"/>
              </w:rPr>
              <w:t>372</w:t>
            </w:r>
          </w:p>
        </w:tc>
      </w:tr>
      <w:tr w:rsidR="00DD48BC" w:rsidRPr="00DD48BC" w:rsidTr="00DD48BC">
        <w:trPr>
          <w:trHeight w:val="293"/>
        </w:trPr>
        <w:tc>
          <w:tcPr>
            <w:tcW w:w="3260" w:type="dxa"/>
            <w:noWrap/>
            <w:hideMark/>
          </w:tcPr>
          <w:p w:rsidR="00DD48BC" w:rsidRPr="00DD48BC" w:rsidRDefault="00DD48BC" w:rsidP="000619B1">
            <w:pPr>
              <w:pStyle w:val="StandaardSV"/>
              <w:rPr>
                <w:szCs w:val="22"/>
              </w:rPr>
            </w:pPr>
            <w:r w:rsidRPr="00DD48BC">
              <w:rPr>
                <w:szCs w:val="22"/>
              </w:rPr>
              <w:t>Scholen</w:t>
            </w:r>
          </w:p>
        </w:tc>
        <w:tc>
          <w:tcPr>
            <w:tcW w:w="1125" w:type="dxa"/>
          </w:tcPr>
          <w:p w:rsidR="00DD48BC" w:rsidRPr="00DD48BC" w:rsidRDefault="00DD48BC" w:rsidP="00DD48BC">
            <w:pPr>
              <w:pStyle w:val="StandaardSV"/>
              <w:jc w:val="right"/>
              <w:rPr>
                <w:szCs w:val="22"/>
              </w:rPr>
            </w:pPr>
            <w:r w:rsidRPr="00DD48BC">
              <w:rPr>
                <w:szCs w:val="22"/>
              </w:rPr>
              <w:t>7.950</w:t>
            </w:r>
          </w:p>
        </w:tc>
        <w:tc>
          <w:tcPr>
            <w:tcW w:w="1125" w:type="dxa"/>
            <w:noWrap/>
            <w:hideMark/>
          </w:tcPr>
          <w:p w:rsidR="00DD48BC" w:rsidRPr="00DD48BC" w:rsidRDefault="00DD48BC" w:rsidP="00DD48BC">
            <w:pPr>
              <w:pStyle w:val="StandaardSV"/>
              <w:jc w:val="right"/>
              <w:rPr>
                <w:szCs w:val="22"/>
              </w:rPr>
            </w:pPr>
            <w:r w:rsidRPr="00DD48BC">
              <w:rPr>
                <w:szCs w:val="22"/>
              </w:rPr>
              <w:t>4.231</w:t>
            </w:r>
          </w:p>
        </w:tc>
      </w:tr>
      <w:tr w:rsidR="00DD48BC" w:rsidRPr="00DD48BC" w:rsidTr="00DD48BC">
        <w:trPr>
          <w:trHeight w:val="293"/>
        </w:trPr>
        <w:tc>
          <w:tcPr>
            <w:tcW w:w="3260" w:type="dxa"/>
            <w:noWrap/>
            <w:hideMark/>
          </w:tcPr>
          <w:p w:rsidR="00DD48BC" w:rsidRPr="00DD48BC" w:rsidRDefault="00DD48BC" w:rsidP="000619B1">
            <w:pPr>
              <w:pStyle w:val="StandaardSV"/>
              <w:rPr>
                <w:szCs w:val="22"/>
              </w:rPr>
            </w:pPr>
            <w:r w:rsidRPr="00DD48BC">
              <w:rPr>
                <w:szCs w:val="22"/>
              </w:rPr>
              <w:t>Volwassenengroepen</w:t>
            </w:r>
          </w:p>
        </w:tc>
        <w:tc>
          <w:tcPr>
            <w:tcW w:w="1125" w:type="dxa"/>
          </w:tcPr>
          <w:p w:rsidR="00DD48BC" w:rsidRPr="00DD48BC" w:rsidRDefault="00DD48BC" w:rsidP="00DD48BC">
            <w:pPr>
              <w:pStyle w:val="StandaardSV"/>
              <w:jc w:val="right"/>
              <w:rPr>
                <w:szCs w:val="22"/>
              </w:rPr>
            </w:pPr>
            <w:r w:rsidRPr="00DD48BC">
              <w:rPr>
                <w:szCs w:val="22"/>
              </w:rPr>
              <w:t>2.092</w:t>
            </w:r>
          </w:p>
        </w:tc>
        <w:tc>
          <w:tcPr>
            <w:tcW w:w="1125" w:type="dxa"/>
            <w:noWrap/>
            <w:hideMark/>
          </w:tcPr>
          <w:p w:rsidR="00DD48BC" w:rsidRPr="00DD48BC" w:rsidRDefault="00DD48BC" w:rsidP="00DD48BC">
            <w:pPr>
              <w:pStyle w:val="StandaardSV"/>
              <w:jc w:val="right"/>
              <w:rPr>
                <w:szCs w:val="22"/>
              </w:rPr>
            </w:pPr>
            <w:r w:rsidRPr="00DD48BC">
              <w:rPr>
                <w:szCs w:val="22"/>
              </w:rPr>
              <w:t>1.441</w:t>
            </w:r>
          </w:p>
        </w:tc>
      </w:tr>
      <w:tr w:rsidR="00DD48BC" w:rsidRPr="00DD48BC" w:rsidTr="00DD48BC">
        <w:trPr>
          <w:trHeight w:val="293"/>
        </w:trPr>
        <w:tc>
          <w:tcPr>
            <w:tcW w:w="3260" w:type="dxa"/>
            <w:noWrap/>
            <w:hideMark/>
          </w:tcPr>
          <w:p w:rsidR="00DD48BC" w:rsidRPr="00DD48BC" w:rsidRDefault="00DD48BC" w:rsidP="000619B1">
            <w:pPr>
              <w:pStyle w:val="StandaardSV"/>
              <w:rPr>
                <w:bCs/>
                <w:szCs w:val="22"/>
              </w:rPr>
            </w:pPr>
            <w:r w:rsidRPr="00DD48BC">
              <w:rPr>
                <w:bCs/>
                <w:szCs w:val="22"/>
              </w:rPr>
              <w:t>Jongeren &lt; 26 jaar</w:t>
            </w:r>
          </w:p>
        </w:tc>
        <w:tc>
          <w:tcPr>
            <w:tcW w:w="1125" w:type="dxa"/>
          </w:tcPr>
          <w:p w:rsidR="00DD48BC" w:rsidRPr="00DD48BC" w:rsidRDefault="00DD48BC" w:rsidP="00DD48BC">
            <w:pPr>
              <w:pStyle w:val="StandaardSV"/>
              <w:jc w:val="right"/>
              <w:rPr>
                <w:bCs/>
                <w:szCs w:val="22"/>
              </w:rPr>
            </w:pPr>
            <w:r w:rsidRPr="00DD48BC">
              <w:rPr>
                <w:bCs/>
                <w:szCs w:val="22"/>
              </w:rPr>
              <w:t>10.792</w:t>
            </w:r>
          </w:p>
        </w:tc>
        <w:tc>
          <w:tcPr>
            <w:tcW w:w="1125" w:type="dxa"/>
            <w:noWrap/>
            <w:hideMark/>
          </w:tcPr>
          <w:p w:rsidR="00DD48BC" w:rsidRPr="00DD48BC" w:rsidRDefault="00DD48BC" w:rsidP="00DD48BC">
            <w:pPr>
              <w:pStyle w:val="StandaardSV"/>
              <w:jc w:val="right"/>
              <w:rPr>
                <w:bCs/>
                <w:szCs w:val="22"/>
              </w:rPr>
            </w:pPr>
            <w:r w:rsidRPr="00DD48BC">
              <w:rPr>
                <w:bCs/>
                <w:szCs w:val="22"/>
              </w:rPr>
              <w:t>5.157</w:t>
            </w:r>
          </w:p>
        </w:tc>
      </w:tr>
      <w:tr w:rsidR="00DD48BC" w:rsidRPr="00DD48BC" w:rsidTr="00DD48BC">
        <w:trPr>
          <w:trHeight w:val="293"/>
        </w:trPr>
        <w:tc>
          <w:tcPr>
            <w:tcW w:w="3260" w:type="dxa"/>
            <w:noWrap/>
            <w:hideMark/>
          </w:tcPr>
          <w:p w:rsidR="00DD48BC" w:rsidRPr="00DD48BC" w:rsidRDefault="00DD48BC" w:rsidP="000619B1">
            <w:pPr>
              <w:pStyle w:val="StandaardSV"/>
              <w:rPr>
                <w:szCs w:val="22"/>
              </w:rPr>
            </w:pPr>
            <w:r w:rsidRPr="00DD48BC">
              <w:rPr>
                <w:szCs w:val="22"/>
              </w:rPr>
              <w:t>Volwassenen &gt; 26 jaar</w:t>
            </w:r>
          </w:p>
        </w:tc>
        <w:tc>
          <w:tcPr>
            <w:tcW w:w="1125" w:type="dxa"/>
          </w:tcPr>
          <w:p w:rsidR="00DD48BC" w:rsidRPr="00DD48BC" w:rsidRDefault="00DD48BC" w:rsidP="00DD48BC">
            <w:pPr>
              <w:pStyle w:val="StandaardSV"/>
              <w:jc w:val="right"/>
              <w:rPr>
                <w:szCs w:val="22"/>
              </w:rPr>
            </w:pPr>
            <w:r w:rsidRPr="00DD48BC">
              <w:rPr>
                <w:szCs w:val="22"/>
              </w:rPr>
              <w:t>1.733</w:t>
            </w:r>
          </w:p>
        </w:tc>
        <w:tc>
          <w:tcPr>
            <w:tcW w:w="1125" w:type="dxa"/>
            <w:noWrap/>
            <w:hideMark/>
          </w:tcPr>
          <w:p w:rsidR="00DD48BC" w:rsidRPr="00DD48BC" w:rsidRDefault="00DD48BC" w:rsidP="00DD48BC">
            <w:pPr>
              <w:pStyle w:val="StandaardSV"/>
              <w:jc w:val="right"/>
              <w:rPr>
                <w:szCs w:val="22"/>
              </w:rPr>
            </w:pPr>
            <w:r w:rsidRPr="00DD48BC">
              <w:rPr>
                <w:szCs w:val="22"/>
              </w:rPr>
              <w:t>887</w:t>
            </w:r>
          </w:p>
        </w:tc>
      </w:tr>
      <w:tr w:rsidR="00DD48BC" w:rsidRPr="00DD48BC" w:rsidTr="00DD48BC">
        <w:trPr>
          <w:trHeight w:val="293"/>
        </w:trPr>
        <w:tc>
          <w:tcPr>
            <w:tcW w:w="3260" w:type="dxa"/>
            <w:noWrap/>
            <w:hideMark/>
          </w:tcPr>
          <w:p w:rsidR="00DD48BC" w:rsidRPr="00DD48BC" w:rsidRDefault="00DD48BC" w:rsidP="000619B1">
            <w:pPr>
              <w:pStyle w:val="StandaardSV"/>
              <w:rPr>
                <w:bCs/>
                <w:szCs w:val="22"/>
              </w:rPr>
            </w:pPr>
            <w:r w:rsidRPr="00DD48BC">
              <w:rPr>
                <w:bCs/>
                <w:szCs w:val="22"/>
              </w:rPr>
              <w:t>Totaal</w:t>
            </w:r>
          </w:p>
        </w:tc>
        <w:tc>
          <w:tcPr>
            <w:tcW w:w="1125" w:type="dxa"/>
          </w:tcPr>
          <w:p w:rsidR="00DD48BC" w:rsidRPr="00DD48BC" w:rsidRDefault="00DD48BC" w:rsidP="00DD48BC">
            <w:pPr>
              <w:pStyle w:val="StandaardSV"/>
              <w:jc w:val="right"/>
              <w:rPr>
                <w:bCs/>
                <w:szCs w:val="22"/>
              </w:rPr>
            </w:pPr>
            <w:r w:rsidRPr="00DD48BC">
              <w:rPr>
                <w:bCs/>
                <w:szCs w:val="22"/>
              </w:rPr>
              <w:t>12.525</w:t>
            </w:r>
          </w:p>
        </w:tc>
        <w:tc>
          <w:tcPr>
            <w:tcW w:w="1125" w:type="dxa"/>
            <w:noWrap/>
            <w:hideMark/>
          </w:tcPr>
          <w:p w:rsidR="00DD48BC" w:rsidRPr="00DD48BC" w:rsidRDefault="00DD48BC" w:rsidP="00DD48BC">
            <w:pPr>
              <w:pStyle w:val="StandaardSV"/>
              <w:jc w:val="right"/>
              <w:rPr>
                <w:bCs/>
                <w:szCs w:val="22"/>
              </w:rPr>
            </w:pPr>
            <w:r w:rsidRPr="00DD48BC">
              <w:rPr>
                <w:bCs/>
                <w:szCs w:val="22"/>
              </w:rPr>
              <w:t>6.252</w:t>
            </w:r>
          </w:p>
        </w:tc>
      </w:tr>
    </w:tbl>
    <w:p w:rsidR="004B3B9E" w:rsidRDefault="004B3B9E" w:rsidP="004B3B9E">
      <w:pPr>
        <w:pStyle w:val="StandaardSV"/>
        <w:ind w:left="360"/>
      </w:pPr>
    </w:p>
    <w:p w:rsidR="00DD48BC" w:rsidRDefault="00DD48BC" w:rsidP="004B3B9E">
      <w:pPr>
        <w:pStyle w:val="StandaardSV"/>
        <w:ind w:left="360"/>
      </w:pPr>
      <w:r>
        <w:t>Onderstaande tabel geeft een overzicht van de overnachtingen volgens nationaliteit:</w:t>
      </w:r>
    </w:p>
    <w:p w:rsidR="004B3B9E" w:rsidRDefault="004B3B9E" w:rsidP="004B3B9E">
      <w:pPr>
        <w:pStyle w:val="StandaardSV"/>
        <w:ind w:left="360"/>
      </w:pPr>
    </w:p>
    <w:tbl>
      <w:tblPr>
        <w:tblStyle w:val="Eenvoudigetabel1"/>
        <w:tblW w:w="0" w:type="auto"/>
        <w:tblInd w:w="534" w:type="dxa"/>
        <w:tblLook w:val="04A0" w:firstRow="1" w:lastRow="0" w:firstColumn="1" w:lastColumn="0" w:noHBand="0" w:noVBand="1"/>
      </w:tblPr>
      <w:tblGrid>
        <w:gridCol w:w="2303"/>
        <w:gridCol w:w="2303"/>
        <w:gridCol w:w="2303"/>
      </w:tblGrid>
      <w:tr w:rsidR="00DD48BC" w:rsidRPr="00DD48BC" w:rsidTr="00DD48BC">
        <w:trPr>
          <w:cnfStyle w:val="100000000000" w:firstRow="1" w:lastRow="0" w:firstColumn="0" w:lastColumn="0" w:oddVBand="0" w:evenVBand="0" w:oddHBand="0" w:evenHBand="0" w:firstRowFirstColumn="0" w:firstRowLastColumn="0" w:lastRowFirstColumn="0" w:lastRowLastColumn="0"/>
        </w:trPr>
        <w:tc>
          <w:tcPr>
            <w:tcW w:w="2303" w:type="dxa"/>
          </w:tcPr>
          <w:p w:rsidR="00DD48BC" w:rsidRPr="00DD48BC" w:rsidRDefault="00DD48BC" w:rsidP="000619B1">
            <w:pPr>
              <w:pStyle w:val="StandaardSV"/>
            </w:pPr>
            <w:r w:rsidRPr="00DD48BC">
              <w:t xml:space="preserve">Nationaliteit </w:t>
            </w:r>
          </w:p>
        </w:tc>
        <w:tc>
          <w:tcPr>
            <w:tcW w:w="2303" w:type="dxa"/>
          </w:tcPr>
          <w:p w:rsidR="00DD48BC" w:rsidRPr="00DD48BC" w:rsidRDefault="00DD48BC" w:rsidP="000619B1">
            <w:pPr>
              <w:pStyle w:val="StandaardSV"/>
            </w:pPr>
            <w:r w:rsidRPr="00DD48BC">
              <w:t>2012</w:t>
            </w:r>
          </w:p>
        </w:tc>
        <w:tc>
          <w:tcPr>
            <w:tcW w:w="2303" w:type="dxa"/>
          </w:tcPr>
          <w:p w:rsidR="00DD48BC" w:rsidRPr="00DD48BC" w:rsidRDefault="00DD48BC" w:rsidP="000619B1">
            <w:pPr>
              <w:pStyle w:val="StandaardSV"/>
            </w:pPr>
            <w:r w:rsidRPr="00DD48BC">
              <w:t>2013 (tem juni)</w:t>
            </w:r>
          </w:p>
        </w:tc>
      </w:tr>
      <w:tr w:rsidR="00DD48BC" w:rsidRPr="00DD48BC" w:rsidTr="00DD48BC">
        <w:tc>
          <w:tcPr>
            <w:tcW w:w="2303" w:type="dxa"/>
          </w:tcPr>
          <w:p w:rsidR="00DD48BC" w:rsidRPr="00DD48BC" w:rsidRDefault="00DD48BC" w:rsidP="000619B1">
            <w:pPr>
              <w:pStyle w:val="StandaardSV"/>
            </w:pPr>
            <w:r w:rsidRPr="00DD48BC">
              <w:t>België</w:t>
            </w:r>
          </w:p>
        </w:tc>
        <w:tc>
          <w:tcPr>
            <w:tcW w:w="2303" w:type="dxa"/>
          </w:tcPr>
          <w:p w:rsidR="00DD48BC" w:rsidRPr="00DD48BC" w:rsidRDefault="00DD48BC" w:rsidP="000619B1">
            <w:pPr>
              <w:pStyle w:val="StandaardSV"/>
            </w:pPr>
            <w:r w:rsidRPr="00DD48BC">
              <w:t>4873</w:t>
            </w:r>
          </w:p>
        </w:tc>
        <w:tc>
          <w:tcPr>
            <w:tcW w:w="2303" w:type="dxa"/>
          </w:tcPr>
          <w:p w:rsidR="00DD48BC" w:rsidRPr="00DD48BC" w:rsidRDefault="00DD48BC" w:rsidP="000619B1">
            <w:pPr>
              <w:pStyle w:val="StandaardSV"/>
            </w:pPr>
            <w:r w:rsidRPr="00DD48BC">
              <w:t>1498</w:t>
            </w:r>
          </w:p>
        </w:tc>
      </w:tr>
      <w:tr w:rsidR="00DD48BC" w:rsidRPr="00DD48BC" w:rsidTr="00DD48BC">
        <w:tc>
          <w:tcPr>
            <w:tcW w:w="2303" w:type="dxa"/>
          </w:tcPr>
          <w:p w:rsidR="00DD48BC" w:rsidRPr="00DD48BC" w:rsidRDefault="00DD48BC" w:rsidP="000619B1">
            <w:pPr>
              <w:pStyle w:val="StandaardSV"/>
            </w:pPr>
            <w:r w:rsidRPr="00DD48BC">
              <w:t>Groot-Brittannië</w:t>
            </w:r>
          </w:p>
        </w:tc>
        <w:tc>
          <w:tcPr>
            <w:tcW w:w="2303" w:type="dxa"/>
          </w:tcPr>
          <w:p w:rsidR="00DD48BC" w:rsidRPr="00DD48BC" w:rsidRDefault="00DD48BC" w:rsidP="000619B1">
            <w:pPr>
              <w:pStyle w:val="StandaardSV"/>
            </w:pPr>
            <w:r w:rsidRPr="00DD48BC">
              <w:t>6264</w:t>
            </w:r>
          </w:p>
        </w:tc>
        <w:tc>
          <w:tcPr>
            <w:tcW w:w="2303" w:type="dxa"/>
          </w:tcPr>
          <w:p w:rsidR="00DD48BC" w:rsidRPr="00DD48BC" w:rsidRDefault="00DD48BC" w:rsidP="000619B1">
            <w:pPr>
              <w:pStyle w:val="StandaardSV"/>
            </w:pPr>
            <w:r w:rsidRPr="00DD48BC">
              <w:t>3133</w:t>
            </w:r>
          </w:p>
        </w:tc>
      </w:tr>
      <w:tr w:rsidR="00DD48BC" w:rsidRPr="00DD48BC" w:rsidTr="00DD48BC">
        <w:tc>
          <w:tcPr>
            <w:tcW w:w="2303" w:type="dxa"/>
          </w:tcPr>
          <w:p w:rsidR="00DD48BC" w:rsidRPr="00DD48BC" w:rsidRDefault="00DD48BC" w:rsidP="000619B1">
            <w:pPr>
              <w:pStyle w:val="StandaardSV"/>
            </w:pPr>
            <w:r w:rsidRPr="00DD48BC">
              <w:t>Duitsland</w:t>
            </w:r>
          </w:p>
        </w:tc>
        <w:tc>
          <w:tcPr>
            <w:tcW w:w="2303" w:type="dxa"/>
          </w:tcPr>
          <w:p w:rsidR="00DD48BC" w:rsidRPr="00DD48BC" w:rsidRDefault="00DD48BC" w:rsidP="000619B1">
            <w:pPr>
              <w:pStyle w:val="StandaardSV"/>
            </w:pPr>
            <w:r w:rsidRPr="00DD48BC">
              <w:t>465</w:t>
            </w:r>
          </w:p>
        </w:tc>
        <w:tc>
          <w:tcPr>
            <w:tcW w:w="2303" w:type="dxa"/>
          </w:tcPr>
          <w:p w:rsidR="00DD48BC" w:rsidRPr="00DD48BC" w:rsidRDefault="00DD48BC" w:rsidP="000619B1">
            <w:pPr>
              <w:pStyle w:val="StandaardSV"/>
            </w:pPr>
            <w:r w:rsidRPr="00DD48BC">
              <w:t>315</w:t>
            </w:r>
          </w:p>
        </w:tc>
      </w:tr>
      <w:tr w:rsidR="00DD48BC" w:rsidRPr="00DD48BC" w:rsidTr="00DD48BC">
        <w:tc>
          <w:tcPr>
            <w:tcW w:w="2303" w:type="dxa"/>
          </w:tcPr>
          <w:p w:rsidR="00DD48BC" w:rsidRPr="00DD48BC" w:rsidRDefault="00DD48BC" w:rsidP="000619B1">
            <w:pPr>
              <w:pStyle w:val="StandaardSV"/>
            </w:pPr>
            <w:r w:rsidRPr="00DD48BC">
              <w:t>Nederland</w:t>
            </w:r>
          </w:p>
        </w:tc>
        <w:tc>
          <w:tcPr>
            <w:tcW w:w="2303" w:type="dxa"/>
          </w:tcPr>
          <w:p w:rsidR="00DD48BC" w:rsidRPr="00DD48BC" w:rsidRDefault="00DD48BC" w:rsidP="000619B1">
            <w:pPr>
              <w:pStyle w:val="StandaardSV"/>
            </w:pPr>
            <w:r w:rsidRPr="00DD48BC">
              <w:t>139</w:t>
            </w:r>
          </w:p>
        </w:tc>
        <w:tc>
          <w:tcPr>
            <w:tcW w:w="2303" w:type="dxa"/>
          </w:tcPr>
          <w:p w:rsidR="00DD48BC" w:rsidRPr="00DD48BC" w:rsidRDefault="00DD48BC" w:rsidP="000619B1">
            <w:pPr>
              <w:pStyle w:val="StandaardSV"/>
            </w:pPr>
            <w:r w:rsidRPr="00DD48BC">
              <w:t>493</w:t>
            </w:r>
          </w:p>
        </w:tc>
      </w:tr>
      <w:tr w:rsidR="00DD48BC" w:rsidRPr="00DD48BC" w:rsidTr="00DD48BC">
        <w:tc>
          <w:tcPr>
            <w:tcW w:w="2303" w:type="dxa"/>
          </w:tcPr>
          <w:p w:rsidR="00DD48BC" w:rsidRPr="00DD48BC" w:rsidRDefault="00DD48BC" w:rsidP="000619B1">
            <w:pPr>
              <w:pStyle w:val="StandaardSV"/>
            </w:pPr>
            <w:r w:rsidRPr="00DD48BC">
              <w:t>Frankrijk</w:t>
            </w:r>
          </w:p>
        </w:tc>
        <w:tc>
          <w:tcPr>
            <w:tcW w:w="2303" w:type="dxa"/>
          </w:tcPr>
          <w:p w:rsidR="00DD48BC" w:rsidRPr="00DD48BC" w:rsidRDefault="00DD48BC" w:rsidP="000619B1">
            <w:pPr>
              <w:pStyle w:val="StandaardSV"/>
            </w:pPr>
            <w:r w:rsidRPr="00DD48BC">
              <w:t>47</w:t>
            </w:r>
          </w:p>
        </w:tc>
        <w:tc>
          <w:tcPr>
            <w:tcW w:w="2303" w:type="dxa"/>
          </w:tcPr>
          <w:p w:rsidR="00DD48BC" w:rsidRPr="00DD48BC" w:rsidRDefault="00DD48BC" w:rsidP="000619B1">
            <w:pPr>
              <w:pStyle w:val="StandaardSV"/>
            </w:pPr>
            <w:r w:rsidRPr="00DD48BC">
              <w:t>379</w:t>
            </w:r>
          </w:p>
        </w:tc>
      </w:tr>
      <w:tr w:rsidR="00DD48BC" w:rsidRPr="00DD48BC" w:rsidTr="00DD48BC">
        <w:tc>
          <w:tcPr>
            <w:tcW w:w="2303" w:type="dxa"/>
          </w:tcPr>
          <w:p w:rsidR="00DD48BC" w:rsidRPr="00DD48BC" w:rsidRDefault="00DD48BC" w:rsidP="000619B1">
            <w:pPr>
              <w:pStyle w:val="StandaardSV"/>
            </w:pPr>
            <w:r w:rsidRPr="00DD48BC">
              <w:t>Andere</w:t>
            </w:r>
          </w:p>
        </w:tc>
        <w:tc>
          <w:tcPr>
            <w:tcW w:w="2303" w:type="dxa"/>
          </w:tcPr>
          <w:p w:rsidR="00DD48BC" w:rsidRPr="00DD48BC" w:rsidRDefault="00DD48BC" w:rsidP="000619B1">
            <w:pPr>
              <w:pStyle w:val="StandaardSV"/>
            </w:pPr>
            <w:r w:rsidRPr="00DD48BC">
              <w:t>739</w:t>
            </w:r>
          </w:p>
        </w:tc>
        <w:tc>
          <w:tcPr>
            <w:tcW w:w="2303" w:type="dxa"/>
          </w:tcPr>
          <w:p w:rsidR="00DD48BC" w:rsidRPr="00DD48BC" w:rsidRDefault="00DD48BC" w:rsidP="000619B1">
            <w:pPr>
              <w:pStyle w:val="StandaardSV"/>
            </w:pPr>
            <w:r w:rsidRPr="00DD48BC">
              <w:t>439</w:t>
            </w:r>
          </w:p>
        </w:tc>
      </w:tr>
    </w:tbl>
    <w:p w:rsidR="004B3B9E" w:rsidRDefault="004B3B9E" w:rsidP="004B3B9E">
      <w:pPr>
        <w:pStyle w:val="StandaardSV"/>
        <w:ind w:left="360"/>
      </w:pPr>
    </w:p>
    <w:p w:rsidR="004B3B9E" w:rsidRDefault="00DD48BC" w:rsidP="009E43EE">
      <w:pPr>
        <w:pStyle w:val="StandaardSV"/>
        <w:numPr>
          <w:ilvl w:val="0"/>
          <w:numId w:val="19"/>
        </w:numPr>
      </w:pPr>
      <w:r w:rsidRPr="00D24D7D">
        <w:t>De Ierse aanwezigheid</w:t>
      </w:r>
      <w:r>
        <w:t xml:space="preserve"> was</w:t>
      </w:r>
      <w:r w:rsidRPr="00D24D7D">
        <w:t xml:space="preserve"> in de</w:t>
      </w:r>
      <w:r>
        <w:t xml:space="preserve"> beginjaren al relatief beperkt.</w:t>
      </w:r>
      <w:r w:rsidRPr="00D24D7D">
        <w:t xml:space="preserve"> Omwille van de financiële problemen hebben de oorspronkelijke bestuurders, waaronder de Maydown Ebrington Group uit Noord-Ierland, zich begin 2009 teruggetrokken uit de vzw. De Ierse aanwezigheid</w:t>
      </w:r>
      <w:r>
        <w:t xml:space="preserve"> </w:t>
      </w:r>
      <w:r w:rsidRPr="00D24D7D">
        <w:t xml:space="preserve">is sindsdien bijna volledig weggevallen. Vanuit Heuvelland werd er in samenwerking met de Peace Village een educatief programma ontwikkeld, maar de respons vanuit Ierland is quasi nihil. Daarom is voor de Peace Village de Ierse markt momenteel geen </w:t>
      </w:r>
      <w:r>
        <w:t>top</w:t>
      </w:r>
      <w:r w:rsidRPr="00D24D7D">
        <w:t>prioriteit, hoewel dit een optie blijft op middellange termijn.</w:t>
      </w:r>
    </w:p>
    <w:p w:rsidR="00B77216" w:rsidRDefault="00B77216" w:rsidP="00B77216">
      <w:pPr>
        <w:pStyle w:val="StandaardSV"/>
      </w:pPr>
    </w:p>
    <w:p w:rsidR="00B77216" w:rsidRDefault="00B77216" w:rsidP="00B77216">
      <w:pPr>
        <w:pStyle w:val="StandaardSV"/>
      </w:pPr>
    </w:p>
    <w:p w:rsidR="00B77216" w:rsidRPr="00B77216" w:rsidRDefault="00B77216" w:rsidP="00B77216">
      <w:pPr>
        <w:pStyle w:val="StandaardSV"/>
        <w:rPr>
          <w:b/>
          <w:smallCaps/>
          <w:color w:val="FF0000"/>
          <w:u w:val="single"/>
        </w:rPr>
      </w:pPr>
      <w:r>
        <w:rPr>
          <w:b/>
          <w:smallCaps/>
          <w:color w:val="FF0000"/>
          <w:u w:val="single"/>
        </w:rPr>
        <w:lastRenderedPageBreak/>
        <w:t>bijlage</w:t>
      </w:r>
    </w:p>
    <w:p w:rsidR="00B77216" w:rsidRDefault="00B77216" w:rsidP="00B77216">
      <w:pPr>
        <w:pStyle w:val="StandaardSV"/>
      </w:pPr>
    </w:p>
    <w:p w:rsidR="00B77216" w:rsidRDefault="00B77216" w:rsidP="00B77216">
      <w:pPr>
        <w:pStyle w:val="StandaardSV"/>
      </w:pPr>
      <w:r>
        <w:t>O</w:t>
      </w:r>
      <w:bookmarkStart w:id="6" w:name="_GoBack"/>
      <w:bookmarkEnd w:id="6"/>
      <w:r>
        <w:t>verzicht van de maandelijkse overnachtingen in 2012 en 2013</w:t>
      </w:r>
    </w:p>
    <w:sectPr w:rsidR="00B77216"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508" w:rsidRDefault="00660508">
      <w:r>
        <w:separator/>
      </w:r>
    </w:p>
  </w:endnote>
  <w:endnote w:type="continuationSeparator" w:id="0">
    <w:p w:rsidR="00660508" w:rsidRDefault="0066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508" w:rsidRDefault="00660508">
      <w:r>
        <w:separator/>
      </w:r>
    </w:p>
  </w:footnote>
  <w:footnote w:type="continuationSeparator" w:id="0">
    <w:p w:rsidR="00660508" w:rsidRDefault="00660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8761DA"/>
    <w:multiLevelType w:val="hybridMultilevel"/>
    <w:tmpl w:val="E31C34EE"/>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B432DE7"/>
    <w:multiLevelType w:val="hybridMultilevel"/>
    <w:tmpl w:val="7A742CD4"/>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4322ED"/>
    <w:multiLevelType w:val="hybridMultilevel"/>
    <w:tmpl w:val="25B61FF6"/>
    <w:lvl w:ilvl="0" w:tplc="BA26CDF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1C563FE"/>
    <w:multiLevelType w:val="hybridMultilevel"/>
    <w:tmpl w:val="B5D2C126"/>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6986FD3"/>
    <w:multiLevelType w:val="hybridMultilevel"/>
    <w:tmpl w:val="A7C02350"/>
    <w:lvl w:ilvl="0" w:tplc="300EEA3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7A141B4"/>
    <w:multiLevelType w:val="hybridMultilevel"/>
    <w:tmpl w:val="AA9E18A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1D22663D"/>
    <w:multiLevelType w:val="hybridMultilevel"/>
    <w:tmpl w:val="4DAC350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35372B02"/>
    <w:multiLevelType w:val="hybridMultilevel"/>
    <w:tmpl w:val="5EF2D81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5506E23"/>
    <w:multiLevelType w:val="hybridMultilevel"/>
    <w:tmpl w:val="28F48590"/>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A3F4AB0"/>
    <w:multiLevelType w:val="hybridMultilevel"/>
    <w:tmpl w:val="6226CB3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nsid w:val="3BBB2C69"/>
    <w:multiLevelType w:val="hybridMultilevel"/>
    <w:tmpl w:val="E5E2D4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9377F2C"/>
    <w:multiLevelType w:val="hybridMultilevel"/>
    <w:tmpl w:val="A75C059A"/>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6">
    <w:nsid w:val="4A556014"/>
    <w:multiLevelType w:val="hybridMultilevel"/>
    <w:tmpl w:val="39CA55D6"/>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F035DE6"/>
    <w:multiLevelType w:val="hybridMultilevel"/>
    <w:tmpl w:val="2550BFAA"/>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4F1F210C"/>
    <w:multiLevelType w:val="hybridMultilevel"/>
    <w:tmpl w:val="9A74BBA4"/>
    <w:lvl w:ilvl="0" w:tplc="FA14748C">
      <w:start w:val="1"/>
      <w:numFmt w:val="decimal"/>
      <w:lvlText w:val="%1."/>
      <w:lvlJc w:val="left"/>
      <w:pPr>
        <w:ind w:left="360" w:hanging="360"/>
      </w:pPr>
      <w:rPr>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516B3523"/>
    <w:multiLevelType w:val="hybridMultilevel"/>
    <w:tmpl w:val="553AE1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55156158"/>
    <w:multiLevelType w:val="hybridMultilevel"/>
    <w:tmpl w:val="638C7BFE"/>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A4B37E4"/>
    <w:multiLevelType w:val="hybridMultilevel"/>
    <w:tmpl w:val="C298B786"/>
    <w:lvl w:ilvl="0" w:tplc="7706850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ED43623"/>
    <w:multiLevelType w:val="hybridMultilevel"/>
    <w:tmpl w:val="1D44283E"/>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10A11EF"/>
    <w:multiLevelType w:val="hybridMultilevel"/>
    <w:tmpl w:val="81A655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nsid w:val="61A073F9"/>
    <w:multiLevelType w:val="hybridMultilevel"/>
    <w:tmpl w:val="B81C87C6"/>
    <w:lvl w:ilvl="0" w:tplc="77068508">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4F26AC9"/>
    <w:multiLevelType w:val="hybridMultilevel"/>
    <w:tmpl w:val="C4E2A172"/>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6">
    <w:nsid w:val="69F76B30"/>
    <w:multiLevelType w:val="hybridMultilevel"/>
    <w:tmpl w:val="BBFC5B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nsid w:val="76560888"/>
    <w:multiLevelType w:val="hybridMultilevel"/>
    <w:tmpl w:val="F238E72C"/>
    <w:lvl w:ilvl="0" w:tplc="77068508">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7A376E4C"/>
    <w:multiLevelType w:val="hybridMultilevel"/>
    <w:tmpl w:val="7714AC92"/>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A5D0991"/>
    <w:multiLevelType w:val="hybridMultilevel"/>
    <w:tmpl w:val="69E870C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nsid w:val="7E293C12"/>
    <w:multiLevelType w:val="hybridMultilevel"/>
    <w:tmpl w:val="166A2A08"/>
    <w:lvl w:ilvl="0" w:tplc="77068508">
      <w:start w:val="1"/>
      <w:numFmt w:val="bullet"/>
      <w:lvlText w:val=""/>
      <w:lvlJc w:val="left"/>
      <w:pPr>
        <w:ind w:left="360" w:hanging="360"/>
      </w:pPr>
      <w:rPr>
        <w:rFonts w:ascii="Symbol" w:hAnsi="Symbol" w:hint="default"/>
      </w:rPr>
    </w:lvl>
    <w:lvl w:ilvl="1" w:tplc="77068508">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31"/>
  </w:num>
  <w:num w:numId="5">
    <w:abstractNumId w:val="28"/>
  </w:num>
  <w:num w:numId="6">
    <w:abstractNumId w:val="5"/>
  </w:num>
  <w:num w:numId="7">
    <w:abstractNumId w:val="32"/>
  </w:num>
  <w:num w:numId="8">
    <w:abstractNumId w:val="1"/>
  </w:num>
  <w:num w:numId="9">
    <w:abstractNumId w:val="16"/>
  </w:num>
  <w:num w:numId="10">
    <w:abstractNumId w:val="26"/>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25"/>
  </w:num>
  <w:num w:numId="16">
    <w:abstractNumId w:val="4"/>
  </w:num>
  <w:num w:numId="17">
    <w:abstractNumId w:val="33"/>
  </w:num>
  <w:num w:numId="18">
    <w:abstractNumId w:val="30"/>
  </w:num>
  <w:num w:numId="19">
    <w:abstractNumId w:val="19"/>
  </w:num>
  <w:num w:numId="20">
    <w:abstractNumId w:val="23"/>
  </w:num>
  <w:num w:numId="21">
    <w:abstractNumId w:val="3"/>
  </w:num>
  <w:num w:numId="22">
    <w:abstractNumId w:val="22"/>
  </w:num>
  <w:num w:numId="23">
    <w:abstractNumId w:val="18"/>
  </w:num>
  <w:num w:numId="24">
    <w:abstractNumId w:val="9"/>
  </w:num>
  <w:num w:numId="25">
    <w:abstractNumId w:val="29"/>
  </w:num>
  <w:num w:numId="26">
    <w:abstractNumId w:val="20"/>
  </w:num>
  <w:num w:numId="27">
    <w:abstractNumId w:val="6"/>
  </w:num>
  <w:num w:numId="28">
    <w:abstractNumId w:val="21"/>
  </w:num>
  <w:num w:numId="29">
    <w:abstractNumId w:val="12"/>
  </w:num>
  <w:num w:numId="30">
    <w:abstractNumId w:val="17"/>
  </w:num>
  <w:num w:numId="31">
    <w:abstractNumId w:val="24"/>
  </w:num>
  <w:num w:numId="32">
    <w:abstractNumId w:val="8"/>
  </w:num>
  <w:num w:numId="33">
    <w:abstractNumId w:val="11"/>
  </w:num>
  <w:num w:numId="3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4E8C"/>
    <w:rsid w:val="00013076"/>
    <w:rsid w:val="0001490E"/>
    <w:rsid w:val="00017613"/>
    <w:rsid w:val="000243B2"/>
    <w:rsid w:val="00031C40"/>
    <w:rsid w:val="000403BF"/>
    <w:rsid w:val="00040750"/>
    <w:rsid w:val="00041E17"/>
    <w:rsid w:val="00046095"/>
    <w:rsid w:val="00050A89"/>
    <w:rsid w:val="000526E0"/>
    <w:rsid w:val="00054C7F"/>
    <w:rsid w:val="00063BC5"/>
    <w:rsid w:val="00064BF6"/>
    <w:rsid w:val="00065280"/>
    <w:rsid w:val="00066FD0"/>
    <w:rsid w:val="00072C16"/>
    <w:rsid w:val="00073569"/>
    <w:rsid w:val="00074DF9"/>
    <w:rsid w:val="0007655A"/>
    <w:rsid w:val="000976E9"/>
    <w:rsid w:val="000A579D"/>
    <w:rsid w:val="000C4E8C"/>
    <w:rsid w:val="000C5CBB"/>
    <w:rsid w:val="000C6A24"/>
    <w:rsid w:val="000C7BAE"/>
    <w:rsid w:val="000D5587"/>
    <w:rsid w:val="000E2A2E"/>
    <w:rsid w:val="000E7D6E"/>
    <w:rsid w:val="000F0ED4"/>
    <w:rsid w:val="000F176C"/>
    <w:rsid w:val="000F3532"/>
    <w:rsid w:val="000F5DD0"/>
    <w:rsid w:val="00107AD3"/>
    <w:rsid w:val="0011557C"/>
    <w:rsid w:val="00121759"/>
    <w:rsid w:val="001239CF"/>
    <w:rsid w:val="0012633F"/>
    <w:rsid w:val="001317C2"/>
    <w:rsid w:val="0014090E"/>
    <w:rsid w:val="0014199E"/>
    <w:rsid w:val="00143066"/>
    <w:rsid w:val="001537E8"/>
    <w:rsid w:val="00165934"/>
    <w:rsid w:val="0018318D"/>
    <w:rsid w:val="00193C0F"/>
    <w:rsid w:val="0019567F"/>
    <w:rsid w:val="001A51EF"/>
    <w:rsid w:val="001B47E7"/>
    <w:rsid w:val="001B5488"/>
    <w:rsid w:val="001B61ED"/>
    <w:rsid w:val="001B76AC"/>
    <w:rsid w:val="001C55D2"/>
    <w:rsid w:val="001D784D"/>
    <w:rsid w:val="001E5A78"/>
    <w:rsid w:val="001E63BB"/>
    <w:rsid w:val="001E6B0E"/>
    <w:rsid w:val="001F3CF7"/>
    <w:rsid w:val="00205DE3"/>
    <w:rsid w:val="00210C07"/>
    <w:rsid w:val="00211C18"/>
    <w:rsid w:val="00224495"/>
    <w:rsid w:val="00225012"/>
    <w:rsid w:val="00227023"/>
    <w:rsid w:val="002279CE"/>
    <w:rsid w:val="00230885"/>
    <w:rsid w:val="002429AB"/>
    <w:rsid w:val="00245A55"/>
    <w:rsid w:val="00251180"/>
    <w:rsid w:val="002527B0"/>
    <w:rsid w:val="00265FCA"/>
    <w:rsid w:val="00266E3B"/>
    <w:rsid w:val="002705B1"/>
    <w:rsid w:val="00285C81"/>
    <w:rsid w:val="00293DBB"/>
    <w:rsid w:val="0029723F"/>
    <w:rsid w:val="002B0834"/>
    <w:rsid w:val="002C0A92"/>
    <w:rsid w:val="002C7413"/>
    <w:rsid w:val="002C78BA"/>
    <w:rsid w:val="002D0961"/>
    <w:rsid w:val="002D3F82"/>
    <w:rsid w:val="002E2D02"/>
    <w:rsid w:val="002E334A"/>
    <w:rsid w:val="002E396C"/>
    <w:rsid w:val="002F38C6"/>
    <w:rsid w:val="002F46A1"/>
    <w:rsid w:val="00304569"/>
    <w:rsid w:val="003132A0"/>
    <w:rsid w:val="00315001"/>
    <w:rsid w:val="003155BD"/>
    <w:rsid w:val="003205F0"/>
    <w:rsid w:val="00326A58"/>
    <w:rsid w:val="00333C39"/>
    <w:rsid w:val="00342BC6"/>
    <w:rsid w:val="00344C5F"/>
    <w:rsid w:val="003461DE"/>
    <w:rsid w:val="00353BD7"/>
    <w:rsid w:val="003668E6"/>
    <w:rsid w:val="00366B1F"/>
    <w:rsid w:val="003711EC"/>
    <w:rsid w:val="00371984"/>
    <w:rsid w:val="00373BEA"/>
    <w:rsid w:val="00375168"/>
    <w:rsid w:val="00380550"/>
    <w:rsid w:val="003826F4"/>
    <w:rsid w:val="0038404F"/>
    <w:rsid w:val="00391972"/>
    <w:rsid w:val="003B5469"/>
    <w:rsid w:val="003C3ED2"/>
    <w:rsid w:val="003C6A43"/>
    <w:rsid w:val="003D6B25"/>
    <w:rsid w:val="003E0094"/>
    <w:rsid w:val="003E2F4D"/>
    <w:rsid w:val="003E491C"/>
    <w:rsid w:val="003F696E"/>
    <w:rsid w:val="003F709F"/>
    <w:rsid w:val="00406670"/>
    <w:rsid w:val="00406A4D"/>
    <w:rsid w:val="0041026D"/>
    <w:rsid w:val="00412950"/>
    <w:rsid w:val="00424502"/>
    <w:rsid w:val="00440BB8"/>
    <w:rsid w:val="00461E41"/>
    <w:rsid w:val="004638E2"/>
    <w:rsid w:val="004725EB"/>
    <w:rsid w:val="00481276"/>
    <w:rsid w:val="00485A09"/>
    <w:rsid w:val="0048775A"/>
    <w:rsid w:val="004B2E5B"/>
    <w:rsid w:val="004B37F2"/>
    <w:rsid w:val="004B3B9E"/>
    <w:rsid w:val="004B3F3A"/>
    <w:rsid w:val="004C5409"/>
    <w:rsid w:val="004C635F"/>
    <w:rsid w:val="004E2354"/>
    <w:rsid w:val="004E4FB9"/>
    <w:rsid w:val="004F4267"/>
    <w:rsid w:val="004F4744"/>
    <w:rsid w:val="00502BAE"/>
    <w:rsid w:val="00504CF5"/>
    <w:rsid w:val="005067EE"/>
    <w:rsid w:val="005159FE"/>
    <w:rsid w:val="005201E4"/>
    <w:rsid w:val="00527E0E"/>
    <w:rsid w:val="00530022"/>
    <w:rsid w:val="00531979"/>
    <w:rsid w:val="00535B85"/>
    <w:rsid w:val="0054576D"/>
    <w:rsid w:val="005458BE"/>
    <w:rsid w:val="00546D31"/>
    <w:rsid w:val="00547A81"/>
    <w:rsid w:val="00554567"/>
    <w:rsid w:val="005545AB"/>
    <w:rsid w:val="00555106"/>
    <w:rsid w:val="00555E7F"/>
    <w:rsid w:val="0055613B"/>
    <w:rsid w:val="00560C76"/>
    <w:rsid w:val="00562581"/>
    <w:rsid w:val="00563654"/>
    <w:rsid w:val="00574C7B"/>
    <w:rsid w:val="00584B6D"/>
    <w:rsid w:val="005853B7"/>
    <w:rsid w:val="00592B90"/>
    <w:rsid w:val="0059302A"/>
    <w:rsid w:val="00597952"/>
    <w:rsid w:val="005A2BE5"/>
    <w:rsid w:val="005B4A2D"/>
    <w:rsid w:val="005C0D43"/>
    <w:rsid w:val="005C3C76"/>
    <w:rsid w:val="005C7A92"/>
    <w:rsid w:val="005C7BDD"/>
    <w:rsid w:val="005D12C8"/>
    <w:rsid w:val="005D535D"/>
    <w:rsid w:val="005D7804"/>
    <w:rsid w:val="005D7BF0"/>
    <w:rsid w:val="005E2083"/>
    <w:rsid w:val="005E23E3"/>
    <w:rsid w:val="005E3595"/>
    <w:rsid w:val="005E38CA"/>
    <w:rsid w:val="005E42E3"/>
    <w:rsid w:val="00610F13"/>
    <w:rsid w:val="00613D17"/>
    <w:rsid w:val="00613E21"/>
    <w:rsid w:val="0062463B"/>
    <w:rsid w:val="00637F78"/>
    <w:rsid w:val="00642AC4"/>
    <w:rsid w:val="00645A08"/>
    <w:rsid w:val="00645EDD"/>
    <w:rsid w:val="0064605E"/>
    <w:rsid w:val="00646AA0"/>
    <w:rsid w:val="006548DD"/>
    <w:rsid w:val="00660508"/>
    <w:rsid w:val="00671767"/>
    <w:rsid w:val="0067189C"/>
    <w:rsid w:val="00682F3A"/>
    <w:rsid w:val="00692B1C"/>
    <w:rsid w:val="006C0DF4"/>
    <w:rsid w:val="006C0FEE"/>
    <w:rsid w:val="006D37AC"/>
    <w:rsid w:val="006D60AA"/>
    <w:rsid w:val="006D653F"/>
    <w:rsid w:val="006E1F46"/>
    <w:rsid w:val="006E710B"/>
    <w:rsid w:val="006E713B"/>
    <w:rsid w:val="006E770F"/>
    <w:rsid w:val="006F0941"/>
    <w:rsid w:val="006F7B19"/>
    <w:rsid w:val="00704B9C"/>
    <w:rsid w:val="007060C5"/>
    <w:rsid w:val="007064FF"/>
    <w:rsid w:val="00707468"/>
    <w:rsid w:val="00707995"/>
    <w:rsid w:val="0071248C"/>
    <w:rsid w:val="00713876"/>
    <w:rsid w:val="007252C7"/>
    <w:rsid w:val="00734A85"/>
    <w:rsid w:val="007365DA"/>
    <w:rsid w:val="00742D4F"/>
    <w:rsid w:val="0074541D"/>
    <w:rsid w:val="00747F3F"/>
    <w:rsid w:val="00756106"/>
    <w:rsid w:val="00773138"/>
    <w:rsid w:val="007743D1"/>
    <w:rsid w:val="00775CF3"/>
    <w:rsid w:val="00784349"/>
    <w:rsid w:val="007861BC"/>
    <w:rsid w:val="00787592"/>
    <w:rsid w:val="00793D26"/>
    <w:rsid w:val="0079573A"/>
    <w:rsid w:val="007A4660"/>
    <w:rsid w:val="007A668A"/>
    <w:rsid w:val="007A7350"/>
    <w:rsid w:val="007C2C73"/>
    <w:rsid w:val="007C3014"/>
    <w:rsid w:val="007D29F6"/>
    <w:rsid w:val="007D3002"/>
    <w:rsid w:val="007D4E00"/>
    <w:rsid w:val="007D7D60"/>
    <w:rsid w:val="007E16C6"/>
    <w:rsid w:val="007F0DE2"/>
    <w:rsid w:val="007F5BC8"/>
    <w:rsid w:val="007F65FA"/>
    <w:rsid w:val="0080548B"/>
    <w:rsid w:val="00813633"/>
    <w:rsid w:val="00817752"/>
    <w:rsid w:val="00825753"/>
    <w:rsid w:val="008265B2"/>
    <w:rsid w:val="008346AE"/>
    <w:rsid w:val="00836EF6"/>
    <w:rsid w:val="00846008"/>
    <w:rsid w:val="0085340E"/>
    <w:rsid w:val="0086086D"/>
    <w:rsid w:val="00861C81"/>
    <w:rsid w:val="00864587"/>
    <w:rsid w:val="00864E11"/>
    <w:rsid w:val="00872F56"/>
    <w:rsid w:val="00874221"/>
    <w:rsid w:val="0088458A"/>
    <w:rsid w:val="00894185"/>
    <w:rsid w:val="00894770"/>
    <w:rsid w:val="008A13F5"/>
    <w:rsid w:val="008A1584"/>
    <w:rsid w:val="008A305C"/>
    <w:rsid w:val="008A34EC"/>
    <w:rsid w:val="008A713D"/>
    <w:rsid w:val="008C3D4B"/>
    <w:rsid w:val="008D1BE9"/>
    <w:rsid w:val="008D5DB4"/>
    <w:rsid w:val="008E725F"/>
    <w:rsid w:val="008E7E19"/>
    <w:rsid w:val="008F64C4"/>
    <w:rsid w:val="008F7F6B"/>
    <w:rsid w:val="009079A6"/>
    <w:rsid w:val="00911248"/>
    <w:rsid w:val="009149C7"/>
    <w:rsid w:val="00916C5E"/>
    <w:rsid w:val="00925F2F"/>
    <w:rsid w:val="00932A34"/>
    <w:rsid w:val="0093344F"/>
    <w:rsid w:val="00933E74"/>
    <w:rsid w:val="009347E0"/>
    <w:rsid w:val="00936565"/>
    <w:rsid w:val="00945A8E"/>
    <w:rsid w:val="00946291"/>
    <w:rsid w:val="009953C6"/>
    <w:rsid w:val="00996ECB"/>
    <w:rsid w:val="009A1687"/>
    <w:rsid w:val="009A2FDC"/>
    <w:rsid w:val="009B19EF"/>
    <w:rsid w:val="009B3E6F"/>
    <w:rsid w:val="009B6A44"/>
    <w:rsid w:val="009C439D"/>
    <w:rsid w:val="009C7A54"/>
    <w:rsid w:val="009C7B30"/>
    <w:rsid w:val="009D2BE7"/>
    <w:rsid w:val="009D7043"/>
    <w:rsid w:val="009D7369"/>
    <w:rsid w:val="009E43EE"/>
    <w:rsid w:val="009F00F9"/>
    <w:rsid w:val="00A02066"/>
    <w:rsid w:val="00A04D95"/>
    <w:rsid w:val="00A06F99"/>
    <w:rsid w:val="00A07AE6"/>
    <w:rsid w:val="00A135C1"/>
    <w:rsid w:val="00A25C2F"/>
    <w:rsid w:val="00A27E88"/>
    <w:rsid w:val="00A361CF"/>
    <w:rsid w:val="00A36D15"/>
    <w:rsid w:val="00A41BCA"/>
    <w:rsid w:val="00A470F3"/>
    <w:rsid w:val="00A479FD"/>
    <w:rsid w:val="00A55169"/>
    <w:rsid w:val="00A56CDA"/>
    <w:rsid w:val="00A60D50"/>
    <w:rsid w:val="00A73D40"/>
    <w:rsid w:val="00A76A4C"/>
    <w:rsid w:val="00A807D6"/>
    <w:rsid w:val="00A85805"/>
    <w:rsid w:val="00A85A22"/>
    <w:rsid w:val="00A877E7"/>
    <w:rsid w:val="00A91BB3"/>
    <w:rsid w:val="00A96858"/>
    <w:rsid w:val="00AA51B2"/>
    <w:rsid w:val="00AB46B8"/>
    <w:rsid w:val="00AB48C1"/>
    <w:rsid w:val="00AC484C"/>
    <w:rsid w:val="00AC7036"/>
    <w:rsid w:val="00AD3A29"/>
    <w:rsid w:val="00AD477F"/>
    <w:rsid w:val="00AD7A5B"/>
    <w:rsid w:val="00AF2D67"/>
    <w:rsid w:val="00AF7580"/>
    <w:rsid w:val="00B0000C"/>
    <w:rsid w:val="00B036D8"/>
    <w:rsid w:val="00B06082"/>
    <w:rsid w:val="00B1042E"/>
    <w:rsid w:val="00B113B3"/>
    <w:rsid w:val="00B1585E"/>
    <w:rsid w:val="00B33AD0"/>
    <w:rsid w:val="00B34997"/>
    <w:rsid w:val="00B37D7B"/>
    <w:rsid w:val="00B40912"/>
    <w:rsid w:val="00B42A63"/>
    <w:rsid w:val="00B42AF6"/>
    <w:rsid w:val="00B45EB2"/>
    <w:rsid w:val="00B50384"/>
    <w:rsid w:val="00B505AF"/>
    <w:rsid w:val="00B60664"/>
    <w:rsid w:val="00B64592"/>
    <w:rsid w:val="00B653A2"/>
    <w:rsid w:val="00B77216"/>
    <w:rsid w:val="00B90240"/>
    <w:rsid w:val="00B90711"/>
    <w:rsid w:val="00B90D87"/>
    <w:rsid w:val="00B93C32"/>
    <w:rsid w:val="00BA0D4F"/>
    <w:rsid w:val="00BA0EB5"/>
    <w:rsid w:val="00BA26D9"/>
    <w:rsid w:val="00BA76D6"/>
    <w:rsid w:val="00BB3363"/>
    <w:rsid w:val="00BB3ADD"/>
    <w:rsid w:val="00BC105D"/>
    <w:rsid w:val="00BD6F25"/>
    <w:rsid w:val="00BE06FA"/>
    <w:rsid w:val="00BE2C24"/>
    <w:rsid w:val="00BE425A"/>
    <w:rsid w:val="00BE6454"/>
    <w:rsid w:val="00BE7B34"/>
    <w:rsid w:val="00BF1F16"/>
    <w:rsid w:val="00BF7095"/>
    <w:rsid w:val="00C00966"/>
    <w:rsid w:val="00C02222"/>
    <w:rsid w:val="00C02A91"/>
    <w:rsid w:val="00C1095C"/>
    <w:rsid w:val="00C12807"/>
    <w:rsid w:val="00C12979"/>
    <w:rsid w:val="00C14503"/>
    <w:rsid w:val="00C24155"/>
    <w:rsid w:val="00C25B79"/>
    <w:rsid w:val="00C30866"/>
    <w:rsid w:val="00C308C1"/>
    <w:rsid w:val="00C40677"/>
    <w:rsid w:val="00C52465"/>
    <w:rsid w:val="00C535FE"/>
    <w:rsid w:val="00C55B7E"/>
    <w:rsid w:val="00C65734"/>
    <w:rsid w:val="00C67261"/>
    <w:rsid w:val="00C70C95"/>
    <w:rsid w:val="00C712A2"/>
    <w:rsid w:val="00C9473C"/>
    <w:rsid w:val="00C964B9"/>
    <w:rsid w:val="00C96A11"/>
    <w:rsid w:val="00C96BD8"/>
    <w:rsid w:val="00CA594C"/>
    <w:rsid w:val="00CB0C2F"/>
    <w:rsid w:val="00CD222C"/>
    <w:rsid w:val="00CD2A42"/>
    <w:rsid w:val="00CD2E4F"/>
    <w:rsid w:val="00CD5304"/>
    <w:rsid w:val="00CE717D"/>
    <w:rsid w:val="00CE7D75"/>
    <w:rsid w:val="00CF00AE"/>
    <w:rsid w:val="00CF553F"/>
    <w:rsid w:val="00CF5911"/>
    <w:rsid w:val="00CF7C6E"/>
    <w:rsid w:val="00D026E6"/>
    <w:rsid w:val="00D23853"/>
    <w:rsid w:val="00D417DE"/>
    <w:rsid w:val="00D461F0"/>
    <w:rsid w:val="00D532C2"/>
    <w:rsid w:val="00D64555"/>
    <w:rsid w:val="00D71D99"/>
    <w:rsid w:val="00D73737"/>
    <w:rsid w:val="00D754F2"/>
    <w:rsid w:val="00D857CA"/>
    <w:rsid w:val="00D87510"/>
    <w:rsid w:val="00D95159"/>
    <w:rsid w:val="00DA292C"/>
    <w:rsid w:val="00DA6A12"/>
    <w:rsid w:val="00DA7926"/>
    <w:rsid w:val="00DB41C0"/>
    <w:rsid w:val="00DC4DB6"/>
    <w:rsid w:val="00DC627B"/>
    <w:rsid w:val="00DD092F"/>
    <w:rsid w:val="00DD2474"/>
    <w:rsid w:val="00DD350E"/>
    <w:rsid w:val="00DD48BC"/>
    <w:rsid w:val="00DE2E65"/>
    <w:rsid w:val="00DF4E20"/>
    <w:rsid w:val="00DF7000"/>
    <w:rsid w:val="00DF775C"/>
    <w:rsid w:val="00E12C7C"/>
    <w:rsid w:val="00E24FEB"/>
    <w:rsid w:val="00E305F4"/>
    <w:rsid w:val="00E30C31"/>
    <w:rsid w:val="00E32F42"/>
    <w:rsid w:val="00E363C8"/>
    <w:rsid w:val="00E45669"/>
    <w:rsid w:val="00E46293"/>
    <w:rsid w:val="00E4729B"/>
    <w:rsid w:val="00E55200"/>
    <w:rsid w:val="00E60E54"/>
    <w:rsid w:val="00E65401"/>
    <w:rsid w:val="00E7043B"/>
    <w:rsid w:val="00E707E2"/>
    <w:rsid w:val="00E73AF7"/>
    <w:rsid w:val="00E816ED"/>
    <w:rsid w:val="00E8657B"/>
    <w:rsid w:val="00EA2585"/>
    <w:rsid w:val="00EA2DF1"/>
    <w:rsid w:val="00EA42BE"/>
    <w:rsid w:val="00EB3CF5"/>
    <w:rsid w:val="00EB5673"/>
    <w:rsid w:val="00EC14D0"/>
    <w:rsid w:val="00EE0964"/>
    <w:rsid w:val="00EE793B"/>
    <w:rsid w:val="00EF22D6"/>
    <w:rsid w:val="00EF5E92"/>
    <w:rsid w:val="00F23443"/>
    <w:rsid w:val="00F2359B"/>
    <w:rsid w:val="00F24D7F"/>
    <w:rsid w:val="00F257E9"/>
    <w:rsid w:val="00F4014C"/>
    <w:rsid w:val="00F40A31"/>
    <w:rsid w:val="00F410BE"/>
    <w:rsid w:val="00F43CFD"/>
    <w:rsid w:val="00F5760D"/>
    <w:rsid w:val="00F57BD4"/>
    <w:rsid w:val="00F60320"/>
    <w:rsid w:val="00F8193A"/>
    <w:rsid w:val="00F853F1"/>
    <w:rsid w:val="00F90996"/>
    <w:rsid w:val="00F9739A"/>
    <w:rsid w:val="00FA29D6"/>
    <w:rsid w:val="00FA3510"/>
    <w:rsid w:val="00FB3B9C"/>
    <w:rsid w:val="00FC0E1E"/>
    <w:rsid w:val="00FC128B"/>
    <w:rsid w:val="00FC1A38"/>
    <w:rsid w:val="00FC5E95"/>
    <w:rsid w:val="00FD5BF4"/>
    <w:rsid w:val="00FE00A9"/>
    <w:rsid w:val="00FE5406"/>
    <w:rsid w:val="00FF0D69"/>
    <w:rsid w:val="00FF5B6C"/>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5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uiPriority w:val="99"/>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table" w:styleId="Tabellijst3">
    <w:name w:val="Table List 3"/>
    <w:basedOn w:val="Standaardtabel"/>
    <w:rsid w:val="00BA0EB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3">
    <w:name w:val="Table Simple 3"/>
    <w:basedOn w:val="Standaardtabel"/>
    <w:rsid w:val="00BA0EB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5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uiPriority w:val="99"/>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table" w:styleId="Tabellijst3">
    <w:name w:val="Table List 3"/>
    <w:basedOn w:val="Standaardtabel"/>
    <w:rsid w:val="00BA0EB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3">
    <w:name w:val="Table Simple 3"/>
    <w:basedOn w:val="Standaardtabel"/>
    <w:rsid w:val="00BA0EB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7251">
      <w:bodyDiv w:val="1"/>
      <w:marLeft w:val="0"/>
      <w:marRight w:val="0"/>
      <w:marTop w:val="0"/>
      <w:marBottom w:val="0"/>
      <w:divBdr>
        <w:top w:val="none" w:sz="0" w:space="0" w:color="auto"/>
        <w:left w:val="none" w:sz="0" w:space="0" w:color="auto"/>
        <w:bottom w:val="none" w:sz="0" w:space="0" w:color="auto"/>
        <w:right w:val="none" w:sz="0" w:space="0" w:color="auto"/>
      </w:divBdr>
    </w:div>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718020355">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001468232">
      <w:bodyDiv w:val="1"/>
      <w:marLeft w:val="0"/>
      <w:marRight w:val="0"/>
      <w:marTop w:val="0"/>
      <w:marBottom w:val="0"/>
      <w:divBdr>
        <w:top w:val="none" w:sz="0" w:space="0" w:color="auto"/>
        <w:left w:val="none" w:sz="0" w:space="0" w:color="auto"/>
        <w:bottom w:val="none" w:sz="0" w:space="0" w:color="auto"/>
        <w:right w:val="none" w:sz="0" w:space="0" w:color="auto"/>
      </w:divBdr>
    </w:div>
    <w:div w:id="1001851468">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570573691">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1841697725">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3</Pages>
  <Words>759</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2013-08-02T06:55:00Z</cp:lastPrinted>
  <dcterms:created xsi:type="dcterms:W3CDTF">2013-08-02T06:56:00Z</dcterms:created>
  <dcterms:modified xsi:type="dcterms:W3CDTF">2013-09-12T08:07:00Z</dcterms:modified>
</cp:coreProperties>
</file>