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F853F1">
        <w:rPr>
          <w:b w:val="0"/>
        </w:rPr>
        <w:t>5</w:t>
      </w:r>
      <w:r w:rsidR="00C0607E">
        <w:rPr>
          <w:b w:val="0"/>
        </w:rPr>
        <w:t>59</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C0607E">
        <w:rPr>
          <w:b w:val="0"/>
        </w:rPr>
        <w:t>31</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52465">
        <w:rPr>
          <w:b w:val="0"/>
        </w:rPr>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52465">
        <w:rPr>
          <w:b w:val="0"/>
        </w:rPr>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4032D0">
        <w:rPr>
          <w:rStyle w:val="AntwoordNaamMinisterChar"/>
        </w:rPr>
        <w:t>e</w:t>
      </w:r>
      <w:r w:rsidR="00264640">
        <w:rPr>
          <w:rStyle w:val="AntwoordNaamMinisterChar"/>
        </w:rPr>
        <w:t xml:space="preserve">ls </w:t>
      </w:r>
      <w:proofErr w:type="spellStart"/>
      <w:r w:rsidR="004032D0">
        <w:rPr>
          <w:rStyle w:val="AntwoordNaamMinisterChar"/>
        </w:rPr>
        <w:t>r</w:t>
      </w:r>
      <w:r w:rsidR="00264640">
        <w:rPr>
          <w:rStyle w:val="AntwoordNaamMinisterChar"/>
        </w:rPr>
        <w:t>obeyns</w:t>
      </w:r>
      <w:proofErr w:type="spellEnd"/>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04CF5" w:rsidRPr="00C0607E" w:rsidRDefault="00C0607E" w:rsidP="00C14503">
      <w:pPr>
        <w:pStyle w:val="StandaardSV"/>
        <w:numPr>
          <w:ilvl w:val="0"/>
          <w:numId w:val="19"/>
        </w:numPr>
        <w:rPr>
          <w:szCs w:val="22"/>
        </w:rPr>
      </w:pPr>
      <w:r>
        <w:lastRenderedPageBreak/>
        <w:t>Onderstaande tabel geeft een overzicht van de deelnemers die op vakantie gingen door het Steunpunt Vakantieparticipatie.</w:t>
      </w:r>
    </w:p>
    <w:p w:rsidR="00C0607E" w:rsidRPr="00C0607E" w:rsidRDefault="00C0607E" w:rsidP="00C0607E">
      <w:pPr>
        <w:pStyle w:val="StandaardSV"/>
        <w:ind w:left="360"/>
        <w:rPr>
          <w:szCs w:val="22"/>
        </w:rPr>
      </w:pPr>
    </w:p>
    <w:tbl>
      <w:tblPr>
        <w:tblStyle w:val="Eenvoudigetabel1"/>
        <w:tblW w:w="6924" w:type="dxa"/>
        <w:tblInd w:w="534" w:type="dxa"/>
        <w:tblLook w:val="04A0" w:firstRow="1" w:lastRow="0" w:firstColumn="1" w:lastColumn="0" w:noHBand="0" w:noVBand="1"/>
      </w:tblPr>
      <w:tblGrid>
        <w:gridCol w:w="4452"/>
        <w:gridCol w:w="1181"/>
        <w:gridCol w:w="1291"/>
      </w:tblGrid>
      <w:tr w:rsidR="00C0607E" w:rsidRPr="00C0607E" w:rsidTr="00C0607E">
        <w:trPr>
          <w:cnfStyle w:val="100000000000" w:firstRow="1" w:lastRow="0" w:firstColumn="0" w:lastColumn="0" w:oddVBand="0" w:evenVBand="0" w:oddHBand="0" w:evenHBand="0" w:firstRowFirstColumn="0" w:firstRowLastColumn="0" w:lastRowFirstColumn="0" w:lastRowLastColumn="0"/>
          <w:trHeight w:val="255"/>
        </w:trPr>
        <w:tc>
          <w:tcPr>
            <w:tcW w:w="4452" w:type="dxa"/>
            <w:noWrap/>
            <w:hideMark/>
          </w:tcPr>
          <w:p w:rsidR="00C0607E" w:rsidRPr="00C0607E" w:rsidRDefault="00C0607E" w:rsidP="005D7D72">
            <w:pPr>
              <w:pStyle w:val="StandaardSV"/>
              <w:ind w:left="360"/>
              <w:rPr>
                <w:bCs/>
                <w:szCs w:val="22"/>
                <w:lang w:val="nl-BE"/>
              </w:rPr>
            </w:pPr>
            <w:r w:rsidRPr="00C0607E">
              <w:rPr>
                <w:bCs/>
                <w:szCs w:val="22"/>
                <w:lang w:val="nl-BE"/>
              </w:rPr>
              <w:t xml:space="preserve">DEELNEMERS/VAKANTIEGANGERS </w:t>
            </w:r>
          </w:p>
        </w:tc>
        <w:tc>
          <w:tcPr>
            <w:tcW w:w="1181" w:type="dxa"/>
            <w:noWrap/>
            <w:hideMark/>
          </w:tcPr>
          <w:p w:rsidR="00C0607E" w:rsidRPr="00C0607E" w:rsidRDefault="00C0607E" w:rsidP="00C0607E">
            <w:pPr>
              <w:pStyle w:val="StandaardSV"/>
              <w:ind w:left="360"/>
              <w:jc w:val="right"/>
              <w:rPr>
                <w:szCs w:val="22"/>
                <w:lang w:val="nl-BE"/>
              </w:rPr>
            </w:pPr>
            <w:r w:rsidRPr="00C0607E">
              <w:rPr>
                <w:bCs/>
                <w:szCs w:val="22"/>
                <w:lang w:val="nl-BE"/>
              </w:rPr>
              <w:t>2011</w:t>
            </w:r>
          </w:p>
        </w:tc>
        <w:tc>
          <w:tcPr>
            <w:tcW w:w="1291" w:type="dxa"/>
            <w:noWrap/>
            <w:hideMark/>
          </w:tcPr>
          <w:p w:rsidR="00C0607E" w:rsidRPr="00C0607E" w:rsidRDefault="00C0607E" w:rsidP="00C0607E">
            <w:pPr>
              <w:pStyle w:val="StandaardSV"/>
              <w:ind w:left="360"/>
              <w:jc w:val="right"/>
              <w:rPr>
                <w:szCs w:val="22"/>
                <w:lang w:val="nl-BE"/>
              </w:rPr>
            </w:pPr>
            <w:r w:rsidRPr="00C0607E">
              <w:rPr>
                <w:bCs/>
                <w:szCs w:val="22"/>
                <w:lang w:val="nl-BE"/>
              </w:rPr>
              <w:t>2012</w:t>
            </w:r>
          </w:p>
        </w:tc>
      </w:tr>
      <w:tr w:rsidR="00C0607E" w:rsidRPr="00C0607E" w:rsidTr="00C0607E">
        <w:trPr>
          <w:trHeight w:val="255"/>
        </w:trPr>
        <w:tc>
          <w:tcPr>
            <w:tcW w:w="4452" w:type="dxa"/>
            <w:noWrap/>
            <w:hideMark/>
          </w:tcPr>
          <w:p w:rsidR="00C0607E" w:rsidRPr="00C0607E" w:rsidRDefault="00C0607E" w:rsidP="00C0607E">
            <w:pPr>
              <w:pStyle w:val="StandaardSV"/>
              <w:ind w:left="360"/>
              <w:rPr>
                <w:szCs w:val="22"/>
                <w:lang w:val="nl-BE"/>
              </w:rPr>
            </w:pPr>
            <w:r w:rsidRPr="00C0607E">
              <w:rPr>
                <w:szCs w:val="22"/>
                <w:lang w:val="nl-BE"/>
              </w:rPr>
              <w:t>Daguitstappen</w:t>
            </w:r>
          </w:p>
        </w:tc>
        <w:tc>
          <w:tcPr>
            <w:tcW w:w="1181" w:type="dxa"/>
            <w:noWrap/>
            <w:hideMark/>
          </w:tcPr>
          <w:p w:rsidR="00C0607E" w:rsidRPr="00C0607E" w:rsidRDefault="00C0607E" w:rsidP="00C0607E">
            <w:pPr>
              <w:pStyle w:val="StandaardSV"/>
              <w:ind w:left="360"/>
              <w:jc w:val="right"/>
              <w:rPr>
                <w:b/>
                <w:bCs/>
                <w:szCs w:val="22"/>
                <w:lang w:val="nl-BE"/>
              </w:rPr>
            </w:pPr>
            <w:r w:rsidRPr="00C0607E">
              <w:rPr>
                <w:bCs/>
                <w:szCs w:val="22"/>
                <w:lang w:val="nl-BE"/>
              </w:rPr>
              <w:t>85.115</w:t>
            </w:r>
          </w:p>
        </w:tc>
        <w:tc>
          <w:tcPr>
            <w:tcW w:w="1291" w:type="dxa"/>
            <w:noWrap/>
            <w:hideMark/>
          </w:tcPr>
          <w:p w:rsidR="00C0607E" w:rsidRPr="00C0607E" w:rsidRDefault="00C0607E" w:rsidP="00C0607E">
            <w:pPr>
              <w:pStyle w:val="StandaardSV"/>
              <w:ind w:left="360"/>
              <w:jc w:val="right"/>
              <w:rPr>
                <w:szCs w:val="22"/>
                <w:lang w:val="nl-BE"/>
              </w:rPr>
            </w:pPr>
            <w:r w:rsidRPr="00C0607E">
              <w:rPr>
                <w:szCs w:val="22"/>
                <w:lang w:val="nl-BE"/>
              </w:rPr>
              <w:t>89.410</w:t>
            </w:r>
          </w:p>
        </w:tc>
      </w:tr>
      <w:tr w:rsidR="00C0607E" w:rsidRPr="00C0607E" w:rsidTr="00C0607E">
        <w:trPr>
          <w:trHeight w:val="255"/>
        </w:trPr>
        <w:tc>
          <w:tcPr>
            <w:tcW w:w="4452" w:type="dxa"/>
            <w:noWrap/>
            <w:hideMark/>
          </w:tcPr>
          <w:p w:rsidR="00C0607E" w:rsidRPr="00C0607E" w:rsidRDefault="00C0607E" w:rsidP="00C0607E">
            <w:pPr>
              <w:pStyle w:val="StandaardSV"/>
              <w:ind w:left="360"/>
              <w:rPr>
                <w:szCs w:val="22"/>
                <w:lang w:val="nl-BE"/>
              </w:rPr>
            </w:pPr>
            <w:r w:rsidRPr="00C0607E">
              <w:rPr>
                <w:szCs w:val="22"/>
                <w:lang w:val="nl-BE"/>
              </w:rPr>
              <w:t>Individuele Vakanties</w:t>
            </w:r>
          </w:p>
        </w:tc>
        <w:tc>
          <w:tcPr>
            <w:tcW w:w="1181" w:type="dxa"/>
            <w:noWrap/>
            <w:hideMark/>
          </w:tcPr>
          <w:p w:rsidR="00C0607E" w:rsidRPr="00C0607E" w:rsidRDefault="00C0607E" w:rsidP="00C0607E">
            <w:pPr>
              <w:pStyle w:val="StandaardSV"/>
              <w:ind w:left="360"/>
              <w:jc w:val="right"/>
              <w:rPr>
                <w:szCs w:val="22"/>
                <w:lang w:val="nl-BE"/>
              </w:rPr>
            </w:pPr>
            <w:r w:rsidRPr="00C0607E">
              <w:rPr>
                <w:szCs w:val="22"/>
                <w:lang w:val="nl-BE"/>
              </w:rPr>
              <w:t>3</w:t>
            </w:r>
            <w:r>
              <w:rPr>
                <w:szCs w:val="22"/>
                <w:lang w:val="nl-BE"/>
              </w:rPr>
              <w:t>.</w:t>
            </w:r>
            <w:r w:rsidRPr="00C0607E">
              <w:rPr>
                <w:szCs w:val="22"/>
                <w:lang w:val="nl-BE"/>
              </w:rPr>
              <w:t>995</w:t>
            </w:r>
          </w:p>
        </w:tc>
        <w:tc>
          <w:tcPr>
            <w:tcW w:w="1291" w:type="dxa"/>
            <w:noWrap/>
            <w:hideMark/>
          </w:tcPr>
          <w:p w:rsidR="00C0607E" w:rsidRPr="00C0607E" w:rsidRDefault="00C0607E" w:rsidP="00C0607E">
            <w:pPr>
              <w:pStyle w:val="StandaardSV"/>
              <w:ind w:left="360"/>
              <w:jc w:val="right"/>
              <w:rPr>
                <w:szCs w:val="22"/>
                <w:lang w:val="nl-BE"/>
              </w:rPr>
            </w:pPr>
            <w:r w:rsidRPr="00C0607E">
              <w:rPr>
                <w:szCs w:val="22"/>
                <w:lang w:val="nl-BE"/>
              </w:rPr>
              <w:t>4</w:t>
            </w:r>
            <w:r>
              <w:rPr>
                <w:szCs w:val="22"/>
                <w:lang w:val="nl-BE"/>
              </w:rPr>
              <w:t>.</w:t>
            </w:r>
            <w:r w:rsidRPr="00C0607E">
              <w:rPr>
                <w:szCs w:val="22"/>
                <w:lang w:val="nl-BE"/>
              </w:rPr>
              <w:t>513</w:t>
            </w:r>
          </w:p>
        </w:tc>
      </w:tr>
      <w:tr w:rsidR="00C0607E" w:rsidRPr="00C0607E" w:rsidTr="00C0607E">
        <w:trPr>
          <w:trHeight w:val="255"/>
        </w:trPr>
        <w:tc>
          <w:tcPr>
            <w:tcW w:w="4452" w:type="dxa"/>
            <w:noWrap/>
            <w:hideMark/>
          </w:tcPr>
          <w:p w:rsidR="00C0607E" w:rsidRPr="00C0607E" w:rsidRDefault="00C0607E" w:rsidP="00C0607E">
            <w:pPr>
              <w:pStyle w:val="StandaardSV"/>
              <w:ind w:left="360"/>
              <w:rPr>
                <w:szCs w:val="22"/>
                <w:lang w:val="nl-BE"/>
              </w:rPr>
            </w:pPr>
            <w:r w:rsidRPr="00C0607E">
              <w:rPr>
                <w:szCs w:val="22"/>
                <w:lang w:val="nl-BE"/>
              </w:rPr>
              <w:t>Groepsvakanties</w:t>
            </w:r>
          </w:p>
        </w:tc>
        <w:tc>
          <w:tcPr>
            <w:tcW w:w="1181" w:type="dxa"/>
            <w:noWrap/>
            <w:hideMark/>
          </w:tcPr>
          <w:p w:rsidR="00C0607E" w:rsidRPr="00C0607E" w:rsidRDefault="00C0607E" w:rsidP="00C0607E">
            <w:pPr>
              <w:pStyle w:val="StandaardSV"/>
              <w:ind w:left="360"/>
              <w:jc w:val="right"/>
              <w:rPr>
                <w:szCs w:val="22"/>
                <w:lang w:val="nl-BE"/>
              </w:rPr>
            </w:pPr>
            <w:r w:rsidRPr="00C0607E">
              <w:rPr>
                <w:szCs w:val="22"/>
                <w:lang w:val="nl-BE"/>
              </w:rPr>
              <w:t>5</w:t>
            </w:r>
            <w:r>
              <w:rPr>
                <w:szCs w:val="22"/>
                <w:lang w:val="nl-BE"/>
              </w:rPr>
              <w:t>.</w:t>
            </w:r>
            <w:r w:rsidRPr="00C0607E">
              <w:rPr>
                <w:szCs w:val="22"/>
                <w:lang w:val="nl-BE"/>
              </w:rPr>
              <w:t>674</w:t>
            </w:r>
          </w:p>
        </w:tc>
        <w:tc>
          <w:tcPr>
            <w:tcW w:w="1291" w:type="dxa"/>
            <w:noWrap/>
            <w:hideMark/>
          </w:tcPr>
          <w:p w:rsidR="00C0607E" w:rsidRPr="00C0607E" w:rsidRDefault="00C0607E" w:rsidP="00C0607E">
            <w:pPr>
              <w:pStyle w:val="StandaardSV"/>
              <w:ind w:left="360"/>
              <w:jc w:val="right"/>
              <w:rPr>
                <w:szCs w:val="22"/>
                <w:lang w:val="nl-BE"/>
              </w:rPr>
            </w:pPr>
            <w:r w:rsidRPr="00C0607E">
              <w:rPr>
                <w:szCs w:val="22"/>
                <w:lang w:val="nl-BE"/>
              </w:rPr>
              <w:t>5</w:t>
            </w:r>
            <w:r>
              <w:rPr>
                <w:szCs w:val="22"/>
                <w:lang w:val="nl-BE"/>
              </w:rPr>
              <w:t>.</w:t>
            </w:r>
            <w:r w:rsidRPr="00C0607E">
              <w:rPr>
                <w:szCs w:val="22"/>
                <w:lang w:val="nl-BE"/>
              </w:rPr>
              <w:t>703</w:t>
            </w:r>
          </w:p>
        </w:tc>
      </w:tr>
      <w:tr w:rsidR="00C0607E" w:rsidRPr="00C0607E" w:rsidTr="00C0607E">
        <w:trPr>
          <w:trHeight w:val="255"/>
        </w:trPr>
        <w:tc>
          <w:tcPr>
            <w:tcW w:w="4452" w:type="dxa"/>
            <w:noWrap/>
            <w:hideMark/>
          </w:tcPr>
          <w:p w:rsidR="00C0607E" w:rsidRPr="00C0607E" w:rsidRDefault="00C0607E" w:rsidP="00C0607E">
            <w:pPr>
              <w:pStyle w:val="StandaardSV"/>
              <w:ind w:left="360"/>
              <w:rPr>
                <w:szCs w:val="22"/>
                <w:lang w:val="nl-BE"/>
              </w:rPr>
            </w:pPr>
            <w:r w:rsidRPr="00C0607E">
              <w:rPr>
                <w:szCs w:val="22"/>
                <w:lang w:val="nl-BE"/>
              </w:rPr>
              <w:t>Georganiseerde Vakanties</w:t>
            </w:r>
          </w:p>
        </w:tc>
        <w:tc>
          <w:tcPr>
            <w:tcW w:w="1181" w:type="dxa"/>
            <w:noWrap/>
            <w:hideMark/>
          </w:tcPr>
          <w:p w:rsidR="00C0607E" w:rsidRPr="00C0607E" w:rsidRDefault="00C0607E" w:rsidP="00C0607E">
            <w:pPr>
              <w:pStyle w:val="StandaardSV"/>
              <w:ind w:left="360"/>
              <w:jc w:val="right"/>
              <w:rPr>
                <w:szCs w:val="22"/>
                <w:lang w:val="nl-BE"/>
              </w:rPr>
            </w:pPr>
            <w:r w:rsidRPr="00C0607E">
              <w:rPr>
                <w:szCs w:val="22"/>
                <w:lang w:val="nl-BE"/>
              </w:rPr>
              <w:t>5</w:t>
            </w:r>
            <w:r>
              <w:rPr>
                <w:szCs w:val="22"/>
                <w:lang w:val="nl-BE"/>
              </w:rPr>
              <w:t>.</w:t>
            </w:r>
            <w:r w:rsidRPr="00C0607E">
              <w:rPr>
                <w:szCs w:val="22"/>
                <w:lang w:val="nl-BE"/>
              </w:rPr>
              <w:t>100</w:t>
            </w:r>
          </w:p>
        </w:tc>
        <w:tc>
          <w:tcPr>
            <w:tcW w:w="1291" w:type="dxa"/>
            <w:noWrap/>
            <w:hideMark/>
          </w:tcPr>
          <w:p w:rsidR="00C0607E" w:rsidRPr="00C0607E" w:rsidRDefault="00C0607E" w:rsidP="00C0607E">
            <w:pPr>
              <w:pStyle w:val="StandaardSV"/>
              <w:ind w:left="360"/>
              <w:jc w:val="right"/>
              <w:rPr>
                <w:szCs w:val="22"/>
                <w:lang w:val="nl-BE"/>
              </w:rPr>
            </w:pPr>
            <w:r w:rsidRPr="00C0607E">
              <w:rPr>
                <w:szCs w:val="22"/>
                <w:lang w:val="nl-BE"/>
              </w:rPr>
              <w:t>5</w:t>
            </w:r>
            <w:r>
              <w:rPr>
                <w:szCs w:val="22"/>
                <w:lang w:val="nl-BE"/>
              </w:rPr>
              <w:t>0</w:t>
            </w:r>
            <w:r w:rsidRPr="00C0607E">
              <w:rPr>
                <w:szCs w:val="22"/>
                <w:lang w:val="nl-BE"/>
              </w:rPr>
              <w:t>305</w:t>
            </w:r>
          </w:p>
        </w:tc>
      </w:tr>
      <w:tr w:rsidR="00C0607E" w:rsidRPr="00C0607E" w:rsidTr="00C0607E">
        <w:trPr>
          <w:trHeight w:val="315"/>
        </w:trPr>
        <w:tc>
          <w:tcPr>
            <w:tcW w:w="4452" w:type="dxa"/>
            <w:noWrap/>
            <w:hideMark/>
          </w:tcPr>
          <w:p w:rsidR="00C0607E" w:rsidRPr="00C0607E" w:rsidRDefault="00C0607E" w:rsidP="00C0607E">
            <w:pPr>
              <w:pStyle w:val="StandaardSV"/>
              <w:ind w:left="360"/>
              <w:rPr>
                <w:bCs/>
                <w:szCs w:val="22"/>
                <w:lang w:val="nl-BE"/>
              </w:rPr>
            </w:pPr>
            <w:r w:rsidRPr="00C0607E">
              <w:rPr>
                <w:bCs/>
                <w:szCs w:val="22"/>
                <w:lang w:val="nl-BE"/>
              </w:rPr>
              <w:t>Totaal</w:t>
            </w:r>
          </w:p>
        </w:tc>
        <w:tc>
          <w:tcPr>
            <w:tcW w:w="1181" w:type="dxa"/>
            <w:noWrap/>
            <w:hideMark/>
          </w:tcPr>
          <w:p w:rsidR="00C0607E" w:rsidRPr="00C0607E" w:rsidRDefault="00C0607E" w:rsidP="00C0607E">
            <w:pPr>
              <w:pStyle w:val="StandaardSV"/>
              <w:ind w:left="360"/>
              <w:jc w:val="right"/>
              <w:rPr>
                <w:szCs w:val="22"/>
                <w:lang w:val="nl-BE"/>
              </w:rPr>
            </w:pPr>
            <w:r w:rsidRPr="00C0607E">
              <w:rPr>
                <w:szCs w:val="22"/>
                <w:lang w:val="nl-BE"/>
              </w:rPr>
              <w:t>99.884</w:t>
            </w:r>
          </w:p>
        </w:tc>
        <w:tc>
          <w:tcPr>
            <w:tcW w:w="1291" w:type="dxa"/>
            <w:noWrap/>
            <w:hideMark/>
          </w:tcPr>
          <w:p w:rsidR="00C0607E" w:rsidRPr="00C0607E" w:rsidRDefault="00C0607E" w:rsidP="00C0607E">
            <w:pPr>
              <w:pStyle w:val="StandaardSV"/>
              <w:ind w:left="360"/>
              <w:jc w:val="right"/>
              <w:rPr>
                <w:szCs w:val="22"/>
                <w:lang w:val="nl-BE"/>
              </w:rPr>
            </w:pPr>
            <w:r w:rsidRPr="00C0607E">
              <w:rPr>
                <w:szCs w:val="22"/>
                <w:lang w:val="nl-BE"/>
              </w:rPr>
              <w:t>104.931</w:t>
            </w:r>
          </w:p>
        </w:tc>
      </w:tr>
    </w:tbl>
    <w:p w:rsidR="00C0607E" w:rsidRDefault="00C0607E" w:rsidP="00C0607E">
      <w:pPr>
        <w:pStyle w:val="StandaardSV"/>
        <w:ind w:left="360"/>
        <w:rPr>
          <w:szCs w:val="22"/>
        </w:rPr>
      </w:pPr>
    </w:p>
    <w:p w:rsidR="00C0607E" w:rsidRPr="00C0607E" w:rsidRDefault="00C0607E" w:rsidP="00C0607E">
      <w:pPr>
        <w:pStyle w:val="StandaardSV"/>
        <w:ind w:left="360"/>
        <w:rPr>
          <w:szCs w:val="22"/>
        </w:rPr>
      </w:pPr>
      <w:r w:rsidRPr="00C0607E">
        <w:rPr>
          <w:szCs w:val="22"/>
        </w:rPr>
        <w:t>Het werkingsbudget van Steunpunt Vakantieparticipatie</w:t>
      </w:r>
      <w:r>
        <w:rPr>
          <w:szCs w:val="22"/>
        </w:rPr>
        <w:t xml:space="preserve"> bedroeg in</w:t>
      </w:r>
      <w:r w:rsidRPr="00C0607E">
        <w:rPr>
          <w:szCs w:val="22"/>
        </w:rPr>
        <w:t>:</w:t>
      </w:r>
    </w:p>
    <w:p w:rsidR="00C0607E" w:rsidRPr="00C0607E" w:rsidRDefault="00C0607E" w:rsidP="00C0607E">
      <w:pPr>
        <w:pStyle w:val="StandaardSV"/>
        <w:ind w:left="360"/>
        <w:rPr>
          <w:szCs w:val="22"/>
        </w:rPr>
      </w:pPr>
      <w:r w:rsidRPr="00C0607E">
        <w:rPr>
          <w:szCs w:val="22"/>
        </w:rPr>
        <w:t>2011: 294.000 euro</w:t>
      </w:r>
    </w:p>
    <w:p w:rsidR="00C0607E" w:rsidRDefault="00C0607E" w:rsidP="00C0607E">
      <w:pPr>
        <w:pStyle w:val="StandaardSV"/>
        <w:ind w:left="360"/>
        <w:rPr>
          <w:szCs w:val="22"/>
        </w:rPr>
      </w:pPr>
      <w:r w:rsidRPr="00C0607E">
        <w:rPr>
          <w:szCs w:val="22"/>
        </w:rPr>
        <w:t>2012: 288.000 euro</w:t>
      </w:r>
      <w:r>
        <w:rPr>
          <w:szCs w:val="22"/>
        </w:rPr>
        <w:t>.</w:t>
      </w:r>
    </w:p>
    <w:p w:rsidR="00FC5E95" w:rsidRDefault="00FC5E95" w:rsidP="00FC5E95">
      <w:pPr>
        <w:pStyle w:val="StandaardSV"/>
        <w:ind w:left="360"/>
        <w:rPr>
          <w:szCs w:val="22"/>
        </w:rPr>
      </w:pPr>
    </w:p>
    <w:p w:rsidR="0079573A" w:rsidRPr="00796877" w:rsidRDefault="00C0607E" w:rsidP="00F853F1">
      <w:pPr>
        <w:pStyle w:val="StandaardSV"/>
        <w:numPr>
          <w:ilvl w:val="0"/>
          <w:numId w:val="19"/>
        </w:numPr>
      </w:pPr>
      <w:r>
        <w:t>Uit</w:t>
      </w:r>
      <w:r>
        <w:rPr>
          <w:lang w:val="nl-BE"/>
        </w:rPr>
        <w:t xml:space="preserve"> recent onderzoek van het Steunpunt in samenwerking met professor Lynn </w:t>
      </w:r>
      <w:proofErr w:type="spellStart"/>
      <w:r>
        <w:rPr>
          <w:lang w:val="nl-BE"/>
        </w:rPr>
        <w:t>Minnaert</w:t>
      </w:r>
      <w:proofErr w:type="spellEnd"/>
      <w:r>
        <w:rPr>
          <w:lang w:val="nl-BE"/>
        </w:rPr>
        <w:t>, waar</w:t>
      </w:r>
      <w:r w:rsidR="00AB04DD">
        <w:rPr>
          <w:lang w:val="nl-BE"/>
        </w:rPr>
        <w:t>in</w:t>
      </w:r>
      <w:r>
        <w:rPr>
          <w:lang w:val="nl-BE"/>
        </w:rPr>
        <w:t xml:space="preserve"> gepeild werd naar de tevredenheid van gebruikers en partners van het Steunpunt, kan geconcludeerd worden dat </w:t>
      </w:r>
      <w:r w:rsidRPr="001179DB">
        <w:rPr>
          <w:lang w:val="nl-BE"/>
        </w:rPr>
        <w:t>het samenwerkingsmodel van het Steunpunt Vakantieparticipatie een krachtig concept is waar alle partners tevreden over zijn</w:t>
      </w:r>
      <w:r>
        <w:rPr>
          <w:lang w:val="nl-BE"/>
        </w:rPr>
        <w:t>.</w:t>
      </w:r>
      <w:r w:rsidRPr="001179DB">
        <w:t xml:space="preserve"> </w:t>
      </w:r>
      <w:r w:rsidR="00335E41">
        <w:t>Als bijlage bezorg i</w:t>
      </w:r>
      <w:r>
        <w:t xml:space="preserve">k </w:t>
      </w:r>
      <w:r w:rsidR="00335E41">
        <w:t xml:space="preserve">in voorpublicatie </w:t>
      </w:r>
      <w:r>
        <w:t>d</w:t>
      </w:r>
      <w:r w:rsidRPr="001179DB">
        <w:rPr>
          <w:lang w:val="nl-BE"/>
        </w:rPr>
        <w:t xml:space="preserve">e cijfers </w:t>
      </w:r>
      <w:r w:rsidR="00335E41">
        <w:rPr>
          <w:lang w:val="nl-BE"/>
        </w:rPr>
        <w:t>uit het onderzoek. H</w:t>
      </w:r>
      <w:r w:rsidRPr="001179DB">
        <w:rPr>
          <w:lang w:val="nl-BE"/>
        </w:rPr>
        <w:t xml:space="preserve">et volledige onderzoek wordt </w:t>
      </w:r>
      <w:r w:rsidR="00796877">
        <w:rPr>
          <w:lang w:val="nl-BE"/>
        </w:rPr>
        <w:t>afgewerkt tegen eind september.</w:t>
      </w:r>
    </w:p>
    <w:p w:rsidR="00796877" w:rsidRDefault="00796877" w:rsidP="00796877">
      <w:pPr>
        <w:pStyle w:val="Lijstalinea"/>
        <w:ind w:left="360"/>
        <w:rPr>
          <w:lang w:val="nl-BE"/>
        </w:rPr>
      </w:pPr>
    </w:p>
    <w:p w:rsidR="00796877" w:rsidRDefault="00796877" w:rsidP="00AB04DD">
      <w:pPr>
        <w:pStyle w:val="Lijstalinea"/>
        <w:ind w:left="360"/>
        <w:jc w:val="both"/>
        <w:rPr>
          <w:lang w:val="nl-BE"/>
        </w:rPr>
      </w:pPr>
      <w:r w:rsidRPr="00796877">
        <w:rPr>
          <w:lang w:val="nl-BE"/>
        </w:rPr>
        <w:t xml:space="preserve">Steeds meer organisaties en mensen in armoede vinden de weg naar </w:t>
      </w:r>
      <w:r w:rsidR="00AB04DD">
        <w:rPr>
          <w:lang w:val="nl-BE"/>
        </w:rPr>
        <w:t xml:space="preserve">het </w:t>
      </w:r>
      <w:r w:rsidRPr="00796877">
        <w:rPr>
          <w:lang w:val="nl-BE"/>
        </w:rPr>
        <w:t>Steunpunt Vakantieparticipatie. De naambekendheid groeit. De armoedebarometer 2013 van de onderzoeksgroep Oases van de Universiteit Antwerpen meldt op pagina 15:  “</w:t>
      </w:r>
      <w:r w:rsidRPr="00796877">
        <w:rPr>
          <w:rStyle w:val="CitaatChar"/>
          <w:lang w:val="nl-BE"/>
        </w:rPr>
        <w:t xml:space="preserve">Het percentage Vlamingen dat zich geen week vakantie weg van huis kan veroorloven, bereikt met 19,6% in 2011 het hoogste niveau sinds de nulmeting (14,5% in 2006). Ook bij de kinderen is duidelijk dat een vakantie weg van thuis onbetaalbaar wordt. 21,7% van de Vlaamse minderjarigen groeit op in een gezin waar men zich geen week vakantie buitenshuis kan veroorloven. Dit percentage ligt hoger dan tijdens de nulmeting in 2009 (18,9%), maar opnieuw is voorzichtigheid geboden bij het in kaart brengen van de evolutie van deze subpopulatie uit de EU-SILC </w:t>
      </w:r>
      <w:r w:rsidRPr="00796877">
        <w:rPr>
          <w:lang w:val="nl-BE"/>
        </w:rPr>
        <w:t>(</w:t>
      </w:r>
      <w:proofErr w:type="spellStart"/>
      <w:r w:rsidRPr="00796877">
        <w:rPr>
          <w:lang w:val="nl-BE"/>
        </w:rPr>
        <w:t>Statistics</w:t>
      </w:r>
      <w:proofErr w:type="spellEnd"/>
      <w:r w:rsidRPr="00796877">
        <w:rPr>
          <w:lang w:val="nl-BE"/>
        </w:rPr>
        <w:t xml:space="preserve"> on </w:t>
      </w:r>
      <w:proofErr w:type="spellStart"/>
      <w:r w:rsidRPr="00796877">
        <w:rPr>
          <w:lang w:val="nl-BE"/>
        </w:rPr>
        <w:t>Income</w:t>
      </w:r>
      <w:proofErr w:type="spellEnd"/>
      <w:r w:rsidRPr="00796877">
        <w:rPr>
          <w:lang w:val="nl-BE"/>
        </w:rPr>
        <w:t xml:space="preserve"> </w:t>
      </w:r>
      <w:proofErr w:type="spellStart"/>
      <w:r w:rsidRPr="00796877">
        <w:rPr>
          <w:lang w:val="nl-BE"/>
        </w:rPr>
        <w:t>and</w:t>
      </w:r>
      <w:proofErr w:type="spellEnd"/>
      <w:r w:rsidRPr="00796877">
        <w:rPr>
          <w:lang w:val="nl-BE"/>
        </w:rPr>
        <w:t xml:space="preserve"> Living </w:t>
      </w:r>
      <w:proofErr w:type="spellStart"/>
      <w:r w:rsidRPr="00796877">
        <w:rPr>
          <w:lang w:val="nl-BE"/>
        </w:rPr>
        <w:t>Conditions</w:t>
      </w:r>
      <w:proofErr w:type="spellEnd"/>
      <w:r w:rsidRPr="00796877">
        <w:rPr>
          <w:lang w:val="nl-BE"/>
        </w:rPr>
        <w:t xml:space="preserve">). De armoedebarometer is beschikbaar op </w:t>
      </w:r>
      <w:hyperlink r:id="rId8" w:history="1">
        <w:r w:rsidRPr="00796877">
          <w:rPr>
            <w:rStyle w:val="Hyperlink"/>
            <w:lang w:val="nl-BE"/>
          </w:rPr>
          <w:t>www.vakantieparticipatie.be</w:t>
        </w:r>
      </w:hyperlink>
      <w:r w:rsidRPr="00796877">
        <w:rPr>
          <w:lang w:val="nl-BE"/>
        </w:rPr>
        <w:t xml:space="preserve"> .</w:t>
      </w:r>
    </w:p>
    <w:p w:rsidR="00796877" w:rsidRDefault="00796877" w:rsidP="00796877">
      <w:pPr>
        <w:pStyle w:val="Lijstalinea"/>
        <w:ind w:left="360"/>
        <w:rPr>
          <w:lang w:val="nl-BE"/>
        </w:rPr>
      </w:pPr>
    </w:p>
    <w:p w:rsidR="00796877" w:rsidRDefault="00796877" w:rsidP="009B4CD6">
      <w:pPr>
        <w:pStyle w:val="Lijstalinea"/>
        <w:ind w:left="360"/>
        <w:jc w:val="both"/>
        <w:rPr>
          <w:lang w:val="nl-BE"/>
        </w:rPr>
      </w:pPr>
      <w:r w:rsidRPr="00796877">
        <w:rPr>
          <w:lang w:val="nl-BE"/>
        </w:rPr>
        <w:t xml:space="preserve">Om meer mensen en kinderen in armoede te bereiken, heeft </w:t>
      </w:r>
      <w:r w:rsidR="00AB04DD">
        <w:rPr>
          <w:lang w:val="nl-BE"/>
        </w:rPr>
        <w:t xml:space="preserve">het </w:t>
      </w:r>
      <w:r w:rsidRPr="00796877">
        <w:rPr>
          <w:lang w:val="nl-BE"/>
        </w:rPr>
        <w:t xml:space="preserve">Steunpunt Vakantieparticipatie verschillende acties opgezet. Zo werkte Vakantieparticipatie samen met </w:t>
      </w:r>
      <w:r w:rsidRPr="002A416D">
        <w:rPr>
          <w:i/>
          <w:lang w:val="nl-BE"/>
        </w:rPr>
        <w:t>Klasse</w:t>
      </w:r>
      <w:r w:rsidRPr="00796877">
        <w:rPr>
          <w:lang w:val="nl-BE"/>
        </w:rPr>
        <w:t xml:space="preserve"> aan een laagdrempelig zomernummer dat in juni in de boekentas van 700.000 Vlaamse kinderen stak. Met inbreng van 250 </w:t>
      </w:r>
      <w:proofErr w:type="spellStart"/>
      <w:r w:rsidRPr="00796877">
        <w:rPr>
          <w:lang w:val="nl-BE"/>
        </w:rPr>
        <w:t>lidorganisaties</w:t>
      </w:r>
      <w:proofErr w:type="spellEnd"/>
      <w:r w:rsidRPr="00796877">
        <w:rPr>
          <w:lang w:val="nl-BE"/>
        </w:rPr>
        <w:t xml:space="preserve"> ontwikkelde Steunpunt Vakantieparticipatie de publicatie ‘Vakantievaardig’, een educatieve, ondersteunende uitgave voor begeleiders en intermediairs. Een aantal fiches uit het boekje passen voor het brede publiek en werden als vakantiezakboekje toegevoegd aan het juninummer van </w:t>
      </w:r>
      <w:r w:rsidRPr="002A416D">
        <w:rPr>
          <w:i/>
          <w:lang w:val="nl-BE"/>
        </w:rPr>
        <w:t>Klasse</w:t>
      </w:r>
      <w:r w:rsidRPr="00796877">
        <w:rPr>
          <w:lang w:val="nl-BE"/>
        </w:rPr>
        <w:t>. Dit project is een voorbeeld van samenwerking tussen agentschappen van de Vlaamse Overheid.</w:t>
      </w:r>
      <w:r w:rsidR="002A416D">
        <w:rPr>
          <w:lang w:val="nl-BE"/>
        </w:rPr>
        <w:t xml:space="preserve"> </w:t>
      </w:r>
      <w:r w:rsidRPr="00796877">
        <w:rPr>
          <w:lang w:val="nl-BE"/>
        </w:rPr>
        <w:t xml:space="preserve">In januari dit jaar gaf ik op het jaarlijkse Forum Vakantieparticipatie de aftrap van het nieuwsverhalenproject. Driemaal per week publiceert </w:t>
      </w:r>
      <w:r w:rsidRPr="00796877">
        <w:rPr>
          <w:lang w:val="nl-BE"/>
        </w:rPr>
        <w:lastRenderedPageBreak/>
        <w:t>Vakantieparticipatie een nieuwsverhaal van aanbieders, gebruikers of begeleiders op zijn site. Daarmee houdt het Steunpunt zijn netwerk op de hoogte van de initiatieven die in het werkveld ontwikkeld worden en toont het dat het belang van vakantie niet onderschat kan worden. Het Steunpunt vernieuwde dit jaar zijn website www.vakantieparticpatie.be, een belangrijke informatiebron en een werkinstrument voor de partners. Eind 2013 wordt ook het online reserveringssysteem aangepast.</w:t>
      </w:r>
    </w:p>
    <w:p w:rsidR="00796877" w:rsidRPr="00796877" w:rsidRDefault="00796877" w:rsidP="009B4CD6">
      <w:pPr>
        <w:pStyle w:val="Lijstalinea"/>
        <w:ind w:left="360"/>
        <w:jc w:val="both"/>
        <w:rPr>
          <w:lang w:val="nl-BE"/>
        </w:rPr>
      </w:pPr>
    </w:p>
    <w:p w:rsidR="00796877" w:rsidRPr="00796877" w:rsidRDefault="00796877" w:rsidP="009B4CD6">
      <w:pPr>
        <w:pStyle w:val="Lijstalinea"/>
        <w:numPr>
          <w:ilvl w:val="0"/>
          <w:numId w:val="19"/>
        </w:numPr>
        <w:jc w:val="both"/>
        <w:rPr>
          <w:lang w:val="nl-BE"/>
        </w:rPr>
      </w:pPr>
      <w:r>
        <w:rPr>
          <w:lang w:val="nl-BE"/>
        </w:rPr>
        <w:t>Private partners raken meer geëngageerd naargelang ze langer samenwerken. Het feit dat hun aanbod effectief een verschil maakt, werkt zeer motiverend. Momenteel werkt het Steunpunt samen met ongeveer 500 partners langs de aanbodzijde. Daarvan behoort ongeveer de helft tot de private sector. De medewerkers van Steunpunt Vakantieparticipatie overleggen met potentiële partners en organiseren regionale infomomenten. Het Steunpunt heeft een promo</w:t>
      </w:r>
      <w:r w:rsidR="009B4CD6">
        <w:rPr>
          <w:lang w:val="nl-BE"/>
        </w:rPr>
        <w:t>tie</w:t>
      </w:r>
      <w:r>
        <w:rPr>
          <w:lang w:val="nl-BE"/>
        </w:rPr>
        <w:t>folder en presentatie ontwikkeld. Dit jaar werden al met 27 nieuwe aanbieders contracten gesloten.</w:t>
      </w:r>
    </w:p>
    <w:p w:rsidR="00796877" w:rsidRPr="00796877" w:rsidRDefault="00796877" w:rsidP="009B4CD6">
      <w:pPr>
        <w:pStyle w:val="StandaardSV"/>
        <w:ind w:left="360"/>
      </w:pPr>
    </w:p>
    <w:p w:rsidR="00796877" w:rsidRPr="00796877" w:rsidRDefault="00796877" w:rsidP="009B4CD6">
      <w:pPr>
        <w:pStyle w:val="StandaardSV"/>
        <w:numPr>
          <w:ilvl w:val="0"/>
          <w:numId w:val="19"/>
        </w:numPr>
      </w:pPr>
      <w:r>
        <w:rPr>
          <w:lang w:val="nl-BE"/>
        </w:rPr>
        <w:t xml:space="preserve">Ik verwijs naar mijn antwoord op de vraag om uitleg 776 </w:t>
      </w:r>
      <w:r w:rsidRPr="00B34E4E">
        <w:rPr>
          <w:lang w:val="nl-BE"/>
        </w:rPr>
        <w:t>van de heer Johan Verstreken over de uitbreiding van het project ‘Rap op Stap’</w:t>
      </w:r>
      <w:r>
        <w:rPr>
          <w:lang w:val="nl-BE"/>
        </w:rPr>
        <w:t xml:space="preserve"> van 5 februari 2013.</w:t>
      </w:r>
    </w:p>
    <w:p w:rsidR="00796877" w:rsidRPr="00796877" w:rsidRDefault="00796877" w:rsidP="009B4CD6">
      <w:pPr>
        <w:pStyle w:val="StandaardSV"/>
        <w:ind w:left="360"/>
      </w:pPr>
      <w:r>
        <w:rPr>
          <w:lang w:val="nl-BE"/>
        </w:rPr>
        <w:t>(</w:t>
      </w:r>
      <w:hyperlink r:id="rId9" w:history="1">
        <w:r w:rsidRPr="00C55CD2">
          <w:rPr>
            <w:rStyle w:val="Hyperlink"/>
            <w:lang w:val="nl-BE"/>
          </w:rPr>
          <w:t>http://www.vlaamsparlement.be/Proteus5/showVIVerslag.action?id=864277</w:t>
        </w:r>
      </w:hyperlink>
      <w:r>
        <w:rPr>
          <w:lang w:val="nl-BE"/>
        </w:rPr>
        <w:t xml:space="preserve"> ). </w:t>
      </w:r>
    </w:p>
    <w:p w:rsidR="00796877" w:rsidRPr="00796877" w:rsidRDefault="00796877" w:rsidP="009B4CD6">
      <w:pPr>
        <w:pStyle w:val="StandaardSV"/>
        <w:ind w:left="360"/>
      </w:pPr>
    </w:p>
    <w:p w:rsidR="00F853F1" w:rsidRDefault="00796877" w:rsidP="009B4CD6">
      <w:pPr>
        <w:pStyle w:val="StandaardSV"/>
        <w:ind w:left="360"/>
      </w:pPr>
      <w:r>
        <w:t>Dit jaar zijn al vier Rap-op-Stap-kantoren gestart: Ieper (sinds 4 maart) en Oostende (sinds 2 april), Lommel (7 mei) en Lokeren (17mei).</w:t>
      </w:r>
    </w:p>
    <w:p w:rsidR="00264640" w:rsidRDefault="00264640" w:rsidP="009B4CD6">
      <w:pPr>
        <w:pStyle w:val="StandaardSV"/>
        <w:ind w:left="360"/>
      </w:pPr>
    </w:p>
    <w:p w:rsidR="00264640" w:rsidRDefault="00264640" w:rsidP="009B4CD6">
      <w:pPr>
        <w:pStyle w:val="StandaardSV"/>
        <w:ind w:left="360"/>
      </w:pPr>
      <w:r>
        <w:t>Tegen einde september 2013 verwacht ik een eindrapport over de externe evaluatie van het “Rap-op-Stap”-project.</w:t>
      </w:r>
    </w:p>
    <w:p w:rsidR="00C16D25" w:rsidRDefault="00C16D25" w:rsidP="00C16D25">
      <w:pPr>
        <w:pStyle w:val="StandaardSV"/>
      </w:pPr>
    </w:p>
    <w:p w:rsidR="00C16D25" w:rsidRDefault="00C16D25" w:rsidP="00C16D25">
      <w:pPr>
        <w:pStyle w:val="StandaardSV"/>
      </w:pPr>
    </w:p>
    <w:p w:rsidR="00C16D25" w:rsidRPr="00C16D25" w:rsidRDefault="00C16D25" w:rsidP="00C16D25">
      <w:pPr>
        <w:pStyle w:val="StandaardSV"/>
        <w:rPr>
          <w:b/>
          <w:smallCaps/>
          <w:color w:val="FF0000"/>
          <w:u w:val="single"/>
        </w:rPr>
      </w:pPr>
      <w:r>
        <w:rPr>
          <w:b/>
          <w:smallCaps/>
          <w:color w:val="FF0000"/>
          <w:u w:val="single"/>
        </w:rPr>
        <w:t>bijlage</w:t>
      </w:r>
    </w:p>
    <w:p w:rsidR="00C16D25" w:rsidRDefault="00C16D25" w:rsidP="00C16D25">
      <w:pPr>
        <w:pStyle w:val="StandaardSV"/>
      </w:pPr>
    </w:p>
    <w:p w:rsidR="00C16D25" w:rsidRDefault="00C16D25" w:rsidP="00C16D25">
      <w:pPr>
        <w:pStyle w:val="StandaardSV"/>
      </w:pPr>
      <w:r>
        <w:t xml:space="preserve">Uittreksel uit het </w:t>
      </w:r>
      <w:r>
        <w:rPr>
          <w:lang w:val="nl-BE"/>
        </w:rPr>
        <w:t xml:space="preserve">recent onderzoek van het Steunpunt Vakantieparticipatie in samenwerking met Prof Lynn </w:t>
      </w:r>
      <w:proofErr w:type="spellStart"/>
      <w:r>
        <w:rPr>
          <w:lang w:val="nl-BE"/>
        </w:rPr>
        <w:t>Minnaert</w:t>
      </w:r>
      <w:proofErr w:type="spellEnd"/>
      <w:r>
        <w:rPr>
          <w:lang w:val="nl-BE"/>
        </w:rPr>
        <w:t xml:space="preserve"> over de tevredenheid van gebruikers en partners van het Steunpunt Vakantieparticipatie</w:t>
      </w:r>
      <w:bookmarkStart w:id="6" w:name="_GoBack"/>
      <w:bookmarkEnd w:id="6"/>
    </w:p>
    <w:sectPr w:rsidR="00C16D2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BB" w:rsidRDefault="007B5CBB">
      <w:r>
        <w:separator/>
      </w:r>
    </w:p>
  </w:endnote>
  <w:endnote w:type="continuationSeparator" w:id="0">
    <w:p w:rsidR="007B5CBB" w:rsidRDefault="007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BB" w:rsidRDefault="007B5CBB">
      <w:r>
        <w:separator/>
      </w:r>
    </w:p>
  </w:footnote>
  <w:footnote w:type="continuationSeparator" w:id="0">
    <w:p w:rsidR="007B5CBB" w:rsidRDefault="007B5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16B3523"/>
    <w:multiLevelType w:val="hybridMultilevel"/>
    <w:tmpl w:val="DDAEDD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32D2D81"/>
    <w:multiLevelType w:val="hybridMultilevel"/>
    <w:tmpl w:val="C44406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10A6A2A"/>
    <w:multiLevelType w:val="hybridMultilevel"/>
    <w:tmpl w:val="1EC0FFDC"/>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1"/>
  </w:num>
  <w:num w:numId="5">
    <w:abstractNumId w:val="28"/>
  </w:num>
  <w:num w:numId="6">
    <w:abstractNumId w:val="5"/>
  </w:num>
  <w:num w:numId="7">
    <w:abstractNumId w:val="32"/>
  </w:num>
  <w:num w:numId="8">
    <w:abstractNumId w:val="1"/>
  </w:num>
  <w:num w:numId="9">
    <w:abstractNumId w:val="15"/>
  </w:num>
  <w:num w:numId="10">
    <w:abstractNumId w:val="26"/>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5"/>
  </w:num>
  <w:num w:numId="16">
    <w:abstractNumId w:val="4"/>
  </w:num>
  <w:num w:numId="17">
    <w:abstractNumId w:val="33"/>
  </w:num>
  <w:num w:numId="18">
    <w:abstractNumId w:val="30"/>
  </w:num>
  <w:num w:numId="19">
    <w:abstractNumId w:val="18"/>
  </w:num>
  <w:num w:numId="20">
    <w:abstractNumId w:val="23"/>
  </w:num>
  <w:num w:numId="21">
    <w:abstractNumId w:val="3"/>
  </w:num>
  <w:num w:numId="22">
    <w:abstractNumId w:val="22"/>
  </w:num>
  <w:num w:numId="23">
    <w:abstractNumId w:val="17"/>
  </w:num>
  <w:num w:numId="24">
    <w:abstractNumId w:val="9"/>
  </w:num>
  <w:num w:numId="25">
    <w:abstractNumId w:val="29"/>
  </w:num>
  <w:num w:numId="26">
    <w:abstractNumId w:val="20"/>
  </w:num>
  <w:num w:numId="27">
    <w:abstractNumId w:val="6"/>
  </w:num>
  <w:num w:numId="28">
    <w:abstractNumId w:val="21"/>
  </w:num>
  <w:num w:numId="29">
    <w:abstractNumId w:val="11"/>
  </w:num>
  <w:num w:numId="30">
    <w:abstractNumId w:val="16"/>
  </w:num>
  <w:num w:numId="31">
    <w:abstractNumId w:val="24"/>
  </w:num>
  <w:num w:numId="32">
    <w:abstractNumId w:val="8"/>
  </w:num>
  <w:num w:numId="33">
    <w:abstractNumId w:val="19"/>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5A55"/>
    <w:rsid w:val="002527B0"/>
    <w:rsid w:val="00264640"/>
    <w:rsid w:val="00265FCA"/>
    <w:rsid w:val="00266E3B"/>
    <w:rsid w:val="002705B1"/>
    <w:rsid w:val="00285C81"/>
    <w:rsid w:val="00293DBB"/>
    <w:rsid w:val="0029723F"/>
    <w:rsid w:val="002A416D"/>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6A58"/>
    <w:rsid w:val="00333C39"/>
    <w:rsid w:val="00335E41"/>
    <w:rsid w:val="00342BC6"/>
    <w:rsid w:val="00344C5F"/>
    <w:rsid w:val="003461DE"/>
    <w:rsid w:val="00353BD7"/>
    <w:rsid w:val="003668E6"/>
    <w:rsid w:val="00366B1F"/>
    <w:rsid w:val="003711EC"/>
    <w:rsid w:val="00371984"/>
    <w:rsid w:val="00373BEA"/>
    <w:rsid w:val="00375168"/>
    <w:rsid w:val="00380550"/>
    <w:rsid w:val="0038404F"/>
    <w:rsid w:val="00391972"/>
    <w:rsid w:val="003B5469"/>
    <w:rsid w:val="003C3ED2"/>
    <w:rsid w:val="003C6A43"/>
    <w:rsid w:val="003D6B25"/>
    <w:rsid w:val="003E0094"/>
    <w:rsid w:val="003E491C"/>
    <w:rsid w:val="003F709F"/>
    <w:rsid w:val="004032D0"/>
    <w:rsid w:val="00406670"/>
    <w:rsid w:val="00406A4D"/>
    <w:rsid w:val="0041026D"/>
    <w:rsid w:val="00412950"/>
    <w:rsid w:val="00424502"/>
    <w:rsid w:val="00461E41"/>
    <w:rsid w:val="004638E2"/>
    <w:rsid w:val="004725EB"/>
    <w:rsid w:val="00481276"/>
    <w:rsid w:val="00485A09"/>
    <w:rsid w:val="00486623"/>
    <w:rsid w:val="0048775A"/>
    <w:rsid w:val="00492DC0"/>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96877"/>
    <w:rsid w:val="007A4660"/>
    <w:rsid w:val="007A668A"/>
    <w:rsid w:val="007B5CBB"/>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4CD6"/>
    <w:rsid w:val="009B6A44"/>
    <w:rsid w:val="009C439D"/>
    <w:rsid w:val="009C7A54"/>
    <w:rsid w:val="009C7B30"/>
    <w:rsid w:val="009D2BE7"/>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65D10"/>
    <w:rsid w:val="00A73D40"/>
    <w:rsid w:val="00A76A4C"/>
    <w:rsid w:val="00A807D6"/>
    <w:rsid w:val="00A85805"/>
    <w:rsid w:val="00A85A22"/>
    <w:rsid w:val="00A877E7"/>
    <w:rsid w:val="00A91BB3"/>
    <w:rsid w:val="00A96858"/>
    <w:rsid w:val="00AA51B2"/>
    <w:rsid w:val="00AB04DD"/>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0607E"/>
    <w:rsid w:val="00C1095C"/>
    <w:rsid w:val="00C12807"/>
    <w:rsid w:val="00C12979"/>
    <w:rsid w:val="00C14503"/>
    <w:rsid w:val="00C16D25"/>
    <w:rsid w:val="00C24155"/>
    <w:rsid w:val="00C25B79"/>
    <w:rsid w:val="00C30866"/>
    <w:rsid w:val="00C308C1"/>
    <w:rsid w:val="00C40677"/>
    <w:rsid w:val="00C52465"/>
    <w:rsid w:val="00C535FE"/>
    <w:rsid w:val="00C55B7E"/>
    <w:rsid w:val="00C65734"/>
    <w:rsid w:val="00C67261"/>
    <w:rsid w:val="00C70C95"/>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853F1"/>
    <w:rsid w:val="00F90996"/>
    <w:rsid w:val="00F9739A"/>
    <w:rsid w:val="00FA29D6"/>
    <w:rsid w:val="00FA3510"/>
    <w:rsid w:val="00FB3B9C"/>
    <w:rsid w:val="00FC0E1E"/>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itaat">
    <w:name w:val="Quote"/>
    <w:basedOn w:val="Standaard"/>
    <w:next w:val="Standaard"/>
    <w:link w:val="CitaatChar"/>
    <w:uiPriority w:val="29"/>
    <w:qFormat/>
    <w:rsid w:val="00796877"/>
    <w:rPr>
      <w:i/>
      <w:iCs/>
      <w:color w:val="000000" w:themeColor="text1"/>
      <w:sz w:val="24"/>
      <w:szCs w:val="20"/>
    </w:rPr>
  </w:style>
  <w:style w:type="character" w:customStyle="1" w:styleId="CitaatChar">
    <w:name w:val="Citaat Char"/>
    <w:basedOn w:val="Standaardalinea-lettertype"/>
    <w:link w:val="Citaat"/>
    <w:uiPriority w:val="29"/>
    <w:rsid w:val="00796877"/>
    <w:rPr>
      <w:i/>
      <w:iCs/>
      <w:color w:val="000000" w:themeColor="text1"/>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itaat">
    <w:name w:val="Quote"/>
    <w:basedOn w:val="Standaard"/>
    <w:next w:val="Standaard"/>
    <w:link w:val="CitaatChar"/>
    <w:uiPriority w:val="29"/>
    <w:qFormat/>
    <w:rsid w:val="00796877"/>
    <w:rPr>
      <w:i/>
      <w:iCs/>
      <w:color w:val="000000" w:themeColor="text1"/>
      <w:sz w:val="24"/>
      <w:szCs w:val="20"/>
    </w:rPr>
  </w:style>
  <w:style w:type="character" w:customStyle="1" w:styleId="CitaatChar">
    <w:name w:val="Citaat Char"/>
    <w:basedOn w:val="Standaardalinea-lettertype"/>
    <w:link w:val="Citaat"/>
    <w:uiPriority w:val="29"/>
    <w:rsid w:val="00796877"/>
    <w:rPr>
      <w:i/>
      <w:iCs/>
      <w:color w:val="000000" w:themeColor="text1"/>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kantieparticipatie.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amsparlement.be/Proteus5/showVIVerslag.action?id=864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2</Pages>
  <Words>627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2013-06-28T12:25:00Z</cp:lastPrinted>
  <dcterms:created xsi:type="dcterms:W3CDTF">2013-06-24T09:20:00Z</dcterms:created>
  <dcterms:modified xsi:type="dcterms:W3CDTF">2013-06-28T12:25:00Z</dcterms:modified>
</cp:coreProperties>
</file>