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33" w:rsidRDefault="001C3833" w:rsidP="001C3833">
      <w:pPr>
        <w:rPr>
          <w:b/>
          <w:smallCaps/>
          <w:sz w:val="22"/>
        </w:rPr>
      </w:pPr>
      <w:r>
        <w:rPr>
          <w:b/>
          <w:smallCaps/>
          <w:sz w:val="22"/>
        </w:rPr>
        <w:t>ingrid lieten</w:t>
      </w:r>
    </w:p>
    <w:p w:rsidR="001C3833" w:rsidRDefault="001C3833" w:rsidP="001C3833">
      <w:pPr>
        <w:pStyle w:val="StandaardSV"/>
        <w:rPr>
          <w:smallCaps/>
        </w:rPr>
      </w:pPr>
      <w:r>
        <w:rPr>
          <w:smallCaps/>
        </w:rPr>
        <w:t>viceminister-president van de vlaamse regering, vlaams minister van innovatie, over</w:t>
      </w:r>
      <w:r w:rsidR="002F31F9">
        <w:rPr>
          <w:smallCaps/>
        </w:rPr>
        <w:softHyphen/>
      </w:r>
      <w:r>
        <w:rPr>
          <w:smallCaps/>
        </w:rPr>
        <w:t>heidsinvesteringen, media en armoedebestrijding</w:t>
      </w:r>
    </w:p>
    <w:p w:rsidR="001C3833" w:rsidRDefault="001C3833" w:rsidP="001C3833">
      <w:pPr>
        <w:pBdr>
          <w:bottom w:val="single" w:sz="4" w:space="1" w:color="auto"/>
        </w:pBdr>
        <w:rPr>
          <w:sz w:val="22"/>
        </w:rPr>
      </w:pPr>
    </w:p>
    <w:p w:rsidR="001C3833" w:rsidRDefault="001C3833" w:rsidP="001C3833">
      <w:pPr>
        <w:rPr>
          <w:sz w:val="22"/>
        </w:rPr>
      </w:pPr>
    </w:p>
    <w:p w:rsidR="001C3833" w:rsidRPr="00103D45" w:rsidRDefault="001C3833" w:rsidP="001C3833">
      <w:pPr>
        <w:rPr>
          <w:b/>
          <w:smallCaps/>
          <w:sz w:val="22"/>
          <w:szCs w:val="22"/>
        </w:rPr>
      </w:pPr>
      <w:r w:rsidRPr="00103D45">
        <w:rPr>
          <w:b/>
          <w:smallCaps/>
          <w:sz w:val="22"/>
          <w:szCs w:val="22"/>
        </w:rPr>
        <w:t>antwoord</w:t>
      </w:r>
    </w:p>
    <w:p w:rsidR="001C3833" w:rsidRPr="00103D45" w:rsidRDefault="001C3833" w:rsidP="001C3833">
      <w:pPr>
        <w:rPr>
          <w:sz w:val="22"/>
          <w:szCs w:val="22"/>
        </w:rPr>
      </w:pPr>
      <w:r w:rsidRPr="00103D45">
        <w:rPr>
          <w:sz w:val="22"/>
          <w:szCs w:val="22"/>
        </w:rPr>
        <w:t xml:space="preserve">op vraag nr. </w:t>
      </w:r>
      <w:r>
        <w:rPr>
          <w:sz w:val="22"/>
        </w:rPr>
        <w:t>375</w:t>
      </w:r>
      <w:r w:rsidRPr="00103D45">
        <w:rPr>
          <w:sz w:val="22"/>
          <w:szCs w:val="22"/>
        </w:rPr>
        <w:t xml:space="preserve"> van </w:t>
      </w:r>
      <w:r>
        <w:rPr>
          <w:sz w:val="22"/>
        </w:rPr>
        <w:t>30 april 2013</w:t>
      </w:r>
    </w:p>
    <w:p w:rsidR="001C3833" w:rsidRDefault="001C3833" w:rsidP="001C3833">
      <w:pPr>
        <w:rPr>
          <w:sz w:val="22"/>
        </w:rPr>
      </w:pPr>
      <w:r w:rsidRPr="00103D45">
        <w:rPr>
          <w:sz w:val="22"/>
          <w:szCs w:val="22"/>
        </w:rPr>
        <w:t xml:space="preserve">van </w:t>
      </w:r>
      <w:r>
        <w:rPr>
          <w:b/>
          <w:smallCaps/>
        </w:rPr>
        <w:t>matthias diependaele</w:t>
      </w:r>
    </w:p>
    <w:p w:rsidR="001C3833" w:rsidRDefault="001C3833" w:rsidP="001C3833">
      <w:pPr>
        <w:pBdr>
          <w:bottom w:val="single" w:sz="4" w:space="1" w:color="auto"/>
        </w:pBdr>
        <w:jc w:val="both"/>
        <w:rPr>
          <w:sz w:val="22"/>
        </w:rPr>
      </w:pPr>
    </w:p>
    <w:p w:rsidR="001C3833" w:rsidRPr="001C3833" w:rsidRDefault="001C3833" w:rsidP="001C3833">
      <w:pPr>
        <w:rPr>
          <w:i/>
          <w:sz w:val="22"/>
          <w:szCs w:val="22"/>
        </w:rPr>
      </w:pPr>
    </w:p>
    <w:p w:rsidR="001C3833" w:rsidRPr="001C3833" w:rsidRDefault="001C3833" w:rsidP="00A00A6A">
      <w:pPr>
        <w:pStyle w:val="StandaardSV"/>
        <w:rPr>
          <w:i/>
          <w:szCs w:val="22"/>
        </w:rPr>
      </w:pPr>
    </w:p>
    <w:p w:rsidR="00677335" w:rsidRPr="00EC4BCE" w:rsidRDefault="001C3833" w:rsidP="00A00A6A">
      <w:pPr>
        <w:pStyle w:val="StandaardSV"/>
        <w:ind w:left="360" w:hanging="360"/>
        <w:rPr>
          <w:i/>
        </w:rPr>
      </w:pPr>
      <w:r>
        <w:t>1a.</w:t>
      </w:r>
      <w:r>
        <w:tab/>
        <w:t>I</w:t>
      </w:r>
      <w:r w:rsidR="00677335" w:rsidRPr="00EC4BCE">
        <w:t>n 2012 werden 2</w:t>
      </w:r>
      <w:r w:rsidR="007B2321" w:rsidRPr="00EC4BCE">
        <w:t>7</w:t>
      </w:r>
      <w:r w:rsidR="00677335" w:rsidRPr="00EC4BCE">
        <w:t xml:space="preserve"> innovatiemandaten aangevraagd waarvan 1 werd teruggetrokken tijdens </w:t>
      </w:r>
      <w:r>
        <w:t xml:space="preserve">de </w:t>
      </w:r>
      <w:r w:rsidR="00677335" w:rsidRPr="00EC4BCE">
        <w:t xml:space="preserve">evaluatie en </w:t>
      </w:r>
      <w:r w:rsidR="007B2321" w:rsidRPr="00EC4BCE">
        <w:t>2</w:t>
      </w:r>
      <w:r w:rsidR="00677335" w:rsidRPr="00EC4BCE">
        <w:t xml:space="preserve"> aanvragen een vervolgaanvraag betrof</w:t>
      </w:r>
      <w:r>
        <w:t>fen</w:t>
      </w:r>
      <w:r w:rsidR="00677335" w:rsidRPr="00EC4BCE">
        <w:t xml:space="preserve"> op een voortraject (</w:t>
      </w:r>
      <w:r>
        <w:t>F</w:t>
      </w:r>
      <w:r w:rsidR="00677335" w:rsidRPr="00EC4BCE">
        <w:t>ase 1).</w:t>
      </w:r>
    </w:p>
    <w:p w:rsidR="005275FB" w:rsidRDefault="005275FB" w:rsidP="00A00A6A">
      <w:pPr>
        <w:pStyle w:val="StandaardSV"/>
        <w:ind w:left="360"/>
      </w:pPr>
    </w:p>
    <w:p w:rsidR="005275FB" w:rsidRDefault="001C3833" w:rsidP="00A00A6A">
      <w:pPr>
        <w:pStyle w:val="StandaardSV"/>
        <w:ind w:left="360" w:hanging="360"/>
      </w:pPr>
      <w:r>
        <w:t>1b.</w:t>
      </w:r>
      <w:r>
        <w:tab/>
      </w:r>
      <w:r w:rsidR="00677335" w:rsidRPr="00EC4BCE">
        <w:t>Hiervan werden 1</w:t>
      </w:r>
      <w:r w:rsidR="007B2321" w:rsidRPr="00EC4BCE">
        <w:t>3</w:t>
      </w:r>
      <w:r w:rsidR="00677335" w:rsidRPr="00EC4BCE">
        <w:t xml:space="preserve"> projecten effectief gesteund.</w:t>
      </w:r>
    </w:p>
    <w:p w:rsidR="001C3833" w:rsidRPr="00EC4BCE" w:rsidRDefault="001C3833" w:rsidP="00A00A6A">
      <w:pPr>
        <w:pStyle w:val="StandaardSV"/>
        <w:ind w:left="720" w:hanging="360"/>
      </w:pPr>
    </w:p>
    <w:p w:rsidR="00C611C9" w:rsidRPr="00EC4BCE" w:rsidRDefault="001C3833" w:rsidP="00A00A6A">
      <w:pPr>
        <w:pStyle w:val="StandaardSV"/>
        <w:ind w:left="360" w:hanging="360"/>
      </w:pPr>
      <w:r>
        <w:t>1c.</w:t>
      </w:r>
      <w:r>
        <w:tab/>
      </w:r>
      <w:r w:rsidR="00677335" w:rsidRPr="00EC4BCE">
        <w:t>Het steunbedrag verschilt sterk van mandaat tot mandaat: de projectduur kan variëren van</w:t>
      </w:r>
      <w:r>
        <w:t xml:space="preserve"> </w:t>
      </w:r>
      <w:r w:rsidR="00677335" w:rsidRPr="00EC4BCE">
        <w:t>1 tot 3 jaar, het steunpercentage verschilt naargelang het 100% steun aan de kennisinstelling dan wel 50% aan een groot bedrijf betreft</w:t>
      </w:r>
      <w:r w:rsidR="008977CE" w:rsidRPr="00EC4BCE">
        <w:t xml:space="preserve"> (of 60% aan een kmo</w:t>
      </w:r>
      <w:r w:rsidR="001364AD" w:rsidRPr="00EC4BCE">
        <w:t>)</w:t>
      </w:r>
      <w:r w:rsidR="008977CE" w:rsidRPr="00EC4BCE">
        <w:t xml:space="preserve">. Verder speelt </w:t>
      </w:r>
      <w:r w:rsidR="00677335" w:rsidRPr="00EC4BCE">
        <w:t xml:space="preserve">de anciënniteit van de onderzoeker </w:t>
      </w:r>
      <w:r w:rsidR="00F246AE" w:rsidRPr="00EC4BCE">
        <w:t>een rol in de personeelskost</w:t>
      </w:r>
      <w:r w:rsidR="001364AD" w:rsidRPr="00EC4BCE">
        <w:t xml:space="preserve"> en zijn de</w:t>
      </w:r>
      <w:r w:rsidR="00F246AE" w:rsidRPr="00EC4BCE">
        <w:t xml:space="preserve"> werkingskosten sterk afhankelijk van het type project.</w:t>
      </w:r>
      <w:r>
        <w:t xml:space="preserve"> </w:t>
      </w:r>
      <w:r w:rsidR="008977CE" w:rsidRPr="00EC4BCE">
        <w:t>Aldus variëren de steunbedragen tussen 82.000 en 258.000 euro per mandaat.</w:t>
      </w:r>
    </w:p>
    <w:p w:rsidR="001C3833" w:rsidRDefault="001C3833" w:rsidP="00A00A6A">
      <w:pPr>
        <w:pStyle w:val="StandaardSV"/>
        <w:ind w:firstLine="360"/>
        <w:rPr>
          <w:lang w:val="nl-BE"/>
        </w:rPr>
      </w:pPr>
    </w:p>
    <w:p w:rsidR="00677335" w:rsidRPr="00EC4BCE" w:rsidRDefault="00C611C9" w:rsidP="00A00A6A">
      <w:pPr>
        <w:pStyle w:val="StandaardSV"/>
        <w:ind w:firstLine="360"/>
      </w:pPr>
      <w:r w:rsidRPr="00EC4BCE">
        <w:rPr>
          <w:lang w:val="nl-BE"/>
        </w:rPr>
        <w:t xml:space="preserve">Het totaal vastgelegde steunbedrag voor </w:t>
      </w:r>
      <w:r w:rsidR="001C3833">
        <w:rPr>
          <w:lang w:val="nl-BE"/>
        </w:rPr>
        <w:t>innovatiemandaten</w:t>
      </w:r>
      <w:r w:rsidRPr="00EC4BCE">
        <w:rPr>
          <w:lang w:val="nl-BE"/>
        </w:rPr>
        <w:t xml:space="preserve"> in 2012 bedroeg 2.03</w:t>
      </w:r>
      <w:r w:rsidR="00676ACB">
        <w:rPr>
          <w:lang w:val="nl-BE"/>
        </w:rPr>
        <w:t>4</w:t>
      </w:r>
      <w:r w:rsidRPr="00EC4BCE">
        <w:rPr>
          <w:lang w:val="nl-BE"/>
        </w:rPr>
        <w:t xml:space="preserve"> </w:t>
      </w:r>
      <w:r w:rsidR="00676ACB">
        <w:rPr>
          <w:lang w:val="nl-BE"/>
        </w:rPr>
        <w:t>k</w:t>
      </w:r>
      <w:r w:rsidRPr="00EC4BCE">
        <w:rPr>
          <w:lang w:val="nl-BE"/>
        </w:rPr>
        <w:t>euro.</w:t>
      </w:r>
    </w:p>
    <w:p w:rsidR="005275FB" w:rsidRDefault="005275FB" w:rsidP="00A00A6A">
      <w:pPr>
        <w:pStyle w:val="StandaardSV"/>
        <w:ind w:left="360"/>
      </w:pPr>
    </w:p>
    <w:p w:rsidR="001364AD" w:rsidRPr="00EC4BCE" w:rsidRDefault="001C3833" w:rsidP="00A00A6A">
      <w:pPr>
        <w:pStyle w:val="StandaardSV"/>
        <w:ind w:left="360" w:hanging="360"/>
      </w:pPr>
      <w:r>
        <w:t>1d.</w:t>
      </w:r>
      <w:r>
        <w:tab/>
      </w:r>
      <w:r w:rsidR="001364AD" w:rsidRPr="00EC4BCE">
        <w:t>Op de 13 gesteunde projecten zijn er 5 spin-off mandaten en 8 in samenwerking met bestaande bedrijven.</w:t>
      </w:r>
    </w:p>
    <w:p w:rsidR="001369BA" w:rsidRPr="001C3833" w:rsidRDefault="001369BA" w:rsidP="00A00A6A">
      <w:pPr>
        <w:pStyle w:val="StandaardSV"/>
        <w:ind w:left="360"/>
      </w:pPr>
    </w:p>
    <w:p w:rsidR="005275FB" w:rsidRDefault="001C3833" w:rsidP="00A00A6A">
      <w:pPr>
        <w:pStyle w:val="StandaardSV"/>
        <w:ind w:left="360" w:hanging="360"/>
      </w:pPr>
      <w:r>
        <w:t>1</w:t>
      </w:r>
      <w:r w:rsidRPr="001C3833">
        <w:t>e</w:t>
      </w:r>
      <w:r>
        <w:t>.</w:t>
      </w:r>
      <w:r>
        <w:tab/>
        <w:t>Zie onderstaande tabel.</w:t>
      </w:r>
    </w:p>
    <w:p w:rsidR="001369BA" w:rsidRDefault="001369BA" w:rsidP="00A00A6A">
      <w:pPr>
        <w:pStyle w:val="StandaardSV"/>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436"/>
      </w:tblGrid>
      <w:tr w:rsidR="001369BA" w:rsidTr="001C3833">
        <w:tc>
          <w:tcPr>
            <w:tcW w:w="1304" w:type="dxa"/>
          </w:tcPr>
          <w:p w:rsidR="001369BA" w:rsidRDefault="001369BA" w:rsidP="001369BA">
            <w:pPr>
              <w:pStyle w:val="StandaardSV"/>
            </w:pPr>
            <w:r>
              <w:t>KU</w:t>
            </w:r>
            <w:r w:rsidR="001C3833">
              <w:t xml:space="preserve"> </w:t>
            </w:r>
            <w:r>
              <w:t>Leuven</w:t>
            </w:r>
          </w:p>
        </w:tc>
        <w:tc>
          <w:tcPr>
            <w:tcW w:w="436" w:type="dxa"/>
          </w:tcPr>
          <w:p w:rsidR="001369BA" w:rsidRDefault="001369BA" w:rsidP="0004706C">
            <w:pPr>
              <w:pStyle w:val="StandaardSV"/>
              <w:jc w:val="center"/>
            </w:pPr>
            <w:r>
              <w:t>5</w:t>
            </w:r>
          </w:p>
        </w:tc>
      </w:tr>
      <w:tr w:rsidR="001369BA" w:rsidTr="001C3833">
        <w:tc>
          <w:tcPr>
            <w:tcW w:w="1304" w:type="dxa"/>
          </w:tcPr>
          <w:p w:rsidR="001369BA" w:rsidRDefault="001369BA" w:rsidP="001369BA">
            <w:pPr>
              <w:pStyle w:val="StandaardSV"/>
            </w:pPr>
            <w:r>
              <w:t>UGent</w:t>
            </w:r>
          </w:p>
        </w:tc>
        <w:tc>
          <w:tcPr>
            <w:tcW w:w="436" w:type="dxa"/>
          </w:tcPr>
          <w:p w:rsidR="001369BA" w:rsidRDefault="001369BA" w:rsidP="0004706C">
            <w:pPr>
              <w:pStyle w:val="StandaardSV"/>
              <w:jc w:val="center"/>
            </w:pPr>
            <w:r>
              <w:t>2</w:t>
            </w:r>
          </w:p>
        </w:tc>
      </w:tr>
      <w:tr w:rsidR="001369BA" w:rsidTr="001C3833">
        <w:tc>
          <w:tcPr>
            <w:tcW w:w="1304" w:type="dxa"/>
          </w:tcPr>
          <w:p w:rsidR="001369BA" w:rsidRDefault="00645C3A" w:rsidP="001369BA">
            <w:pPr>
              <w:pStyle w:val="StandaardSV"/>
            </w:pPr>
            <w:r>
              <w:t>VUB</w:t>
            </w:r>
          </w:p>
        </w:tc>
        <w:tc>
          <w:tcPr>
            <w:tcW w:w="436" w:type="dxa"/>
          </w:tcPr>
          <w:p w:rsidR="001369BA" w:rsidRDefault="00645C3A" w:rsidP="0004706C">
            <w:pPr>
              <w:pStyle w:val="StandaardSV"/>
              <w:jc w:val="center"/>
            </w:pPr>
            <w:r>
              <w:t>2</w:t>
            </w:r>
          </w:p>
        </w:tc>
      </w:tr>
      <w:tr w:rsidR="001369BA" w:rsidTr="001C3833">
        <w:tc>
          <w:tcPr>
            <w:tcW w:w="1304" w:type="dxa"/>
          </w:tcPr>
          <w:p w:rsidR="001369BA" w:rsidRDefault="00645C3A" w:rsidP="001369BA">
            <w:pPr>
              <w:pStyle w:val="StandaardSV"/>
            </w:pPr>
            <w:r>
              <w:t>UA</w:t>
            </w:r>
          </w:p>
        </w:tc>
        <w:tc>
          <w:tcPr>
            <w:tcW w:w="436" w:type="dxa"/>
          </w:tcPr>
          <w:p w:rsidR="001369BA" w:rsidRDefault="00645C3A" w:rsidP="0004706C">
            <w:pPr>
              <w:pStyle w:val="StandaardSV"/>
              <w:jc w:val="center"/>
            </w:pPr>
            <w:r>
              <w:t>2</w:t>
            </w:r>
          </w:p>
        </w:tc>
      </w:tr>
      <w:tr w:rsidR="001369BA" w:rsidTr="001C3833">
        <w:tc>
          <w:tcPr>
            <w:tcW w:w="1304" w:type="dxa"/>
          </w:tcPr>
          <w:p w:rsidR="001369BA" w:rsidRDefault="00645C3A" w:rsidP="001369BA">
            <w:pPr>
              <w:pStyle w:val="StandaardSV"/>
            </w:pPr>
            <w:r>
              <w:t>VIB</w:t>
            </w:r>
          </w:p>
        </w:tc>
        <w:tc>
          <w:tcPr>
            <w:tcW w:w="436" w:type="dxa"/>
          </w:tcPr>
          <w:p w:rsidR="001369BA" w:rsidRDefault="00645C3A" w:rsidP="0004706C">
            <w:pPr>
              <w:pStyle w:val="StandaardSV"/>
              <w:jc w:val="center"/>
            </w:pPr>
            <w:r>
              <w:t>2</w:t>
            </w:r>
          </w:p>
        </w:tc>
      </w:tr>
    </w:tbl>
    <w:p w:rsidR="009817A0" w:rsidRPr="001C3833" w:rsidRDefault="009817A0" w:rsidP="00A00A6A">
      <w:pPr>
        <w:pStyle w:val="StandaardSV"/>
        <w:ind w:left="360"/>
      </w:pPr>
    </w:p>
    <w:p w:rsidR="00645C3A" w:rsidRPr="001C3833" w:rsidRDefault="00645C3A" w:rsidP="00A00A6A">
      <w:pPr>
        <w:pStyle w:val="StandaardSV"/>
        <w:numPr>
          <w:ilvl w:val="0"/>
          <w:numId w:val="28"/>
        </w:numPr>
      </w:pPr>
      <w:r w:rsidRPr="001C3833">
        <w:t xml:space="preserve">Aangezien de eerste spin-off mandaten pas van start gegaan zijn begin 2012 (en lopen tot eind 2013 </w:t>
      </w:r>
      <w:r w:rsidR="00CE47D3" w:rsidRPr="001C3833">
        <w:t xml:space="preserve">of later) is het te vroeg om van </w:t>
      </w:r>
      <w:r w:rsidRPr="001C3833">
        <w:t>realisaties te kunnen</w:t>
      </w:r>
      <w:r w:rsidR="007B47ED" w:rsidRPr="001C3833">
        <w:t xml:space="preserve"> spreken.</w:t>
      </w:r>
    </w:p>
    <w:p w:rsidR="009817A0" w:rsidRPr="001C3833" w:rsidRDefault="009817A0" w:rsidP="00A00A6A">
      <w:pPr>
        <w:pStyle w:val="StandaardSV"/>
        <w:ind w:left="360"/>
      </w:pPr>
    </w:p>
    <w:p w:rsidR="00C33FFC" w:rsidRPr="001C3833" w:rsidRDefault="00C33FFC" w:rsidP="00A00A6A">
      <w:pPr>
        <w:pStyle w:val="StandaardSV"/>
        <w:numPr>
          <w:ilvl w:val="0"/>
          <w:numId w:val="25"/>
        </w:numPr>
      </w:pPr>
      <w:r w:rsidRPr="001C3833">
        <w:t xml:space="preserve">Een eerste indicator is de continuering van </w:t>
      </w:r>
      <w:r w:rsidR="007B47ED" w:rsidRPr="001C3833">
        <w:t xml:space="preserve">een innovatiemandaat in Fase 2 na het voortraject in Fase 1. In de tweede fase is immers een bedrijf (of meerdere bedrijven) aanvrager en cofinancierder. De eerste 4 mandaten waarvan </w:t>
      </w:r>
      <w:r w:rsidR="001C3833">
        <w:t>F</w:t>
      </w:r>
      <w:r w:rsidR="007B47ED" w:rsidRPr="001C3833">
        <w:t xml:space="preserve">ase 1 inmiddels afgelopen is, werden allemaal gecontinueerd door een bedrijf (of </w:t>
      </w:r>
      <w:r w:rsidR="001C3833">
        <w:t xml:space="preserve">een </w:t>
      </w:r>
      <w:r w:rsidR="007B47ED" w:rsidRPr="001C3833">
        <w:t>samenwerking van bedrijven).</w:t>
      </w:r>
    </w:p>
    <w:p w:rsidR="009817A0" w:rsidRPr="001C3833" w:rsidRDefault="009817A0" w:rsidP="00A00A6A">
      <w:pPr>
        <w:pStyle w:val="StandaardSV"/>
        <w:ind w:left="360"/>
      </w:pPr>
    </w:p>
    <w:p w:rsidR="007B47ED" w:rsidRPr="001C3833" w:rsidRDefault="00B04A0E" w:rsidP="00A00A6A">
      <w:pPr>
        <w:pStyle w:val="StandaardSV"/>
        <w:numPr>
          <w:ilvl w:val="0"/>
          <w:numId w:val="25"/>
        </w:numPr>
      </w:pPr>
      <w:r w:rsidRPr="001C3833">
        <w:t xml:space="preserve">Het nieuwe steunkanaal moet stilaan meer bekend worden bij de doelgroep, wat </w:t>
      </w:r>
      <w:r w:rsidR="00AA376F">
        <w:t>tot</w:t>
      </w:r>
      <w:r w:rsidRPr="001C3833">
        <w:t xml:space="preserve"> meer en betere projectaanvragen zou moeten </w:t>
      </w:r>
      <w:r w:rsidR="00AA376F">
        <w:t>leiden</w:t>
      </w:r>
      <w:r w:rsidRPr="001C3833">
        <w:t>.</w:t>
      </w:r>
    </w:p>
    <w:p w:rsidR="009817A0" w:rsidRPr="001C3833" w:rsidRDefault="009817A0" w:rsidP="00A00A6A">
      <w:pPr>
        <w:pStyle w:val="StandaardSV"/>
        <w:ind w:left="360"/>
      </w:pPr>
    </w:p>
    <w:p w:rsidR="00B04A0E" w:rsidRPr="001C3833" w:rsidRDefault="00B04A0E" w:rsidP="00A00A6A">
      <w:pPr>
        <w:pStyle w:val="StandaardSV"/>
        <w:numPr>
          <w:ilvl w:val="0"/>
          <w:numId w:val="25"/>
        </w:numPr>
      </w:pPr>
      <w:r w:rsidRPr="001C3833">
        <w:t>Een eerste bilan zal eind 2013 – begin 2014 opgemaakt worden wanneer de resultaten van de eer</w:t>
      </w:r>
      <w:r w:rsidR="002D1958" w:rsidRPr="001C3833">
        <w:t>ste innovatiemandaten bekend worden. Vanwege de kleine getallen zal over een langere peri</w:t>
      </w:r>
      <w:r w:rsidR="00A469F4" w:rsidRPr="001C3833">
        <w:t>ode moeten gekeken worden. Het belangrijkste aandachtspunt is de transfer van resultaten naar bedrijven, hetzij onder de vorm van de oprichting van een spin-off bedrijf, hetzij naar bestaande bedrijven.</w:t>
      </w:r>
    </w:p>
    <w:p w:rsidR="009817A0" w:rsidRPr="001C3833" w:rsidRDefault="009817A0" w:rsidP="00A00A6A">
      <w:pPr>
        <w:pStyle w:val="StandaardSV"/>
        <w:ind w:left="360"/>
      </w:pPr>
    </w:p>
    <w:p w:rsidR="00A469F4" w:rsidRPr="001C3833" w:rsidRDefault="00A469F4" w:rsidP="00A00A6A">
      <w:pPr>
        <w:pStyle w:val="StandaardSV"/>
        <w:numPr>
          <w:ilvl w:val="0"/>
          <w:numId w:val="25"/>
        </w:numPr>
      </w:pPr>
      <w:r w:rsidRPr="001C3833">
        <w:t>De lancering van het nieuwe steunkanaal voor postdoctorale onderzoekers in 2011, met name de innovatiemandaten, was een grondige bijsturing van het vroegere OZM</w:t>
      </w:r>
      <w:r w:rsidR="00FE16B4">
        <w:t>(</w:t>
      </w:r>
      <w:proofErr w:type="spellStart"/>
      <w:r w:rsidR="00FE16B4">
        <w:t>onderzoeksmandaten</w:t>
      </w:r>
      <w:proofErr w:type="spellEnd"/>
      <w:r w:rsidR="00FE16B4">
        <w:t>)</w:t>
      </w:r>
      <w:r w:rsidRPr="001C3833">
        <w:t>-</w:t>
      </w:r>
      <w:r w:rsidRPr="001C3833">
        <w:lastRenderedPageBreak/>
        <w:t>steunkanaal. De mogelijke impact van deze mandaten was daarbij de belangrijkste drijfveer, alsook een duidelijke positionering van de IWT-postdoctorale mandaten t.o.v. andere financie</w:t>
      </w:r>
      <w:r w:rsidR="002F31F9">
        <w:softHyphen/>
      </w:r>
      <w:bookmarkStart w:id="0" w:name="_GoBack"/>
      <w:bookmarkEnd w:id="0"/>
      <w:r w:rsidRPr="001C3833">
        <w:t>ringsinstrumenten.</w:t>
      </w:r>
    </w:p>
    <w:p w:rsidR="001C3833" w:rsidRDefault="001C3833" w:rsidP="00A00A6A">
      <w:pPr>
        <w:pStyle w:val="StandaardSV"/>
        <w:ind w:left="360"/>
      </w:pPr>
    </w:p>
    <w:p w:rsidR="00A469F4" w:rsidRPr="001C3833" w:rsidRDefault="00A469F4" w:rsidP="00A00A6A">
      <w:pPr>
        <w:pStyle w:val="StandaardSV"/>
        <w:ind w:left="360"/>
      </w:pPr>
      <w:r w:rsidRPr="001C3833">
        <w:t>De doelstellingen zijn in de eerste plaats om academische onderzoeksresultaten en expertise (veelal verworven tijdens een doctoraatsperiode) te vertalen naar mogelijke innovaties binnen bedrijven. Om dit te realiseren is reeds bij de opzet van dergelijk project een sterke betrokkenheid c.q. samenwerking met het bedrijfsleven nodig om het onderzoek maximaal af te stemmen op de noden binnen he</w:t>
      </w:r>
      <w:r w:rsidR="00EC732B" w:rsidRPr="001C3833">
        <w:t>t bedrijf, de sector</w:t>
      </w:r>
      <w:r w:rsidR="001C3833">
        <w:t xml:space="preserve"> en</w:t>
      </w:r>
      <w:r w:rsidR="00EC732B" w:rsidRPr="001C3833">
        <w:t xml:space="preserve"> de markt. Dit engagement van de bedrijven wordt verkregen door cofinanciering van de bedrijven te vragen (in </w:t>
      </w:r>
      <w:r w:rsidR="001C3833">
        <w:t>F</w:t>
      </w:r>
      <w:r w:rsidR="00EC732B" w:rsidRPr="001C3833">
        <w:t xml:space="preserve">ase 2) en afspraken te vragen over transfer van resultaten en verdeling van eigendomsrechten op projectresultaten. Daarnaast is de mogelijkheid voorzien dat de mandataris kan </w:t>
      </w:r>
      <w:r w:rsidR="00AB1E20" w:rsidRPr="001C3833">
        <w:t>overstappen naar</w:t>
      </w:r>
      <w:r w:rsidR="00EC732B" w:rsidRPr="001C3833">
        <w:t xml:space="preserve"> het bedrijf</w:t>
      </w:r>
      <w:r w:rsidR="00AB1E20" w:rsidRPr="001C3833">
        <w:t xml:space="preserve">. Ook voor spin-off mandaten wordt reeds bij de projectgenese verwacht dat er intensief overleg is met de interfacediensten van de kennisinstelling(en), mogelijke participanten/risicokapitaalverschaffers voor de toekomstige </w:t>
      </w:r>
      <w:r w:rsidR="001C3833" w:rsidRPr="001C3833">
        <w:t xml:space="preserve">spin-off </w:t>
      </w:r>
      <w:r w:rsidR="00AB1E20" w:rsidRPr="001C3833">
        <w:t>of industriële promotoren die de kandidaat goed kunnen begeleiden naar de oprichting van een spin-off bedrijf toe.</w:t>
      </w:r>
    </w:p>
    <w:p w:rsidR="001C3833" w:rsidRDefault="001C3833" w:rsidP="00A00A6A">
      <w:pPr>
        <w:pStyle w:val="StandaardSV"/>
        <w:ind w:left="360"/>
      </w:pPr>
    </w:p>
    <w:p w:rsidR="0030042E" w:rsidRPr="001C3833" w:rsidRDefault="00AB1E20" w:rsidP="00A00A6A">
      <w:pPr>
        <w:pStyle w:val="StandaardSV"/>
        <w:ind w:left="360"/>
      </w:pPr>
      <w:r w:rsidRPr="001C3833">
        <w:t xml:space="preserve">Deze doelstellingen m.b.t. betrokkenheid van bedrijven worden behaald – hieraan wordt ook bij de selectie van de </w:t>
      </w:r>
      <w:r w:rsidR="00077F09" w:rsidRPr="001C3833">
        <w:t>mandaten veel aandacht besteed.</w:t>
      </w:r>
    </w:p>
    <w:sectPr w:rsidR="0030042E" w:rsidRPr="001C3833" w:rsidSect="00DB1CD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D974D7"/>
    <w:multiLevelType w:val="hybridMultilevel"/>
    <w:tmpl w:val="3C74784A"/>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BE662E"/>
    <w:multiLevelType w:val="hybridMultilevel"/>
    <w:tmpl w:val="A78E5C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C3621C7"/>
    <w:multiLevelType w:val="hybridMultilevel"/>
    <w:tmpl w:val="A34AE6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06733B"/>
    <w:multiLevelType w:val="hybridMultilevel"/>
    <w:tmpl w:val="8DAA5F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319393B"/>
    <w:multiLevelType w:val="hybridMultilevel"/>
    <w:tmpl w:val="474218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FD52E72"/>
    <w:multiLevelType w:val="hybridMultilevel"/>
    <w:tmpl w:val="5E64B8CC"/>
    <w:lvl w:ilvl="0" w:tplc="84C4B814">
      <w:start w:val="3"/>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7B56070"/>
    <w:multiLevelType w:val="hybridMultilevel"/>
    <w:tmpl w:val="D41CDA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0B64041"/>
    <w:multiLevelType w:val="hybridMultilevel"/>
    <w:tmpl w:val="81B0DC8C"/>
    <w:lvl w:ilvl="0" w:tplc="B60462D8">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59651FE"/>
    <w:multiLevelType w:val="hybridMultilevel"/>
    <w:tmpl w:val="234456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500C296D"/>
    <w:multiLevelType w:val="hybridMultilevel"/>
    <w:tmpl w:val="5E58EE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77F6A69"/>
    <w:multiLevelType w:val="hybridMultilevel"/>
    <w:tmpl w:val="FBDA709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29F2880"/>
    <w:multiLevelType w:val="hybridMultilevel"/>
    <w:tmpl w:val="982AEE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9552B1E"/>
    <w:multiLevelType w:val="hybridMultilevel"/>
    <w:tmpl w:val="D4405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9971C40"/>
    <w:multiLevelType w:val="hybridMultilevel"/>
    <w:tmpl w:val="EABE2E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80E0C6F"/>
    <w:multiLevelType w:val="hybridMultilevel"/>
    <w:tmpl w:val="9A289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21"/>
  </w:num>
  <w:num w:numId="5">
    <w:abstractNumId w:val="15"/>
  </w:num>
  <w:num w:numId="6">
    <w:abstractNumId w:val="7"/>
  </w:num>
  <w:num w:numId="7">
    <w:abstractNumId w:val="6"/>
  </w:num>
  <w:num w:numId="8">
    <w:abstractNumId w:val="18"/>
  </w:num>
  <w:num w:numId="9">
    <w:abstractNumId w:val="11"/>
  </w:num>
  <w:num w:numId="10">
    <w:abstractNumId w:val="0"/>
  </w:num>
  <w:num w:numId="11">
    <w:abstractNumId w:val="23"/>
  </w:num>
  <w:num w:numId="12">
    <w:abstractNumId w:val="2"/>
  </w:num>
  <w:num w:numId="13">
    <w:abstractNumId w:val="12"/>
  </w:num>
  <w:num w:numId="14">
    <w:abstractNumId w:val="4"/>
  </w:num>
  <w:num w:numId="15">
    <w:abstractNumId w:val="24"/>
  </w:num>
  <w:num w:numId="16">
    <w:abstractNumId w:val="20"/>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6"/>
  </w:num>
  <w:num w:numId="22">
    <w:abstractNumId w:val="14"/>
  </w:num>
  <w:num w:numId="23">
    <w:abstractNumId w:val="5"/>
  </w:num>
  <w:num w:numId="24">
    <w:abstractNumId w:val="3"/>
  </w:num>
  <w:num w:numId="25">
    <w:abstractNumId w:val="13"/>
  </w:num>
  <w:num w:numId="26">
    <w:abstractNumId w:val="9"/>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11BCE"/>
    <w:rsid w:val="000464A2"/>
    <w:rsid w:val="0004706C"/>
    <w:rsid w:val="00070064"/>
    <w:rsid w:val="00071DA4"/>
    <w:rsid w:val="00077F09"/>
    <w:rsid w:val="00080040"/>
    <w:rsid w:val="001364AD"/>
    <w:rsid w:val="001369BA"/>
    <w:rsid w:val="00171F2E"/>
    <w:rsid w:val="00187BFC"/>
    <w:rsid w:val="001C3833"/>
    <w:rsid w:val="001E4BBA"/>
    <w:rsid w:val="00206A8D"/>
    <w:rsid w:val="002D1958"/>
    <w:rsid w:val="002D6ECF"/>
    <w:rsid w:val="002F31F9"/>
    <w:rsid w:val="0030042E"/>
    <w:rsid w:val="00343A8F"/>
    <w:rsid w:val="00427E2D"/>
    <w:rsid w:val="004D7979"/>
    <w:rsid w:val="005051B9"/>
    <w:rsid w:val="005275FB"/>
    <w:rsid w:val="0054052F"/>
    <w:rsid w:val="00581D55"/>
    <w:rsid w:val="005A0D53"/>
    <w:rsid w:val="00643968"/>
    <w:rsid w:val="00645C3A"/>
    <w:rsid w:val="00667CE6"/>
    <w:rsid w:val="00675074"/>
    <w:rsid w:val="00676ACB"/>
    <w:rsid w:val="00677335"/>
    <w:rsid w:val="00693743"/>
    <w:rsid w:val="006E0EC7"/>
    <w:rsid w:val="006F29F5"/>
    <w:rsid w:val="006F49EA"/>
    <w:rsid w:val="00775D50"/>
    <w:rsid w:val="0078435B"/>
    <w:rsid w:val="007A4FF7"/>
    <w:rsid w:val="007A7738"/>
    <w:rsid w:val="007B2321"/>
    <w:rsid w:val="007B47ED"/>
    <w:rsid w:val="007E2BBA"/>
    <w:rsid w:val="00806C25"/>
    <w:rsid w:val="0083747B"/>
    <w:rsid w:val="00842F2E"/>
    <w:rsid w:val="00844521"/>
    <w:rsid w:val="00844A7A"/>
    <w:rsid w:val="008977CE"/>
    <w:rsid w:val="00941198"/>
    <w:rsid w:val="009817A0"/>
    <w:rsid w:val="009864CE"/>
    <w:rsid w:val="009C170D"/>
    <w:rsid w:val="009F10A6"/>
    <w:rsid w:val="00A00A6A"/>
    <w:rsid w:val="00A21E25"/>
    <w:rsid w:val="00A469F4"/>
    <w:rsid w:val="00AA376F"/>
    <w:rsid w:val="00AB1E20"/>
    <w:rsid w:val="00AD78E8"/>
    <w:rsid w:val="00B04A0E"/>
    <w:rsid w:val="00B6547D"/>
    <w:rsid w:val="00BD07FB"/>
    <w:rsid w:val="00C33FFC"/>
    <w:rsid w:val="00C611C9"/>
    <w:rsid w:val="00C75C7E"/>
    <w:rsid w:val="00CB2006"/>
    <w:rsid w:val="00CC63C8"/>
    <w:rsid w:val="00CE47D3"/>
    <w:rsid w:val="00CF4E65"/>
    <w:rsid w:val="00DB1CD9"/>
    <w:rsid w:val="00DF6517"/>
    <w:rsid w:val="00EC4BCE"/>
    <w:rsid w:val="00EC732B"/>
    <w:rsid w:val="00EF296F"/>
    <w:rsid w:val="00EF680E"/>
    <w:rsid w:val="00F246AE"/>
    <w:rsid w:val="00F52CAF"/>
    <w:rsid w:val="00FC1093"/>
    <w:rsid w:val="00FC489F"/>
    <w:rsid w:val="00FE1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table" w:styleId="Tabelraster">
    <w:name w:val="Table Grid"/>
    <w:basedOn w:val="Standaardtabel"/>
    <w:rsid w:val="00136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table" w:styleId="Tabelraster">
    <w:name w:val="Table Grid"/>
    <w:basedOn w:val="Standaardtabel"/>
    <w:rsid w:val="00136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119">
      <w:bodyDiv w:val="1"/>
      <w:marLeft w:val="0"/>
      <w:marRight w:val="0"/>
      <w:marTop w:val="0"/>
      <w:marBottom w:val="0"/>
      <w:divBdr>
        <w:top w:val="none" w:sz="0" w:space="0" w:color="auto"/>
        <w:left w:val="none" w:sz="0" w:space="0" w:color="auto"/>
        <w:bottom w:val="none" w:sz="0" w:space="0" w:color="auto"/>
        <w:right w:val="none" w:sz="0" w:space="0" w:color="auto"/>
      </w:divBdr>
    </w:div>
    <w:div w:id="357315580">
      <w:bodyDiv w:val="1"/>
      <w:marLeft w:val="0"/>
      <w:marRight w:val="0"/>
      <w:marTop w:val="0"/>
      <w:marBottom w:val="0"/>
      <w:divBdr>
        <w:top w:val="none" w:sz="0" w:space="0" w:color="auto"/>
        <w:left w:val="none" w:sz="0" w:space="0" w:color="auto"/>
        <w:bottom w:val="none" w:sz="0" w:space="0" w:color="auto"/>
        <w:right w:val="none" w:sz="0" w:space="0" w:color="auto"/>
      </w:divBdr>
    </w:div>
    <w:div w:id="1427072224">
      <w:bodyDiv w:val="1"/>
      <w:marLeft w:val="0"/>
      <w:marRight w:val="0"/>
      <w:marTop w:val="0"/>
      <w:marBottom w:val="0"/>
      <w:divBdr>
        <w:top w:val="none" w:sz="0" w:space="0" w:color="auto"/>
        <w:left w:val="none" w:sz="0" w:space="0" w:color="auto"/>
        <w:bottom w:val="none" w:sz="0" w:space="0" w:color="auto"/>
        <w:right w:val="none" w:sz="0" w:space="0" w:color="auto"/>
      </w:divBdr>
    </w:div>
    <w:div w:id="1756171784">
      <w:bodyDiv w:val="1"/>
      <w:marLeft w:val="0"/>
      <w:marRight w:val="0"/>
      <w:marTop w:val="0"/>
      <w:marBottom w:val="0"/>
      <w:divBdr>
        <w:top w:val="none" w:sz="0" w:space="0" w:color="auto"/>
        <w:left w:val="none" w:sz="0" w:space="0" w:color="auto"/>
        <w:bottom w:val="none" w:sz="0" w:space="0" w:color="auto"/>
        <w:right w:val="none" w:sz="0" w:space="0" w:color="auto"/>
      </w:divBdr>
    </w:div>
    <w:div w:id="18394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3270</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Isabelle Cauwel</cp:lastModifiedBy>
  <cp:revision>2</cp:revision>
  <cp:lastPrinted>2013-04-30T15:27:00Z</cp:lastPrinted>
  <dcterms:created xsi:type="dcterms:W3CDTF">2013-06-05T14:57:00Z</dcterms:created>
  <dcterms:modified xsi:type="dcterms:W3CDTF">2013-06-05T14:57:00Z</dcterms:modified>
</cp:coreProperties>
</file>