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341B2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341B2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341B2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341B2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341B25" w:rsidRPr="00326A58">
        <w:rPr>
          <w:b w:val="0"/>
        </w:rPr>
      </w:r>
      <w:r w:rsidR="00341B25" w:rsidRPr="00326A58">
        <w:rPr>
          <w:b w:val="0"/>
        </w:rPr>
        <w:fldChar w:fldCharType="separate"/>
      </w:r>
      <w:r w:rsidR="00344C5F">
        <w:rPr>
          <w:b w:val="0"/>
        </w:rPr>
        <w:t>4</w:t>
      </w:r>
      <w:r w:rsidR="00202186">
        <w:rPr>
          <w:b w:val="0"/>
        </w:rPr>
        <w:t>41</w:t>
      </w:r>
      <w:r w:rsidR="00341B2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341B2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341B25">
        <w:rPr>
          <w:b w:val="0"/>
        </w:rPr>
      </w:r>
      <w:r w:rsidR="00341B25">
        <w:rPr>
          <w:b w:val="0"/>
        </w:rPr>
        <w:fldChar w:fldCharType="separate"/>
      </w:r>
      <w:r w:rsidR="00202186">
        <w:rPr>
          <w:b w:val="0"/>
        </w:rPr>
        <w:t>2</w:t>
      </w:r>
      <w:r w:rsidR="00341B25">
        <w:rPr>
          <w:b w:val="0"/>
        </w:rPr>
        <w:fldChar w:fldCharType="end"/>
      </w:r>
      <w:bookmarkEnd w:id="3"/>
      <w:r w:rsidRPr="00326A58">
        <w:rPr>
          <w:b w:val="0"/>
        </w:rPr>
        <w:t xml:space="preserve"> </w:t>
      </w:r>
      <w:bookmarkStart w:id="4" w:name="Dropdown2"/>
      <w:r w:rsidR="00341B25">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41B25">
        <w:rPr>
          <w:b w:val="0"/>
        </w:rPr>
      </w:r>
      <w:r w:rsidR="00341B25">
        <w:rPr>
          <w:b w:val="0"/>
        </w:rPr>
        <w:fldChar w:fldCharType="end"/>
      </w:r>
      <w:bookmarkEnd w:id="4"/>
      <w:r w:rsidRPr="00326A58">
        <w:rPr>
          <w:b w:val="0"/>
        </w:rPr>
        <w:t xml:space="preserve"> </w:t>
      </w:r>
      <w:bookmarkStart w:id="5" w:name="Dropdown3"/>
      <w:r w:rsidR="00341B2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41B25">
        <w:rPr>
          <w:b w:val="0"/>
        </w:rPr>
      </w:r>
      <w:r w:rsidR="00341B25">
        <w:rPr>
          <w:b w:val="0"/>
        </w:rPr>
        <w:fldChar w:fldCharType="end"/>
      </w:r>
      <w:bookmarkEnd w:id="5"/>
    </w:p>
    <w:p w:rsidR="000976E9" w:rsidRDefault="000976E9" w:rsidP="00CA594C">
      <w:pPr>
        <w:rPr>
          <w:szCs w:val="22"/>
        </w:rPr>
      </w:pPr>
      <w:r>
        <w:rPr>
          <w:szCs w:val="22"/>
        </w:rPr>
        <w:t xml:space="preserve">van </w:t>
      </w:r>
      <w:r w:rsidR="00341B2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341B25" w:rsidRPr="009D7043">
        <w:rPr>
          <w:rStyle w:val="AntwoordNaamMinisterChar"/>
        </w:rPr>
      </w:r>
      <w:r w:rsidR="00341B25" w:rsidRPr="009D7043">
        <w:rPr>
          <w:rStyle w:val="AntwoordNaamMinisterChar"/>
        </w:rPr>
        <w:fldChar w:fldCharType="separate"/>
      </w:r>
      <w:proofErr w:type="spellStart"/>
      <w:r w:rsidR="005568A7">
        <w:rPr>
          <w:rStyle w:val="AntwoordNaamMinisterChar"/>
        </w:rPr>
        <w:t>j</w:t>
      </w:r>
      <w:r w:rsidR="003B75E8">
        <w:rPr>
          <w:rStyle w:val="AntwoordNaamMinisterChar"/>
        </w:rPr>
        <w:t>ohan</w:t>
      </w:r>
      <w:proofErr w:type="spellEnd"/>
      <w:r w:rsidR="003B75E8">
        <w:rPr>
          <w:rStyle w:val="AntwoordNaamMinisterChar"/>
        </w:rPr>
        <w:t xml:space="preserve"> </w:t>
      </w:r>
      <w:r w:rsidR="005568A7">
        <w:rPr>
          <w:rStyle w:val="AntwoordNaamMinisterChar"/>
        </w:rPr>
        <w:t>v</w:t>
      </w:r>
      <w:r w:rsidR="003B75E8">
        <w:rPr>
          <w:rStyle w:val="AntwoordNaamMinisterChar"/>
        </w:rPr>
        <w:t>erstreken</w:t>
      </w:r>
      <w:r w:rsidR="00341B2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44C5F" w:rsidRPr="00202186" w:rsidRDefault="005568A7" w:rsidP="005568A7">
      <w:pPr>
        <w:pStyle w:val="StandaardSV"/>
        <w:numPr>
          <w:ilvl w:val="0"/>
          <w:numId w:val="19"/>
        </w:numPr>
        <w:tabs>
          <w:tab w:val="left" w:pos="426"/>
        </w:tabs>
        <w:ind w:left="709" w:hanging="709"/>
        <w:rPr>
          <w:szCs w:val="22"/>
        </w:rPr>
      </w:pPr>
      <w:r>
        <w:rPr>
          <w:szCs w:val="22"/>
        </w:rPr>
        <w:lastRenderedPageBreak/>
        <w:t>a)</w:t>
      </w:r>
      <w:r>
        <w:rPr>
          <w:szCs w:val="22"/>
        </w:rPr>
        <w:tab/>
      </w:r>
      <w:r w:rsidR="00202186">
        <w:rPr>
          <w:szCs w:val="22"/>
        </w:rPr>
        <w:t xml:space="preserve">Neen, </w:t>
      </w:r>
      <w:r w:rsidR="00202186">
        <w:t xml:space="preserve">het Centrum voor Jeugdtoerisme (CJT) merkt niet onmiddellijk een tekort aan weekendlocaties op. Er zijn doorheen het jaar een paar </w:t>
      </w:r>
      <w:proofErr w:type="spellStart"/>
      <w:r w:rsidR="00202186">
        <w:t>topweekends</w:t>
      </w:r>
      <w:proofErr w:type="spellEnd"/>
      <w:r w:rsidR="00202186">
        <w:t xml:space="preserve"> waarin het aanbod van de boekingscentrale volzet is of beperkt blijft tot één of twee centra. In 2011 was het aanbod van de boekingscentrale volzet voor twee weekends en in 2012 voor één weekend.</w:t>
      </w:r>
    </w:p>
    <w:p w:rsidR="00202186" w:rsidRPr="00202186" w:rsidRDefault="00202186" w:rsidP="00202186">
      <w:pPr>
        <w:pStyle w:val="StandaardSV"/>
        <w:ind w:left="360"/>
        <w:rPr>
          <w:szCs w:val="22"/>
        </w:rPr>
      </w:pPr>
    </w:p>
    <w:p w:rsidR="00202186" w:rsidRPr="00202186" w:rsidRDefault="00202186" w:rsidP="005568A7">
      <w:pPr>
        <w:pStyle w:val="StandaardSV"/>
        <w:numPr>
          <w:ilvl w:val="0"/>
          <w:numId w:val="20"/>
        </w:numPr>
        <w:rPr>
          <w:szCs w:val="22"/>
        </w:rPr>
      </w:pPr>
      <w:r>
        <w:t>D</w:t>
      </w:r>
      <w:r w:rsidRPr="00E53882">
        <w:t xml:space="preserve">e cijfers </w:t>
      </w:r>
      <w:r>
        <w:t xml:space="preserve">komen </w:t>
      </w:r>
      <w:r w:rsidRPr="00E53882">
        <w:t xml:space="preserve">uit de statistiekenmodule van </w:t>
      </w:r>
      <w:r>
        <w:t xml:space="preserve">het CJT. </w:t>
      </w:r>
      <w:r w:rsidRPr="00E53882">
        <w:t xml:space="preserve">Een uitsplitsing tussen weekend, week en vakanties is niet mogelijk. </w:t>
      </w:r>
      <w:r>
        <w:t>Er zijn e</w:t>
      </w:r>
      <w:r w:rsidRPr="00E53882">
        <w:t>nkel aparte cijfers beschikbaar voor de zomervakantie (juli/augustus).</w:t>
      </w:r>
      <w:r>
        <w:t xml:space="preserve"> D</w:t>
      </w:r>
      <w:r w:rsidRPr="00E53882">
        <w:t xml:space="preserve">e </w:t>
      </w:r>
      <w:r>
        <w:t>onderstaande</w:t>
      </w:r>
      <w:r w:rsidRPr="00E53882">
        <w:t xml:space="preserve"> </w:t>
      </w:r>
      <w:r>
        <w:t>cijfers</w:t>
      </w:r>
      <w:r w:rsidRPr="00E53882">
        <w:t xml:space="preserve"> </w:t>
      </w:r>
      <w:r>
        <w:t>hebben</w:t>
      </w:r>
      <w:r w:rsidRPr="00E53882">
        <w:t xml:space="preserve"> betrekking op het aantal nachten dat het jeugdverblijfcentrum verhuurd is en houdt geen rekening met het aantal aanwezige personen per nacht.</w:t>
      </w:r>
    </w:p>
    <w:p w:rsidR="00202186" w:rsidRPr="00202186" w:rsidRDefault="00202186" w:rsidP="00202186">
      <w:pPr>
        <w:pStyle w:val="StandaardSV"/>
        <w:ind w:left="360"/>
        <w:rPr>
          <w:szCs w:val="22"/>
        </w:rPr>
      </w:pPr>
    </w:p>
    <w:tbl>
      <w:tblPr>
        <w:tblStyle w:val="Tabellijst3"/>
        <w:tblW w:w="0" w:type="auto"/>
        <w:tblInd w:w="534" w:type="dxa"/>
        <w:tblLook w:val="04A0" w:firstRow="1" w:lastRow="0" w:firstColumn="1" w:lastColumn="0" w:noHBand="0" w:noVBand="1"/>
      </w:tblPr>
      <w:tblGrid>
        <w:gridCol w:w="796"/>
        <w:gridCol w:w="879"/>
        <w:gridCol w:w="1714"/>
        <w:gridCol w:w="1331"/>
        <w:gridCol w:w="997"/>
        <w:gridCol w:w="418"/>
        <w:gridCol w:w="1378"/>
        <w:gridCol w:w="1133"/>
      </w:tblGrid>
      <w:tr w:rsidR="00202186" w:rsidRPr="00202186" w:rsidTr="00202186">
        <w:trPr>
          <w:cnfStyle w:val="100000000000" w:firstRow="1" w:lastRow="0" w:firstColumn="0" w:lastColumn="0" w:oddVBand="0" w:evenVBand="0" w:oddHBand="0" w:evenHBand="0" w:firstRowFirstColumn="0" w:firstRowLastColumn="0" w:lastRowFirstColumn="0" w:lastRowLastColumn="0"/>
        </w:trPr>
        <w:tc>
          <w:tcPr>
            <w:tcW w:w="796" w:type="dxa"/>
          </w:tcPr>
          <w:p w:rsidR="00202186" w:rsidRPr="00202186" w:rsidRDefault="00202186" w:rsidP="00943A8B">
            <w:pPr>
              <w:pStyle w:val="StandaardSV"/>
              <w:rPr>
                <w:b w:val="0"/>
                <w:color w:val="auto"/>
              </w:rPr>
            </w:pPr>
          </w:p>
        </w:tc>
        <w:tc>
          <w:tcPr>
            <w:tcW w:w="879" w:type="dxa"/>
          </w:tcPr>
          <w:p w:rsidR="00202186" w:rsidRPr="00202186" w:rsidRDefault="00202186" w:rsidP="00943A8B">
            <w:pPr>
              <w:pStyle w:val="StandaardSV"/>
              <w:rPr>
                <w:b w:val="0"/>
                <w:color w:val="auto"/>
              </w:rPr>
            </w:pPr>
            <w:r w:rsidRPr="00202186">
              <w:rPr>
                <w:b w:val="0"/>
                <w:color w:val="auto"/>
              </w:rPr>
              <w:t>Aantal centra</w:t>
            </w:r>
          </w:p>
        </w:tc>
        <w:tc>
          <w:tcPr>
            <w:tcW w:w="1714" w:type="dxa"/>
          </w:tcPr>
          <w:p w:rsidR="00202186" w:rsidRPr="00202186" w:rsidRDefault="00202186" w:rsidP="00943A8B">
            <w:pPr>
              <w:pStyle w:val="StandaardSV"/>
              <w:rPr>
                <w:b w:val="0"/>
                <w:color w:val="auto"/>
              </w:rPr>
            </w:pPr>
            <w:r w:rsidRPr="00202186">
              <w:rPr>
                <w:b w:val="0"/>
                <w:color w:val="auto"/>
              </w:rPr>
              <w:t>Aantal overnachtingen</w:t>
            </w:r>
          </w:p>
        </w:tc>
        <w:tc>
          <w:tcPr>
            <w:tcW w:w="1331" w:type="dxa"/>
          </w:tcPr>
          <w:p w:rsidR="00202186" w:rsidRPr="00202186" w:rsidRDefault="00202186" w:rsidP="00943A8B">
            <w:pPr>
              <w:pStyle w:val="StandaardSV"/>
              <w:rPr>
                <w:b w:val="0"/>
                <w:color w:val="auto"/>
              </w:rPr>
            </w:pPr>
            <w:r w:rsidRPr="00202186">
              <w:rPr>
                <w:b w:val="0"/>
                <w:color w:val="auto"/>
              </w:rPr>
              <w:t>Centra met volledige jaarverhuur</w:t>
            </w:r>
          </w:p>
        </w:tc>
        <w:tc>
          <w:tcPr>
            <w:tcW w:w="997" w:type="dxa"/>
          </w:tcPr>
          <w:p w:rsidR="00202186" w:rsidRPr="00202186" w:rsidRDefault="00202186" w:rsidP="00943A8B">
            <w:pPr>
              <w:pStyle w:val="StandaardSV"/>
              <w:rPr>
                <w:b w:val="0"/>
                <w:color w:val="auto"/>
              </w:rPr>
            </w:pPr>
            <w:r w:rsidRPr="00202186">
              <w:rPr>
                <w:b w:val="0"/>
                <w:color w:val="auto"/>
              </w:rPr>
              <w:t>% bezette nachten</w:t>
            </w:r>
          </w:p>
        </w:tc>
        <w:tc>
          <w:tcPr>
            <w:tcW w:w="418" w:type="dxa"/>
          </w:tcPr>
          <w:p w:rsidR="00202186" w:rsidRPr="00202186" w:rsidRDefault="00202186" w:rsidP="00943A8B">
            <w:pPr>
              <w:pStyle w:val="StandaardSV"/>
              <w:rPr>
                <w:b w:val="0"/>
                <w:color w:val="auto"/>
              </w:rPr>
            </w:pPr>
          </w:p>
        </w:tc>
        <w:tc>
          <w:tcPr>
            <w:tcW w:w="1378" w:type="dxa"/>
          </w:tcPr>
          <w:p w:rsidR="00202186" w:rsidRPr="00202186" w:rsidRDefault="00202186" w:rsidP="00943A8B">
            <w:pPr>
              <w:pStyle w:val="StandaardSV"/>
              <w:rPr>
                <w:b w:val="0"/>
                <w:color w:val="auto"/>
              </w:rPr>
            </w:pPr>
            <w:r w:rsidRPr="00202186">
              <w:rPr>
                <w:b w:val="0"/>
                <w:color w:val="auto"/>
              </w:rPr>
              <w:t>Centra met verhuur juli/augustus</w:t>
            </w:r>
          </w:p>
        </w:tc>
        <w:tc>
          <w:tcPr>
            <w:tcW w:w="1133" w:type="dxa"/>
          </w:tcPr>
          <w:p w:rsidR="00202186" w:rsidRPr="00202186" w:rsidRDefault="00202186" w:rsidP="00943A8B">
            <w:pPr>
              <w:pStyle w:val="StandaardSV"/>
              <w:rPr>
                <w:b w:val="0"/>
                <w:color w:val="auto"/>
              </w:rPr>
            </w:pPr>
            <w:r w:rsidRPr="00202186">
              <w:rPr>
                <w:b w:val="0"/>
                <w:color w:val="auto"/>
              </w:rPr>
              <w:t>% bezette nachten</w:t>
            </w:r>
          </w:p>
        </w:tc>
      </w:tr>
      <w:tr w:rsidR="00202186" w:rsidRPr="00202186" w:rsidTr="00202186">
        <w:tc>
          <w:tcPr>
            <w:tcW w:w="796" w:type="dxa"/>
          </w:tcPr>
          <w:p w:rsidR="00202186" w:rsidRPr="00202186" w:rsidRDefault="00202186" w:rsidP="00943A8B">
            <w:pPr>
              <w:pStyle w:val="StandaardSV"/>
            </w:pPr>
            <w:r w:rsidRPr="00202186">
              <w:t>2011</w:t>
            </w:r>
          </w:p>
        </w:tc>
        <w:tc>
          <w:tcPr>
            <w:tcW w:w="879" w:type="dxa"/>
          </w:tcPr>
          <w:p w:rsidR="00202186" w:rsidRPr="00202186" w:rsidRDefault="00202186" w:rsidP="00943A8B">
            <w:pPr>
              <w:pStyle w:val="StandaardSV"/>
            </w:pPr>
            <w:r w:rsidRPr="00202186">
              <w:t>119</w:t>
            </w:r>
          </w:p>
        </w:tc>
        <w:tc>
          <w:tcPr>
            <w:tcW w:w="1714" w:type="dxa"/>
          </w:tcPr>
          <w:p w:rsidR="00202186" w:rsidRPr="00202186" w:rsidRDefault="00202186" w:rsidP="00943A8B">
            <w:pPr>
              <w:pStyle w:val="StandaardSV"/>
            </w:pPr>
            <w:r w:rsidRPr="00202186">
              <w:t>526 587</w:t>
            </w:r>
          </w:p>
        </w:tc>
        <w:tc>
          <w:tcPr>
            <w:tcW w:w="1331" w:type="dxa"/>
          </w:tcPr>
          <w:p w:rsidR="00202186" w:rsidRPr="00202186" w:rsidRDefault="00202186" w:rsidP="00943A8B">
            <w:pPr>
              <w:pStyle w:val="StandaardSV"/>
            </w:pPr>
            <w:r w:rsidRPr="00202186">
              <w:t>97</w:t>
            </w:r>
          </w:p>
        </w:tc>
        <w:tc>
          <w:tcPr>
            <w:tcW w:w="997" w:type="dxa"/>
          </w:tcPr>
          <w:p w:rsidR="00202186" w:rsidRPr="00202186" w:rsidRDefault="00202186" w:rsidP="00943A8B">
            <w:pPr>
              <w:pStyle w:val="StandaardSV"/>
            </w:pPr>
            <w:r w:rsidRPr="00202186">
              <w:t>32,5 %</w:t>
            </w:r>
          </w:p>
        </w:tc>
        <w:tc>
          <w:tcPr>
            <w:tcW w:w="418" w:type="dxa"/>
          </w:tcPr>
          <w:p w:rsidR="00202186" w:rsidRPr="00202186" w:rsidRDefault="00202186" w:rsidP="00943A8B">
            <w:pPr>
              <w:pStyle w:val="StandaardSV"/>
            </w:pPr>
          </w:p>
        </w:tc>
        <w:tc>
          <w:tcPr>
            <w:tcW w:w="1378" w:type="dxa"/>
          </w:tcPr>
          <w:p w:rsidR="00202186" w:rsidRPr="00202186" w:rsidRDefault="00202186" w:rsidP="00943A8B">
            <w:pPr>
              <w:pStyle w:val="StandaardSV"/>
            </w:pPr>
            <w:r w:rsidRPr="00202186">
              <w:t>119</w:t>
            </w:r>
          </w:p>
        </w:tc>
        <w:tc>
          <w:tcPr>
            <w:tcW w:w="1133" w:type="dxa"/>
          </w:tcPr>
          <w:p w:rsidR="00202186" w:rsidRPr="00202186" w:rsidRDefault="00202186" w:rsidP="00943A8B">
            <w:pPr>
              <w:pStyle w:val="StandaardSV"/>
            </w:pPr>
            <w:r w:rsidRPr="00202186">
              <w:t>75,5 %</w:t>
            </w:r>
          </w:p>
        </w:tc>
      </w:tr>
      <w:tr w:rsidR="00202186" w:rsidRPr="00202186" w:rsidTr="00202186">
        <w:tc>
          <w:tcPr>
            <w:tcW w:w="796" w:type="dxa"/>
          </w:tcPr>
          <w:p w:rsidR="00202186" w:rsidRPr="00202186" w:rsidRDefault="00202186" w:rsidP="00943A8B">
            <w:pPr>
              <w:pStyle w:val="StandaardSV"/>
            </w:pPr>
          </w:p>
        </w:tc>
        <w:tc>
          <w:tcPr>
            <w:tcW w:w="879" w:type="dxa"/>
          </w:tcPr>
          <w:p w:rsidR="00202186" w:rsidRPr="00202186" w:rsidRDefault="00202186" w:rsidP="00943A8B">
            <w:pPr>
              <w:pStyle w:val="StandaardSV"/>
            </w:pPr>
          </w:p>
        </w:tc>
        <w:tc>
          <w:tcPr>
            <w:tcW w:w="1714" w:type="dxa"/>
          </w:tcPr>
          <w:p w:rsidR="00202186" w:rsidRPr="00202186" w:rsidRDefault="00202186" w:rsidP="00943A8B">
            <w:pPr>
              <w:pStyle w:val="StandaardSV"/>
            </w:pPr>
          </w:p>
        </w:tc>
        <w:tc>
          <w:tcPr>
            <w:tcW w:w="1331" w:type="dxa"/>
          </w:tcPr>
          <w:p w:rsidR="00202186" w:rsidRPr="00202186" w:rsidRDefault="00202186" w:rsidP="00943A8B">
            <w:pPr>
              <w:pStyle w:val="StandaardSV"/>
            </w:pPr>
          </w:p>
        </w:tc>
        <w:tc>
          <w:tcPr>
            <w:tcW w:w="997" w:type="dxa"/>
          </w:tcPr>
          <w:p w:rsidR="00202186" w:rsidRPr="00202186" w:rsidRDefault="00202186" w:rsidP="00943A8B">
            <w:pPr>
              <w:pStyle w:val="StandaardSV"/>
            </w:pPr>
          </w:p>
        </w:tc>
        <w:tc>
          <w:tcPr>
            <w:tcW w:w="418" w:type="dxa"/>
          </w:tcPr>
          <w:p w:rsidR="00202186" w:rsidRPr="00202186" w:rsidRDefault="00202186" w:rsidP="00943A8B">
            <w:pPr>
              <w:pStyle w:val="StandaardSV"/>
            </w:pPr>
          </w:p>
        </w:tc>
        <w:tc>
          <w:tcPr>
            <w:tcW w:w="1378" w:type="dxa"/>
          </w:tcPr>
          <w:p w:rsidR="00202186" w:rsidRPr="00202186" w:rsidRDefault="00202186" w:rsidP="00943A8B">
            <w:pPr>
              <w:pStyle w:val="StandaardSV"/>
            </w:pPr>
          </w:p>
        </w:tc>
        <w:tc>
          <w:tcPr>
            <w:tcW w:w="1133" w:type="dxa"/>
          </w:tcPr>
          <w:p w:rsidR="00202186" w:rsidRPr="00202186" w:rsidRDefault="00202186" w:rsidP="00943A8B">
            <w:pPr>
              <w:pStyle w:val="StandaardSV"/>
            </w:pPr>
          </w:p>
        </w:tc>
      </w:tr>
      <w:tr w:rsidR="00202186" w:rsidRPr="00202186" w:rsidTr="00202186">
        <w:tc>
          <w:tcPr>
            <w:tcW w:w="796" w:type="dxa"/>
          </w:tcPr>
          <w:p w:rsidR="00202186" w:rsidRPr="00202186" w:rsidRDefault="00202186" w:rsidP="00943A8B">
            <w:pPr>
              <w:pStyle w:val="StandaardSV"/>
            </w:pPr>
            <w:r w:rsidRPr="00202186">
              <w:t>2012</w:t>
            </w:r>
          </w:p>
        </w:tc>
        <w:tc>
          <w:tcPr>
            <w:tcW w:w="879" w:type="dxa"/>
          </w:tcPr>
          <w:p w:rsidR="00202186" w:rsidRPr="00202186" w:rsidRDefault="00202186" w:rsidP="00943A8B">
            <w:pPr>
              <w:pStyle w:val="StandaardSV"/>
            </w:pPr>
            <w:r w:rsidRPr="00202186">
              <w:t>121</w:t>
            </w:r>
          </w:p>
        </w:tc>
        <w:tc>
          <w:tcPr>
            <w:tcW w:w="1714" w:type="dxa"/>
          </w:tcPr>
          <w:p w:rsidR="00202186" w:rsidRPr="00202186" w:rsidRDefault="00202186" w:rsidP="00943A8B">
            <w:pPr>
              <w:pStyle w:val="StandaardSV"/>
            </w:pPr>
            <w:r w:rsidRPr="00202186">
              <w:t>555 539</w:t>
            </w:r>
          </w:p>
        </w:tc>
        <w:tc>
          <w:tcPr>
            <w:tcW w:w="1331" w:type="dxa"/>
          </w:tcPr>
          <w:p w:rsidR="00202186" w:rsidRPr="00202186" w:rsidRDefault="00202186" w:rsidP="00943A8B">
            <w:pPr>
              <w:pStyle w:val="StandaardSV"/>
            </w:pPr>
            <w:r w:rsidRPr="00202186">
              <w:t>100</w:t>
            </w:r>
          </w:p>
        </w:tc>
        <w:tc>
          <w:tcPr>
            <w:tcW w:w="997" w:type="dxa"/>
          </w:tcPr>
          <w:p w:rsidR="00202186" w:rsidRPr="00202186" w:rsidRDefault="00202186" w:rsidP="00943A8B">
            <w:pPr>
              <w:pStyle w:val="StandaardSV"/>
            </w:pPr>
            <w:r w:rsidRPr="00202186">
              <w:t>31,8 %</w:t>
            </w:r>
          </w:p>
        </w:tc>
        <w:tc>
          <w:tcPr>
            <w:tcW w:w="418" w:type="dxa"/>
          </w:tcPr>
          <w:p w:rsidR="00202186" w:rsidRPr="00202186" w:rsidRDefault="00202186" w:rsidP="00943A8B">
            <w:pPr>
              <w:pStyle w:val="StandaardSV"/>
            </w:pPr>
          </w:p>
        </w:tc>
        <w:tc>
          <w:tcPr>
            <w:tcW w:w="1378" w:type="dxa"/>
          </w:tcPr>
          <w:p w:rsidR="00202186" w:rsidRPr="00202186" w:rsidRDefault="00202186" w:rsidP="00943A8B">
            <w:pPr>
              <w:pStyle w:val="StandaardSV"/>
            </w:pPr>
            <w:r w:rsidRPr="00202186">
              <w:t>121</w:t>
            </w:r>
          </w:p>
        </w:tc>
        <w:tc>
          <w:tcPr>
            <w:tcW w:w="1133" w:type="dxa"/>
          </w:tcPr>
          <w:p w:rsidR="00202186" w:rsidRPr="00202186" w:rsidRDefault="00202186" w:rsidP="00943A8B">
            <w:pPr>
              <w:pStyle w:val="StandaardSV"/>
            </w:pPr>
            <w:r w:rsidRPr="00202186">
              <w:t>74,2 %</w:t>
            </w:r>
          </w:p>
        </w:tc>
      </w:tr>
      <w:tr w:rsidR="00202186" w:rsidRPr="00202186" w:rsidTr="00202186">
        <w:tc>
          <w:tcPr>
            <w:tcW w:w="796" w:type="dxa"/>
          </w:tcPr>
          <w:p w:rsidR="00202186" w:rsidRPr="00202186" w:rsidRDefault="00202186" w:rsidP="00943A8B">
            <w:pPr>
              <w:pStyle w:val="StandaardSV"/>
            </w:pPr>
          </w:p>
        </w:tc>
        <w:tc>
          <w:tcPr>
            <w:tcW w:w="879" w:type="dxa"/>
          </w:tcPr>
          <w:p w:rsidR="00202186" w:rsidRPr="00202186" w:rsidRDefault="00202186" w:rsidP="00943A8B">
            <w:pPr>
              <w:pStyle w:val="StandaardSV"/>
            </w:pPr>
          </w:p>
        </w:tc>
        <w:tc>
          <w:tcPr>
            <w:tcW w:w="1714" w:type="dxa"/>
          </w:tcPr>
          <w:p w:rsidR="00202186" w:rsidRPr="00202186" w:rsidRDefault="00202186" w:rsidP="00943A8B">
            <w:pPr>
              <w:pStyle w:val="StandaardSV"/>
            </w:pPr>
          </w:p>
        </w:tc>
        <w:tc>
          <w:tcPr>
            <w:tcW w:w="1331" w:type="dxa"/>
          </w:tcPr>
          <w:p w:rsidR="00202186" w:rsidRPr="00202186" w:rsidRDefault="00202186" w:rsidP="00943A8B">
            <w:pPr>
              <w:pStyle w:val="StandaardSV"/>
            </w:pPr>
          </w:p>
        </w:tc>
        <w:tc>
          <w:tcPr>
            <w:tcW w:w="997" w:type="dxa"/>
          </w:tcPr>
          <w:p w:rsidR="00202186" w:rsidRPr="00202186" w:rsidRDefault="00202186" w:rsidP="00943A8B">
            <w:pPr>
              <w:pStyle w:val="StandaardSV"/>
            </w:pPr>
          </w:p>
        </w:tc>
        <w:tc>
          <w:tcPr>
            <w:tcW w:w="418" w:type="dxa"/>
          </w:tcPr>
          <w:p w:rsidR="00202186" w:rsidRPr="00202186" w:rsidRDefault="00202186" w:rsidP="00943A8B">
            <w:pPr>
              <w:pStyle w:val="StandaardSV"/>
            </w:pPr>
          </w:p>
        </w:tc>
        <w:tc>
          <w:tcPr>
            <w:tcW w:w="1378" w:type="dxa"/>
          </w:tcPr>
          <w:p w:rsidR="00202186" w:rsidRPr="00202186" w:rsidRDefault="00202186" w:rsidP="00943A8B">
            <w:pPr>
              <w:pStyle w:val="StandaardSV"/>
            </w:pPr>
          </w:p>
        </w:tc>
        <w:tc>
          <w:tcPr>
            <w:tcW w:w="1133" w:type="dxa"/>
          </w:tcPr>
          <w:p w:rsidR="00202186" w:rsidRPr="00202186" w:rsidRDefault="00202186" w:rsidP="00943A8B">
            <w:pPr>
              <w:pStyle w:val="StandaardSV"/>
            </w:pPr>
          </w:p>
        </w:tc>
      </w:tr>
    </w:tbl>
    <w:p w:rsidR="00202186" w:rsidRDefault="00202186" w:rsidP="00202186">
      <w:pPr>
        <w:pStyle w:val="StandaardSV"/>
        <w:ind w:left="360"/>
      </w:pPr>
    </w:p>
    <w:p w:rsidR="00202186" w:rsidRPr="00202186" w:rsidRDefault="00202186" w:rsidP="005568A7">
      <w:pPr>
        <w:pStyle w:val="StandaardSV"/>
        <w:numPr>
          <w:ilvl w:val="0"/>
          <w:numId w:val="19"/>
        </w:numPr>
        <w:rPr>
          <w:szCs w:val="22"/>
        </w:rPr>
      </w:pPr>
      <w:bookmarkStart w:id="6" w:name="_GoBack"/>
      <w:bookmarkEnd w:id="6"/>
      <w:r w:rsidRPr="00E20F59">
        <w:t xml:space="preserve">De overnachtingscijfers van de centra aangesloten bij </w:t>
      </w:r>
      <w:r>
        <w:t>de CJT-</w:t>
      </w:r>
      <w:r w:rsidRPr="00E20F59">
        <w:t>Boekingscentrale, kunnen worden opgesplitst volgens de vijf doelgroepen.</w:t>
      </w:r>
      <w:r>
        <w:t xml:space="preserve"> Op</w:t>
      </w:r>
      <w:r w:rsidRPr="00E20F59">
        <w:t>splitst</w:t>
      </w:r>
      <w:r>
        <w:t>en</w:t>
      </w:r>
      <w:r w:rsidRPr="00E20F59">
        <w:t xml:space="preserve"> per periode (weekend, week en vakanties</w:t>
      </w:r>
      <w:r>
        <w:t>) is niet mogelijk.</w:t>
      </w:r>
      <w:r w:rsidRPr="00E20F59">
        <w:t xml:space="preserve"> Enkel voor de zomermaanden juli/augustus zijn aparte cijfers beschikbaar.</w:t>
      </w:r>
    </w:p>
    <w:p w:rsidR="00202186" w:rsidRDefault="00202186" w:rsidP="00202186">
      <w:pPr>
        <w:pStyle w:val="StandaardSV"/>
        <w:ind w:left="360"/>
        <w:rPr>
          <w:szCs w:val="22"/>
        </w:rPr>
      </w:pPr>
    </w:p>
    <w:p w:rsidR="003D4679" w:rsidRPr="003D4679" w:rsidRDefault="003D4679" w:rsidP="003D4679">
      <w:pPr>
        <w:ind w:firstLine="360"/>
      </w:pPr>
      <w:r w:rsidRPr="003D4679">
        <w:t>2011:</w:t>
      </w:r>
    </w:p>
    <w:tbl>
      <w:tblPr>
        <w:tblStyle w:val="Tabellijst3"/>
        <w:tblW w:w="8646" w:type="dxa"/>
        <w:tblInd w:w="534" w:type="dxa"/>
        <w:tblLook w:val="04A0" w:firstRow="1" w:lastRow="0" w:firstColumn="1" w:lastColumn="0" w:noHBand="0" w:noVBand="1"/>
      </w:tblPr>
      <w:tblGrid>
        <w:gridCol w:w="3652"/>
        <w:gridCol w:w="1418"/>
        <w:gridCol w:w="1842"/>
        <w:gridCol w:w="1734"/>
      </w:tblGrid>
      <w:tr w:rsidR="003D4679" w:rsidRPr="003D4679" w:rsidTr="003D4679">
        <w:trPr>
          <w:cnfStyle w:val="100000000000" w:firstRow="1" w:lastRow="0" w:firstColumn="0" w:lastColumn="0" w:oddVBand="0" w:evenVBand="0" w:oddHBand="0" w:evenHBand="0" w:firstRowFirstColumn="0" w:firstRowLastColumn="0" w:lastRowFirstColumn="0" w:lastRowLastColumn="0"/>
        </w:trPr>
        <w:tc>
          <w:tcPr>
            <w:tcW w:w="3652" w:type="dxa"/>
          </w:tcPr>
          <w:p w:rsidR="003D4679" w:rsidRPr="003D4679" w:rsidRDefault="003D4679" w:rsidP="00943A8B">
            <w:pPr>
              <w:rPr>
                <w:b w:val="0"/>
                <w:color w:val="auto"/>
              </w:rPr>
            </w:pPr>
          </w:p>
        </w:tc>
        <w:tc>
          <w:tcPr>
            <w:tcW w:w="1418" w:type="dxa"/>
          </w:tcPr>
          <w:p w:rsidR="003D4679" w:rsidRPr="003D4679" w:rsidRDefault="003D4679" w:rsidP="003D4679">
            <w:pPr>
              <w:jc w:val="right"/>
              <w:rPr>
                <w:b w:val="0"/>
                <w:color w:val="auto"/>
              </w:rPr>
            </w:pPr>
            <w:r w:rsidRPr="003D4679">
              <w:rPr>
                <w:b w:val="0"/>
                <w:color w:val="auto"/>
              </w:rPr>
              <w:t>Totaal</w:t>
            </w:r>
          </w:p>
        </w:tc>
        <w:tc>
          <w:tcPr>
            <w:tcW w:w="1842" w:type="dxa"/>
          </w:tcPr>
          <w:p w:rsidR="003D4679" w:rsidRPr="003D4679" w:rsidRDefault="003D4679" w:rsidP="003D4679">
            <w:pPr>
              <w:jc w:val="right"/>
              <w:rPr>
                <w:b w:val="0"/>
                <w:color w:val="auto"/>
              </w:rPr>
            </w:pPr>
            <w:r w:rsidRPr="003D4679">
              <w:rPr>
                <w:b w:val="0"/>
                <w:color w:val="auto"/>
              </w:rPr>
              <w:t>Juli-augustus</w:t>
            </w:r>
          </w:p>
        </w:tc>
        <w:tc>
          <w:tcPr>
            <w:tcW w:w="1734" w:type="dxa"/>
          </w:tcPr>
          <w:p w:rsidR="003D4679" w:rsidRPr="003D4679" w:rsidRDefault="003D4679" w:rsidP="003D4679">
            <w:pPr>
              <w:jc w:val="right"/>
              <w:rPr>
                <w:b w:val="0"/>
                <w:color w:val="auto"/>
              </w:rPr>
            </w:pPr>
            <w:r w:rsidRPr="003D4679">
              <w:rPr>
                <w:b w:val="0"/>
                <w:color w:val="auto"/>
              </w:rPr>
              <w:t>September-juni</w:t>
            </w:r>
          </w:p>
        </w:tc>
      </w:tr>
      <w:tr w:rsidR="003D4679" w:rsidRPr="003D4679" w:rsidTr="003D4679">
        <w:tc>
          <w:tcPr>
            <w:tcW w:w="3652" w:type="dxa"/>
            <w:hideMark/>
          </w:tcPr>
          <w:p w:rsidR="003D4679" w:rsidRPr="003D4679" w:rsidRDefault="003D4679" w:rsidP="00943A8B">
            <w:r w:rsidRPr="003D4679">
              <w:t>Vlaams jeugdwerk</w:t>
            </w:r>
          </w:p>
        </w:tc>
        <w:tc>
          <w:tcPr>
            <w:tcW w:w="1418" w:type="dxa"/>
          </w:tcPr>
          <w:p w:rsidR="003D4679" w:rsidRPr="003D4679" w:rsidRDefault="003D4679" w:rsidP="003D4679">
            <w:pPr>
              <w:jc w:val="right"/>
            </w:pPr>
            <w:r w:rsidRPr="003D4679">
              <w:t>400 222</w:t>
            </w:r>
          </w:p>
        </w:tc>
        <w:tc>
          <w:tcPr>
            <w:tcW w:w="1842" w:type="dxa"/>
          </w:tcPr>
          <w:p w:rsidR="003D4679" w:rsidRPr="003D4679" w:rsidRDefault="003D4679" w:rsidP="003D4679">
            <w:pPr>
              <w:jc w:val="right"/>
            </w:pPr>
            <w:r w:rsidRPr="003D4679">
              <w:t>276 127</w:t>
            </w:r>
          </w:p>
        </w:tc>
        <w:tc>
          <w:tcPr>
            <w:tcW w:w="1734" w:type="dxa"/>
          </w:tcPr>
          <w:p w:rsidR="003D4679" w:rsidRPr="003D4679" w:rsidRDefault="003D4679" w:rsidP="003D4679">
            <w:pPr>
              <w:jc w:val="right"/>
            </w:pPr>
            <w:r w:rsidRPr="003D4679">
              <w:t>124 095</w:t>
            </w:r>
          </w:p>
        </w:tc>
      </w:tr>
      <w:tr w:rsidR="003D4679" w:rsidRPr="003D4679" w:rsidTr="003D4679">
        <w:tc>
          <w:tcPr>
            <w:tcW w:w="3652" w:type="dxa"/>
            <w:hideMark/>
          </w:tcPr>
          <w:p w:rsidR="003D4679" w:rsidRPr="003D4679" w:rsidRDefault="003D4679" w:rsidP="00943A8B">
            <w:r w:rsidRPr="003D4679">
              <w:t>Waals en buitenlands jeugdwerk</w:t>
            </w:r>
          </w:p>
        </w:tc>
        <w:tc>
          <w:tcPr>
            <w:tcW w:w="1418" w:type="dxa"/>
          </w:tcPr>
          <w:p w:rsidR="003D4679" w:rsidRPr="003D4679" w:rsidRDefault="003D4679" w:rsidP="003D4679">
            <w:pPr>
              <w:jc w:val="right"/>
            </w:pPr>
            <w:r w:rsidRPr="003D4679">
              <w:t>13 179</w:t>
            </w:r>
          </w:p>
        </w:tc>
        <w:tc>
          <w:tcPr>
            <w:tcW w:w="1842" w:type="dxa"/>
          </w:tcPr>
          <w:p w:rsidR="003D4679" w:rsidRPr="003D4679" w:rsidRDefault="003D4679" w:rsidP="003D4679">
            <w:pPr>
              <w:jc w:val="right"/>
            </w:pPr>
            <w:r w:rsidRPr="003D4679">
              <w:t>2 963</w:t>
            </w:r>
          </w:p>
        </w:tc>
        <w:tc>
          <w:tcPr>
            <w:tcW w:w="1734" w:type="dxa"/>
          </w:tcPr>
          <w:p w:rsidR="003D4679" w:rsidRPr="003D4679" w:rsidRDefault="003D4679" w:rsidP="003D4679">
            <w:pPr>
              <w:jc w:val="right"/>
            </w:pPr>
            <w:r w:rsidRPr="003D4679">
              <w:t>10 216</w:t>
            </w:r>
          </w:p>
        </w:tc>
      </w:tr>
      <w:tr w:rsidR="003D4679" w:rsidRPr="003D4679" w:rsidTr="003D4679">
        <w:tc>
          <w:tcPr>
            <w:tcW w:w="3652" w:type="dxa"/>
            <w:hideMark/>
          </w:tcPr>
          <w:p w:rsidR="003D4679" w:rsidRPr="003D4679" w:rsidRDefault="003D4679" w:rsidP="00943A8B">
            <w:r w:rsidRPr="003D4679">
              <w:t>Scholen</w:t>
            </w:r>
          </w:p>
        </w:tc>
        <w:tc>
          <w:tcPr>
            <w:tcW w:w="1418" w:type="dxa"/>
          </w:tcPr>
          <w:p w:rsidR="003D4679" w:rsidRPr="003D4679" w:rsidRDefault="003D4679" w:rsidP="003D4679">
            <w:pPr>
              <w:jc w:val="right"/>
            </w:pPr>
            <w:r w:rsidRPr="003D4679">
              <w:t>46 039</w:t>
            </w:r>
          </w:p>
        </w:tc>
        <w:tc>
          <w:tcPr>
            <w:tcW w:w="1842" w:type="dxa"/>
          </w:tcPr>
          <w:p w:rsidR="003D4679" w:rsidRPr="003D4679" w:rsidRDefault="003D4679" w:rsidP="003D4679">
            <w:pPr>
              <w:jc w:val="right"/>
            </w:pPr>
            <w:r w:rsidRPr="003D4679">
              <w:t>1 438</w:t>
            </w:r>
          </w:p>
        </w:tc>
        <w:tc>
          <w:tcPr>
            <w:tcW w:w="1734" w:type="dxa"/>
          </w:tcPr>
          <w:p w:rsidR="003D4679" w:rsidRPr="003D4679" w:rsidRDefault="003D4679" w:rsidP="003D4679">
            <w:pPr>
              <w:jc w:val="right"/>
            </w:pPr>
            <w:r w:rsidRPr="003D4679">
              <w:t>44 601</w:t>
            </w:r>
          </w:p>
        </w:tc>
      </w:tr>
      <w:tr w:rsidR="003D4679" w:rsidRPr="003D4679" w:rsidTr="003D4679">
        <w:tc>
          <w:tcPr>
            <w:tcW w:w="3652" w:type="dxa"/>
            <w:hideMark/>
          </w:tcPr>
          <w:p w:rsidR="003D4679" w:rsidRPr="003D4679" w:rsidRDefault="003D4679" w:rsidP="00943A8B">
            <w:r w:rsidRPr="003D4679">
              <w:t>Andere jeugdgroepen</w:t>
            </w:r>
          </w:p>
        </w:tc>
        <w:tc>
          <w:tcPr>
            <w:tcW w:w="1418" w:type="dxa"/>
          </w:tcPr>
          <w:p w:rsidR="003D4679" w:rsidRPr="003D4679" w:rsidRDefault="003D4679" w:rsidP="003D4679">
            <w:pPr>
              <w:jc w:val="right"/>
            </w:pPr>
            <w:r w:rsidRPr="003D4679">
              <w:t>37 322</w:t>
            </w:r>
          </w:p>
        </w:tc>
        <w:tc>
          <w:tcPr>
            <w:tcW w:w="1842" w:type="dxa"/>
          </w:tcPr>
          <w:p w:rsidR="003D4679" w:rsidRPr="003D4679" w:rsidRDefault="003D4679" w:rsidP="003D4679">
            <w:pPr>
              <w:jc w:val="right"/>
            </w:pPr>
            <w:r w:rsidRPr="003D4679">
              <w:t>10 592</w:t>
            </w:r>
          </w:p>
        </w:tc>
        <w:tc>
          <w:tcPr>
            <w:tcW w:w="1734" w:type="dxa"/>
          </w:tcPr>
          <w:p w:rsidR="003D4679" w:rsidRPr="003D4679" w:rsidRDefault="003D4679" w:rsidP="003D4679">
            <w:pPr>
              <w:jc w:val="right"/>
            </w:pPr>
            <w:r w:rsidRPr="003D4679">
              <w:t>26 730</w:t>
            </w:r>
          </w:p>
        </w:tc>
      </w:tr>
      <w:tr w:rsidR="003D4679" w:rsidRPr="003D4679" w:rsidTr="003D4679">
        <w:tc>
          <w:tcPr>
            <w:tcW w:w="3652" w:type="dxa"/>
            <w:hideMark/>
          </w:tcPr>
          <w:p w:rsidR="003D4679" w:rsidRPr="003D4679" w:rsidRDefault="003D4679" w:rsidP="00943A8B">
            <w:r w:rsidRPr="003D4679">
              <w:t>Volwassenengroepen</w:t>
            </w:r>
          </w:p>
        </w:tc>
        <w:tc>
          <w:tcPr>
            <w:tcW w:w="1418" w:type="dxa"/>
          </w:tcPr>
          <w:p w:rsidR="003D4679" w:rsidRPr="003D4679" w:rsidRDefault="003D4679" w:rsidP="003D4679">
            <w:pPr>
              <w:jc w:val="right"/>
            </w:pPr>
            <w:r w:rsidRPr="003D4679">
              <w:t>40 095</w:t>
            </w:r>
          </w:p>
        </w:tc>
        <w:tc>
          <w:tcPr>
            <w:tcW w:w="1842" w:type="dxa"/>
          </w:tcPr>
          <w:p w:rsidR="003D4679" w:rsidRPr="003D4679" w:rsidRDefault="003D4679" w:rsidP="003D4679">
            <w:pPr>
              <w:jc w:val="right"/>
            </w:pPr>
            <w:r w:rsidRPr="003D4679">
              <w:t>4 623</w:t>
            </w:r>
          </w:p>
        </w:tc>
        <w:tc>
          <w:tcPr>
            <w:tcW w:w="1734" w:type="dxa"/>
          </w:tcPr>
          <w:p w:rsidR="003D4679" w:rsidRPr="003D4679" w:rsidRDefault="003D4679" w:rsidP="003D4679">
            <w:pPr>
              <w:jc w:val="right"/>
            </w:pPr>
            <w:r w:rsidRPr="003D4679">
              <w:t>35 472</w:t>
            </w:r>
          </w:p>
        </w:tc>
      </w:tr>
    </w:tbl>
    <w:p w:rsidR="003D4679" w:rsidRDefault="003D4679" w:rsidP="003D4679"/>
    <w:p w:rsidR="003D4679" w:rsidRPr="003D4679" w:rsidRDefault="003D4679" w:rsidP="003D4679">
      <w:pPr>
        <w:ind w:firstLine="426"/>
      </w:pPr>
      <w:r w:rsidRPr="003D4679">
        <w:t>2012:</w:t>
      </w:r>
    </w:p>
    <w:tbl>
      <w:tblPr>
        <w:tblStyle w:val="Tabellijst3"/>
        <w:tblW w:w="8646" w:type="dxa"/>
        <w:tblInd w:w="534" w:type="dxa"/>
        <w:tblLook w:val="04A0" w:firstRow="1" w:lastRow="0" w:firstColumn="1" w:lastColumn="0" w:noHBand="0" w:noVBand="1"/>
      </w:tblPr>
      <w:tblGrid>
        <w:gridCol w:w="3652"/>
        <w:gridCol w:w="1418"/>
        <w:gridCol w:w="1842"/>
        <w:gridCol w:w="1734"/>
      </w:tblGrid>
      <w:tr w:rsidR="003D4679" w:rsidRPr="003D4679" w:rsidTr="003D4679">
        <w:trPr>
          <w:cnfStyle w:val="100000000000" w:firstRow="1" w:lastRow="0" w:firstColumn="0" w:lastColumn="0" w:oddVBand="0" w:evenVBand="0" w:oddHBand="0" w:evenHBand="0" w:firstRowFirstColumn="0" w:firstRowLastColumn="0" w:lastRowFirstColumn="0" w:lastRowLastColumn="0"/>
        </w:trPr>
        <w:tc>
          <w:tcPr>
            <w:tcW w:w="3652" w:type="dxa"/>
          </w:tcPr>
          <w:p w:rsidR="003D4679" w:rsidRPr="003D4679" w:rsidRDefault="003D4679" w:rsidP="00943A8B">
            <w:pPr>
              <w:rPr>
                <w:b w:val="0"/>
                <w:color w:val="auto"/>
              </w:rPr>
            </w:pPr>
          </w:p>
        </w:tc>
        <w:tc>
          <w:tcPr>
            <w:tcW w:w="1418" w:type="dxa"/>
          </w:tcPr>
          <w:p w:rsidR="003D4679" w:rsidRPr="003D4679" w:rsidRDefault="003D4679" w:rsidP="003D4679">
            <w:pPr>
              <w:jc w:val="right"/>
              <w:rPr>
                <w:b w:val="0"/>
                <w:color w:val="auto"/>
              </w:rPr>
            </w:pPr>
            <w:r w:rsidRPr="003D4679">
              <w:rPr>
                <w:b w:val="0"/>
                <w:color w:val="auto"/>
              </w:rPr>
              <w:t>Totaal</w:t>
            </w:r>
          </w:p>
        </w:tc>
        <w:tc>
          <w:tcPr>
            <w:tcW w:w="1842" w:type="dxa"/>
          </w:tcPr>
          <w:p w:rsidR="003D4679" w:rsidRPr="003D4679" w:rsidRDefault="003D4679" w:rsidP="003D4679">
            <w:pPr>
              <w:jc w:val="right"/>
              <w:rPr>
                <w:b w:val="0"/>
                <w:color w:val="auto"/>
              </w:rPr>
            </w:pPr>
            <w:r w:rsidRPr="003D4679">
              <w:rPr>
                <w:b w:val="0"/>
                <w:color w:val="auto"/>
              </w:rPr>
              <w:t>Juli-augustus</w:t>
            </w:r>
          </w:p>
        </w:tc>
        <w:tc>
          <w:tcPr>
            <w:tcW w:w="1734" w:type="dxa"/>
          </w:tcPr>
          <w:p w:rsidR="003D4679" w:rsidRPr="003D4679" w:rsidRDefault="003D4679" w:rsidP="003D4679">
            <w:pPr>
              <w:jc w:val="right"/>
              <w:rPr>
                <w:b w:val="0"/>
                <w:color w:val="auto"/>
              </w:rPr>
            </w:pPr>
            <w:r w:rsidRPr="003D4679">
              <w:rPr>
                <w:b w:val="0"/>
                <w:color w:val="auto"/>
              </w:rPr>
              <w:t>September-juni</w:t>
            </w:r>
          </w:p>
        </w:tc>
      </w:tr>
      <w:tr w:rsidR="003D4679" w:rsidRPr="003D4679" w:rsidTr="003D4679">
        <w:tc>
          <w:tcPr>
            <w:tcW w:w="3652" w:type="dxa"/>
            <w:hideMark/>
          </w:tcPr>
          <w:p w:rsidR="003D4679" w:rsidRPr="003D4679" w:rsidRDefault="003D4679" w:rsidP="00943A8B">
            <w:r w:rsidRPr="003D4679">
              <w:t>Vlaams jeugdwerk</w:t>
            </w:r>
          </w:p>
        </w:tc>
        <w:tc>
          <w:tcPr>
            <w:tcW w:w="1418" w:type="dxa"/>
          </w:tcPr>
          <w:p w:rsidR="003D4679" w:rsidRPr="003D4679" w:rsidRDefault="003D4679" w:rsidP="003D4679">
            <w:pPr>
              <w:jc w:val="right"/>
            </w:pPr>
            <w:r w:rsidRPr="003D4679">
              <w:t>414 315</w:t>
            </w:r>
          </w:p>
        </w:tc>
        <w:tc>
          <w:tcPr>
            <w:tcW w:w="1842" w:type="dxa"/>
          </w:tcPr>
          <w:p w:rsidR="003D4679" w:rsidRPr="003D4679" w:rsidRDefault="003D4679" w:rsidP="003D4679">
            <w:pPr>
              <w:jc w:val="right"/>
            </w:pPr>
            <w:r w:rsidRPr="003D4679">
              <w:t>289 433</w:t>
            </w:r>
          </w:p>
        </w:tc>
        <w:tc>
          <w:tcPr>
            <w:tcW w:w="1734" w:type="dxa"/>
          </w:tcPr>
          <w:p w:rsidR="003D4679" w:rsidRPr="003D4679" w:rsidRDefault="003D4679" w:rsidP="003D4679">
            <w:pPr>
              <w:jc w:val="right"/>
            </w:pPr>
            <w:r w:rsidRPr="003D4679">
              <w:t>124 882</w:t>
            </w:r>
          </w:p>
        </w:tc>
      </w:tr>
      <w:tr w:rsidR="003D4679" w:rsidRPr="003D4679" w:rsidTr="003D4679">
        <w:tc>
          <w:tcPr>
            <w:tcW w:w="3652" w:type="dxa"/>
            <w:hideMark/>
          </w:tcPr>
          <w:p w:rsidR="003D4679" w:rsidRPr="003D4679" w:rsidRDefault="003D4679" w:rsidP="00943A8B">
            <w:r w:rsidRPr="003D4679">
              <w:t>Waals en buitenlands jeugdwerk</w:t>
            </w:r>
          </w:p>
        </w:tc>
        <w:tc>
          <w:tcPr>
            <w:tcW w:w="1418" w:type="dxa"/>
          </w:tcPr>
          <w:p w:rsidR="003D4679" w:rsidRPr="003D4679" w:rsidRDefault="003D4679" w:rsidP="003D4679">
            <w:pPr>
              <w:jc w:val="right"/>
            </w:pPr>
            <w:r w:rsidRPr="003D4679">
              <w:t>14 484</w:t>
            </w:r>
          </w:p>
        </w:tc>
        <w:tc>
          <w:tcPr>
            <w:tcW w:w="1842" w:type="dxa"/>
          </w:tcPr>
          <w:p w:rsidR="003D4679" w:rsidRPr="003D4679" w:rsidRDefault="003D4679" w:rsidP="003D4679">
            <w:pPr>
              <w:jc w:val="right"/>
            </w:pPr>
            <w:r w:rsidRPr="003D4679">
              <w:t>3 880</w:t>
            </w:r>
          </w:p>
        </w:tc>
        <w:tc>
          <w:tcPr>
            <w:tcW w:w="1734" w:type="dxa"/>
          </w:tcPr>
          <w:p w:rsidR="003D4679" w:rsidRPr="003D4679" w:rsidRDefault="003D4679" w:rsidP="003D4679">
            <w:pPr>
              <w:jc w:val="right"/>
            </w:pPr>
            <w:r w:rsidRPr="003D4679">
              <w:t>10 604</w:t>
            </w:r>
          </w:p>
        </w:tc>
      </w:tr>
      <w:tr w:rsidR="003D4679" w:rsidRPr="003D4679" w:rsidTr="003D4679">
        <w:tc>
          <w:tcPr>
            <w:tcW w:w="3652" w:type="dxa"/>
            <w:hideMark/>
          </w:tcPr>
          <w:p w:rsidR="003D4679" w:rsidRPr="003D4679" w:rsidRDefault="003D4679" w:rsidP="00943A8B">
            <w:r w:rsidRPr="003D4679">
              <w:t>Scholen</w:t>
            </w:r>
          </w:p>
        </w:tc>
        <w:tc>
          <w:tcPr>
            <w:tcW w:w="1418" w:type="dxa"/>
          </w:tcPr>
          <w:p w:rsidR="003D4679" w:rsidRPr="003D4679" w:rsidRDefault="003D4679" w:rsidP="003D4679">
            <w:pPr>
              <w:jc w:val="right"/>
            </w:pPr>
            <w:r w:rsidRPr="003D4679">
              <w:t>47 417</w:t>
            </w:r>
          </w:p>
        </w:tc>
        <w:tc>
          <w:tcPr>
            <w:tcW w:w="1842" w:type="dxa"/>
          </w:tcPr>
          <w:p w:rsidR="003D4679" w:rsidRPr="003D4679" w:rsidRDefault="003D4679" w:rsidP="003D4679">
            <w:pPr>
              <w:jc w:val="right"/>
            </w:pPr>
            <w:r w:rsidRPr="003D4679">
              <w:t>1 894</w:t>
            </w:r>
          </w:p>
        </w:tc>
        <w:tc>
          <w:tcPr>
            <w:tcW w:w="1734" w:type="dxa"/>
          </w:tcPr>
          <w:p w:rsidR="003D4679" w:rsidRPr="003D4679" w:rsidRDefault="003D4679" w:rsidP="003D4679">
            <w:pPr>
              <w:jc w:val="right"/>
            </w:pPr>
            <w:r w:rsidRPr="003D4679">
              <w:t>45 523</w:t>
            </w:r>
          </w:p>
        </w:tc>
      </w:tr>
      <w:tr w:rsidR="003D4679" w:rsidRPr="003D4679" w:rsidTr="003D4679">
        <w:tc>
          <w:tcPr>
            <w:tcW w:w="3652" w:type="dxa"/>
            <w:hideMark/>
          </w:tcPr>
          <w:p w:rsidR="003D4679" w:rsidRPr="003D4679" w:rsidRDefault="003D4679" w:rsidP="00943A8B">
            <w:r w:rsidRPr="003D4679">
              <w:t>Andere jeugdgroepen</w:t>
            </w:r>
          </w:p>
        </w:tc>
        <w:tc>
          <w:tcPr>
            <w:tcW w:w="1418" w:type="dxa"/>
          </w:tcPr>
          <w:p w:rsidR="003D4679" w:rsidRPr="003D4679" w:rsidRDefault="003D4679" w:rsidP="003D4679">
            <w:pPr>
              <w:jc w:val="right"/>
            </w:pPr>
            <w:r w:rsidRPr="003D4679">
              <w:t>35 745</w:t>
            </w:r>
          </w:p>
        </w:tc>
        <w:tc>
          <w:tcPr>
            <w:tcW w:w="1842" w:type="dxa"/>
          </w:tcPr>
          <w:p w:rsidR="003D4679" w:rsidRPr="003D4679" w:rsidRDefault="003D4679" w:rsidP="003D4679">
            <w:pPr>
              <w:jc w:val="right"/>
            </w:pPr>
            <w:r w:rsidRPr="003D4679">
              <w:t>8 986</w:t>
            </w:r>
          </w:p>
        </w:tc>
        <w:tc>
          <w:tcPr>
            <w:tcW w:w="1734" w:type="dxa"/>
          </w:tcPr>
          <w:p w:rsidR="003D4679" w:rsidRPr="003D4679" w:rsidRDefault="003D4679" w:rsidP="003D4679">
            <w:pPr>
              <w:jc w:val="right"/>
            </w:pPr>
            <w:r w:rsidRPr="003D4679">
              <w:t>26 759</w:t>
            </w:r>
          </w:p>
        </w:tc>
      </w:tr>
      <w:tr w:rsidR="003D4679" w:rsidRPr="003D4679" w:rsidTr="003D4679">
        <w:tc>
          <w:tcPr>
            <w:tcW w:w="3652" w:type="dxa"/>
            <w:hideMark/>
          </w:tcPr>
          <w:p w:rsidR="003D4679" w:rsidRPr="003D4679" w:rsidRDefault="003D4679" w:rsidP="00943A8B">
            <w:r w:rsidRPr="003D4679">
              <w:t>Volwassenengroepen</w:t>
            </w:r>
          </w:p>
        </w:tc>
        <w:tc>
          <w:tcPr>
            <w:tcW w:w="1418" w:type="dxa"/>
          </w:tcPr>
          <w:p w:rsidR="003D4679" w:rsidRPr="003D4679" w:rsidRDefault="003D4679" w:rsidP="003D4679">
            <w:pPr>
              <w:jc w:val="right"/>
            </w:pPr>
            <w:r w:rsidRPr="003D4679">
              <w:t>43 573</w:t>
            </w:r>
          </w:p>
        </w:tc>
        <w:tc>
          <w:tcPr>
            <w:tcW w:w="1842" w:type="dxa"/>
          </w:tcPr>
          <w:p w:rsidR="003D4679" w:rsidRPr="003D4679" w:rsidRDefault="003D4679" w:rsidP="003D4679">
            <w:pPr>
              <w:jc w:val="right"/>
            </w:pPr>
            <w:r w:rsidRPr="003D4679">
              <w:t>2 914</w:t>
            </w:r>
          </w:p>
        </w:tc>
        <w:tc>
          <w:tcPr>
            <w:tcW w:w="1734" w:type="dxa"/>
          </w:tcPr>
          <w:p w:rsidR="003D4679" w:rsidRPr="003D4679" w:rsidRDefault="003D4679" w:rsidP="003D4679">
            <w:pPr>
              <w:jc w:val="right"/>
            </w:pPr>
            <w:r w:rsidRPr="003D4679">
              <w:t>40 659</w:t>
            </w:r>
          </w:p>
        </w:tc>
      </w:tr>
    </w:tbl>
    <w:p w:rsidR="003D4679" w:rsidRDefault="003D4679" w:rsidP="003D4679"/>
    <w:sectPr w:rsidR="003D467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E5" w:rsidRDefault="000819E5">
      <w:r>
        <w:separator/>
      </w:r>
    </w:p>
  </w:endnote>
  <w:endnote w:type="continuationSeparator" w:id="0">
    <w:p w:rsidR="000819E5" w:rsidRDefault="000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E5" w:rsidRDefault="000819E5">
      <w:r>
        <w:separator/>
      </w:r>
    </w:p>
  </w:footnote>
  <w:footnote w:type="continuationSeparator" w:id="0">
    <w:p w:rsidR="000819E5" w:rsidRDefault="0008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750324F"/>
    <w:multiLevelType w:val="hybridMultilevel"/>
    <w:tmpl w:val="99862B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7E67A22"/>
    <w:multiLevelType w:val="hybridMultilevel"/>
    <w:tmpl w:val="C38429AA"/>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7"/>
  </w:num>
  <w:num w:numId="5">
    <w:abstractNumId w:val="15"/>
  </w:num>
  <w:num w:numId="6">
    <w:abstractNumId w:val="4"/>
  </w:num>
  <w:num w:numId="7">
    <w:abstractNumId w:val="18"/>
  </w:num>
  <w:num w:numId="8">
    <w:abstractNumId w:val="1"/>
  </w:num>
  <w:num w:numId="9">
    <w:abstractNumId w:val="12"/>
  </w:num>
  <w:num w:numId="10">
    <w:abstractNumId w:val="1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3"/>
  </w:num>
  <w:num w:numId="16">
    <w:abstractNumId w:val="3"/>
  </w:num>
  <w:num w:numId="17">
    <w:abstractNumId w:val="19"/>
  </w:num>
  <w:num w:numId="18">
    <w:abstractNumId w:val="16"/>
  </w:num>
  <w:num w:numId="19">
    <w:abstractNumId w:val="7"/>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17613"/>
    <w:rsid w:val="000243B2"/>
    <w:rsid w:val="00031C40"/>
    <w:rsid w:val="000403BF"/>
    <w:rsid w:val="00046095"/>
    <w:rsid w:val="00050A89"/>
    <w:rsid w:val="000526E0"/>
    <w:rsid w:val="00054C7F"/>
    <w:rsid w:val="00063BC5"/>
    <w:rsid w:val="00064BF6"/>
    <w:rsid w:val="00066FD0"/>
    <w:rsid w:val="00072C16"/>
    <w:rsid w:val="00073569"/>
    <w:rsid w:val="00074DF9"/>
    <w:rsid w:val="0007655A"/>
    <w:rsid w:val="000819E5"/>
    <w:rsid w:val="000976E9"/>
    <w:rsid w:val="000A579D"/>
    <w:rsid w:val="000C4E8C"/>
    <w:rsid w:val="000C7BAE"/>
    <w:rsid w:val="000D5587"/>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A51EF"/>
    <w:rsid w:val="001B5488"/>
    <w:rsid w:val="001B61ED"/>
    <w:rsid w:val="001B76AC"/>
    <w:rsid w:val="001C55D2"/>
    <w:rsid w:val="001D5A35"/>
    <w:rsid w:val="001D784D"/>
    <w:rsid w:val="001E5A78"/>
    <w:rsid w:val="001E63BB"/>
    <w:rsid w:val="001E6B0E"/>
    <w:rsid w:val="00202186"/>
    <w:rsid w:val="00205DE3"/>
    <w:rsid w:val="00210C07"/>
    <w:rsid w:val="00211C18"/>
    <w:rsid w:val="00224495"/>
    <w:rsid w:val="00225012"/>
    <w:rsid w:val="00227023"/>
    <w:rsid w:val="002279CE"/>
    <w:rsid w:val="00230885"/>
    <w:rsid w:val="00245A55"/>
    <w:rsid w:val="002527B0"/>
    <w:rsid w:val="00265FCA"/>
    <w:rsid w:val="00266E3B"/>
    <w:rsid w:val="002705B1"/>
    <w:rsid w:val="00285C81"/>
    <w:rsid w:val="00293DBB"/>
    <w:rsid w:val="0029723F"/>
    <w:rsid w:val="002B0834"/>
    <w:rsid w:val="002C7413"/>
    <w:rsid w:val="002C78BA"/>
    <w:rsid w:val="002D0961"/>
    <w:rsid w:val="002D3F82"/>
    <w:rsid w:val="002E334A"/>
    <w:rsid w:val="002E396C"/>
    <w:rsid w:val="002F38C6"/>
    <w:rsid w:val="002F46A1"/>
    <w:rsid w:val="00304569"/>
    <w:rsid w:val="003132A0"/>
    <w:rsid w:val="00315001"/>
    <w:rsid w:val="00326A58"/>
    <w:rsid w:val="00333C39"/>
    <w:rsid w:val="00341B25"/>
    <w:rsid w:val="00342BC6"/>
    <w:rsid w:val="00344C5F"/>
    <w:rsid w:val="003461DE"/>
    <w:rsid w:val="00366B1F"/>
    <w:rsid w:val="003711EC"/>
    <w:rsid w:val="00371984"/>
    <w:rsid w:val="00373BEA"/>
    <w:rsid w:val="00375168"/>
    <w:rsid w:val="00380550"/>
    <w:rsid w:val="0038404F"/>
    <w:rsid w:val="00391972"/>
    <w:rsid w:val="003B5469"/>
    <w:rsid w:val="003B75E8"/>
    <w:rsid w:val="003C3ED2"/>
    <w:rsid w:val="003C6A43"/>
    <w:rsid w:val="003D4679"/>
    <w:rsid w:val="003D6B25"/>
    <w:rsid w:val="003E0094"/>
    <w:rsid w:val="003E491C"/>
    <w:rsid w:val="003F709F"/>
    <w:rsid w:val="00406670"/>
    <w:rsid w:val="00406A4D"/>
    <w:rsid w:val="0041026D"/>
    <w:rsid w:val="00412950"/>
    <w:rsid w:val="0041707E"/>
    <w:rsid w:val="00424502"/>
    <w:rsid w:val="00461E41"/>
    <w:rsid w:val="004638E2"/>
    <w:rsid w:val="004725EB"/>
    <w:rsid w:val="00481276"/>
    <w:rsid w:val="00485A09"/>
    <w:rsid w:val="0048775A"/>
    <w:rsid w:val="004B2E5B"/>
    <w:rsid w:val="004B37F2"/>
    <w:rsid w:val="004C5409"/>
    <w:rsid w:val="004C635F"/>
    <w:rsid w:val="004E2354"/>
    <w:rsid w:val="004E4FB9"/>
    <w:rsid w:val="004F4267"/>
    <w:rsid w:val="004F4744"/>
    <w:rsid w:val="00502BAE"/>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568A7"/>
    <w:rsid w:val="00560C76"/>
    <w:rsid w:val="00562581"/>
    <w:rsid w:val="00563654"/>
    <w:rsid w:val="00574C7B"/>
    <w:rsid w:val="00584B6D"/>
    <w:rsid w:val="005853B7"/>
    <w:rsid w:val="00592B90"/>
    <w:rsid w:val="00597952"/>
    <w:rsid w:val="005A2BE5"/>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17E4"/>
    <w:rsid w:val="00637F78"/>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73138"/>
    <w:rsid w:val="007743D1"/>
    <w:rsid w:val="00775CF3"/>
    <w:rsid w:val="00784349"/>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13F5"/>
    <w:rsid w:val="008A305C"/>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36D15"/>
    <w:rsid w:val="00A41BCA"/>
    <w:rsid w:val="00A470F3"/>
    <w:rsid w:val="00A479FD"/>
    <w:rsid w:val="00A56CDA"/>
    <w:rsid w:val="00A60D50"/>
    <w:rsid w:val="00A73D40"/>
    <w:rsid w:val="00A76A4C"/>
    <w:rsid w:val="00A807D6"/>
    <w:rsid w:val="00A85805"/>
    <w:rsid w:val="00A877E7"/>
    <w:rsid w:val="00A91BB3"/>
    <w:rsid w:val="00AA51B2"/>
    <w:rsid w:val="00AB46B8"/>
    <w:rsid w:val="00AB48C1"/>
    <w:rsid w:val="00AC484C"/>
    <w:rsid w:val="00AD3A29"/>
    <w:rsid w:val="00AD477F"/>
    <w:rsid w:val="00AD7A5B"/>
    <w:rsid w:val="00AF2D67"/>
    <w:rsid w:val="00AF708C"/>
    <w:rsid w:val="00AF7580"/>
    <w:rsid w:val="00B0000C"/>
    <w:rsid w:val="00B06082"/>
    <w:rsid w:val="00B1585E"/>
    <w:rsid w:val="00B33AD0"/>
    <w:rsid w:val="00B34997"/>
    <w:rsid w:val="00B37D7B"/>
    <w:rsid w:val="00B40912"/>
    <w:rsid w:val="00B42A63"/>
    <w:rsid w:val="00B42AF6"/>
    <w:rsid w:val="00B45EB2"/>
    <w:rsid w:val="00B50384"/>
    <w:rsid w:val="00B505AF"/>
    <w:rsid w:val="00B60664"/>
    <w:rsid w:val="00B653A2"/>
    <w:rsid w:val="00B90711"/>
    <w:rsid w:val="00B90D87"/>
    <w:rsid w:val="00BA0D4F"/>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24155"/>
    <w:rsid w:val="00C30866"/>
    <w:rsid w:val="00C40677"/>
    <w:rsid w:val="00C52465"/>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90996"/>
    <w:rsid w:val="00F9739A"/>
    <w:rsid w:val="00FA29D6"/>
    <w:rsid w:val="00FA3510"/>
    <w:rsid w:val="00FB3B9C"/>
    <w:rsid w:val="00FB3D22"/>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2021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2021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306</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2013-05-03T11:12:00Z</cp:lastPrinted>
  <dcterms:created xsi:type="dcterms:W3CDTF">2013-05-03T11:13:00Z</dcterms:created>
  <dcterms:modified xsi:type="dcterms:W3CDTF">2013-05-13T14:04:00Z</dcterms:modified>
</cp:coreProperties>
</file>