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5A1416">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AE1E2E">
        <w:rPr>
          <w:b w:val="0"/>
        </w:rPr>
        <w:t>2</w:t>
      </w:r>
      <w:r w:rsidR="00CF7EF5">
        <w:rPr>
          <w:b w:val="0"/>
        </w:rPr>
        <w:t>9</w:t>
      </w:r>
      <w:r w:rsidR="00AE1E2E">
        <w:rPr>
          <w:b w:val="0"/>
        </w:rPr>
        <w:t>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AE1E2E">
        <w:rPr>
          <w:b w:val="0"/>
        </w:rPr>
        <w:t>28</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5A1416">
        <w:rPr>
          <w:rStyle w:val="AntwoordNaamMinisterChar"/>
        </w:rPr>
        <w:t>e</w:t>
      </w:r>
      <w:r w:rsidR="00AE1E2E">
        <w:rPr>
          <w:rStyle w:val="AntwoordNaamMinisterChar"/>
        </w:rPr>
        <w:t>ls</w:t>
      </w:r>
      <w:r w:rsidR="005A1416">
        <w:rPr>
          <w:rStyle w:val="AntwoordNaamMinisterChar"/>
        </w:rPr>
        <w:t xml:space="preserve"> r</w:t>
      </w:r>
      <w:r w:rsidR="00AE1E2E">
        <w:rPr>
          <w:rStyle w:val="AntwoordNaamMinisterChar"/>
        </w:rPr>
        <w:t>obeyns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E1E2E" w:rsidRPr="005A1416" w:rsidRDefault="00AE1E2E" w:rsidP="005A1416">
      <w:pPr>
        <w:pStyle w:val="Lijstalinea"/>
        <w:numPr>
          <w:ilvl w:val="0"/>
          <w:numId w:val="18"/>
        </w:numPr>
        <w:ind w:left="426" w:hanging="426"/>
        <w:jc w:val="both"/>
        <w:rPr>
          <w:szCs w:val="22"/>
        </w:rPr>
      </w:pPr>
      <w:r w:rsidRPr="005A1416">
        <w:rPr>
          <w:szCs w:val="22"/>
        </w:rPr>
        <w:lastRenderedPageBreak/>
        <w:t>Erkende instellingen voor schuldbemiddeling dienen jaarlijks uiterlijk op 31 maart een jaarverslag met gegevens van de basisregistratie aan de administratie te bezorgen. In 2012 werd het model van basisregistratie herwerkt. Het Vlaams Centrum Schuldenlast vraagt de gegevens van de basisregistratie rechtstreeks op bij de erkende instellingen voor schuldbemiddeling en zorgt voor de verwerking. De gegevens van de basisregistratie 2012 zullen beschikbaar zijn tegen 30 april 2013.</w:t>
      </w:r>
    </w:p>
    <w:p w:rsidR="00AE1E2E" w:rsidRPr="00AE1E2E" w:rsidRDefault="00AE1E2E" w:rsidP="005A1416">
      <w:pPr>
        <w:ind w:left="426"/>
        <w:jc w:val="both"/>
        <w:rPr>
          <w:szCs w:val="22"/>
        </w:rPr>
      </w:pPr>
      <w:r w:rsidRPr="00AE1E2E">
        <w:rPr>
          <w:szCs w:val="22"/>
        </w:rPr>
        <w:t xml:space="preserve">De uitgebreide registratie </w:t>
      </w:r>
      <w:r>
        <w:rPr>
          <w:szCs w:val="22"/>
        </w:rPr>
        <w:t>ging reeds door</w:t>
      </w:r>
      <w:r w:rsidRPr="00AE1E2E">
        <w:rPr>
          <w:szCs w:val="22"/>
        </w:rPr>
        <w:t xml:space="preserve"> in 2008</w:t>
      </w:r>
      <w:r>
        <w:rPr>
          <w:szCs w:val="22"/>
        </w:rPr>
        <w:t>,</w:t>
      </w:r>
      <w:r w:rsidRPr="00AE1E2E">
        <w:rPr>
          <w:szCs w:val="22"/>
        </w:rPr>
        <w:t xml:space="preserve"> 20</w:t>
      </w:r>
      <w:r>
        <w:rPr>
          <w:szCs w:val="22"/>
        </w:rPr>
        <w:t xml:space="preserve">09 en 2011. </w:t>
      </w:r>
      <w:r w:rsidR="00C371E0">
        <w:rPr>
          <w:szCs w:val="22"/>
        </w:rPr>
        <w:t>In 2011 en 2012</w:t>
      </w:r>
      <w:r>
        <w:rPr>
          <w:szCs w:val="22"/>
        </w:rPr>
        <w:t xml:space="preserve"> werd de steekproeftrekking en de vragenlijst bijgestuurd op basis van een doorlichting met het Vlaams Centrum Schuldenlast en het werkveld. In 2013 zal de uitgebreide registratie opnieuw georganiseerd worden in de periode tussen 1 mei en 15 juli.</w:t>
      </w:r>
    </w:p>
    <w:p w:rsidR="00AE1E2E" w:rsidRPr="00AE1E2E" w:rsidRDefault="00AE1E2E" w:rsidP="005A1416">
      <w:pPr>
        <w:ind w:left="426" w:hanging="426"/>
        <w:jc w:val="both"/>
        <w:rPr>
          <w:szCs w:val="22"/>
        </w:rPr>
      </w:pPr>
    </w:p>
    <w:p w:rsidR="00AE1E2E" w:rsidRPr="005A1416" w:rsidRDefault="009F1301" w:rsidP="005A1416">
      <w:pPr>
        <w:pStyle w:val="Lijstalinea"/>
        <w:numPr>
          <w:ilvl w:val="0"/>
          <w:numId w:val="18"/>
        </w:numPr>
        <w:ind w:left="426" w:hanging="426"/>
        <w:jc w:val="both"/>
        <w:rPr>
          <w:szCs w:val="22"/>
        </w:rPr>
      </w:pPr>
      <w:r w:rsidRPr="005A1416">
        <w:rPr>
          <w:szCs w:val="22"/>
        </w:rPr>
        <w:t>De spreiding van het aantal dossiers budget- en schuldhulpverlening over de verschillende provincies is als volgt:</w:t>
      </w:r>
    </w:p>
    <w:p w:rsidR="00AE1E2E" w:rsidRDefault="00AE1E2E" w:rsidP="005A1416">
      <w:pPr>
        <w:jc w:val="both"/>
        <w:rPr>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268"/>
        <w:gridCol w:w="2173"/>
      </w:tblGrid>
      <w:tr w:rsidR="00AE1E2E" w:rsidRPr="00760B43" w:rsidTr="005A1416">
        <w:tc>
          <w:tcPr>
            <w:tcW w:w="3828" w:type="dxa"/>
          </w:tcPr>
          <w:p w:rsidR="00AE1E2E" w:rsidRPr="00D517DF" w:rsidRDefault="00AE1E2E" w:rsidP="005A1416">
            <w:pPr>
              <w:pStyle w:val="StandaardSV"/>
              <w:rPr>
                <w:b/>
              </w:rPr>
            </w:pPr>
          </w:p>
        </w:tc>
        <w:tc>
          <w:tcPr>
            <w:tcW w:w="2268" w:type="dxa"/>
          </w:tcPr>
          <w:p w:rsidR="00AE1E2E" w:rsidRPr="00D517DF" w:rsidRDefault="00AE1E2E" w:rsidP="005A1416">
            <w:pPr>
              <w:pStyle w:val="StandaardSV"/>
              <w:rPr>
                <w:b/>
              </w:rPr>
            </w:pPr>
            <w:r w:rsidRPr="00D517DF">
              <w:rPr>
                <w:b/>
              </w:rPr>
              <w:t>Budgethulpverlening</w:t>
            </w:r>
          </w:p>
        </w:tc>
        <w:tc>
          <w:tcPr>
            <w:tcW w:w="2173" w:type="dxa"/>
          </w:tcPr>
          <w:p w:rsidR="00AE1E2E" w:rsidRPr="00D517DF" w:rsidRDefault="00AE1E2E" w:rsidP="005A1416">
            <w:pPr>
              <w:pStyle w:val="StandaardSV"/>
              <w:rPr>
                <w:b/>
              </w:rPr>
            </w:pPr>
            <w:r w:rsidRPr="00D517DF">
              <w:rPr>
                <w:b/>
              </w:rPr>
              <w:t>Schuldhulpverlening</w:t>
            </w:r>
          </w:p>
        </w:tc>
      </w:tr>
      <w:tr w:rsidR="00AE1E2E" w:rsidTr="005A1416">
        <w:tc>
          <w:tcPr>
            <w:tcW w:w="3828" w:type="dxa"/>
          </w:tcPr>
          <w:p w:rsidR="00AE1E2E" w:rsidRDefault="00AE1E2E" w:rsidP="005A1416">
            <w:pPr>
              <w:pStyle w:val="StandaardSV"/>
            </w:pPr>
            <w:r>
              <w:t>Antwerpen – 2010</w:t>
            </w:r>
          </w:p>
        </w:tc>
        <w:tc>
          <w:tcPr>
            <w:tcW w:w="2268" w:type="dxa"/>
          </w:tcPr>
          <w:p w:rsidR="00AE1E2E" w:rsidRDefault="00AE1E2E" w:rsidP="005A1416">
            <w:pPr>
              <w:pStyle w:val="StandaardSV"/>
              <w:ind w:right="1105"/>
            </w:pPr>
            <w:r>
              <w:t>5.954</w:t>
            </w:r>
          </w:p>
        </w:tc>
        <w:tc>
          <w:tcPr>
            <w:tcW w:w="2173" w:type="dxa"/>
          </w:tcPr>
          <w:p w:rsidR="00AE1E2E" w:rsidRDefault="00AE1E2E" w:rsidP="005A1416">
            <w:pPr>
              <w:pStyle w:val="StandaardSV"/>
              <w:ind w:right="1105"/>
            </w:pPr>
            <w:r>
              <w:t>16.431</w:t>
            </w:r>
          </w:p>
        </w:tc>
      </w:tr>
      <w:tr w:rsidR="00AE1E2E" w:rsidTr="005A1416">
        <w:tc>
          <w:tcPr>
            <w:tcW w:w="3828" w:type="dxa"/>
          </w:tcPr>
          <w:p w:rsidR="00AE1E2E" w:rsidRDefault="00AE1E2E" w:rsidP="005A1416">
            <w:pPr>
              <w:pStyle w:val="StandaardSV"/>
            </w:pPr>
            <w:r>
              <w:t>Antwerpen – 2011</w:t>
            </w:r>
          </w:p>
        </w:tc>
        <w:tc>
          <w:tcPr>
            <w:tcW w:w="2268" w:type="dxa"/>
          </w:tcPr>
          <w:p w:rsidR="00AE1E2E" w:rsidRDefault="00AE1E2E" w:rsidP="005A1416">
            <w:pPr>
              <w:pStyle w:val="StandaardSV"/>
              <w:ind w:right="1105"/>
            </w:pPr>
            <w:r>
              <w:t>4.575</w:t>
            </w:r>
          </w:p>
        </w:tc>
        <w:tc>
          <w:tcPr>
            <w:tcW w:w="2173" w:type="dxa"/>
          </w:tcPr>
          <w:p w:rsidR="00AE1E2E" w:rsidRDefault="00AE1E2E" w:rsidP="005A1416">
            <w:pPr>
              <w:pStyle w:val="StandaardSV"/>
              <w:ind w:right="1105"/>
            </w:pPr>
            <w:r>
              <w:t>15.726</w:t>
            </w:r>
          </w:p>
        </w:tc>
      </w:tr>
      <w:tr w:rsidR="00AE1E2E" w:rsidTr="005A1416">
        <w:tc>
          <w:tcPr>
            <w:tcW w:w="3828" w:type="dxa"/>
          </w:tcPr>
          <w:p w:rsidR="00AE1E2E" w:rsidRDefault="00AE1E2E" w:rsidP="005A1416">
            <w:pPr>
              <w:pStyle w:val="StandaardSV"/>
            </w:pPr>
            <w:r>
              <w:t xml:space="preserve">Oost-Vlaanderen – 2010 </w:t>
            </w:r>
          </w:p>
        </w:tc>
        <w:tc>
          <w:tcPr>
            <w:tcW w:w="2268" w:type="dxa"/>
          </w:tcPr>
          <w:p w:rsidR="00AE1E2E" w:rsidRDefault="00AE1E2E" w:rsidP="005A1416">
            <w:pPr>
              <w:pStyle w:val="StandaardSV"/>
              <w:ind w:right="1105"/>
            </w:pPr>
            <w:r>
              <w:t>2.790</w:t>
            </w:r>
          </w:p>
        </w:tc>
        <w:tc>
          <w:tcPr>
            <w:tcW w:w="2173" w:type="dxa"/>
          </w:tcPr>
          <w:p w:rsidR="00AE1E2E" w:rsidRDefault="00AE1E2E" w:rsidP="005A1416">
            <w:pPr>
              <w:pStyle w:val="StandaardSV"/>
              <w:ind w:right="1105"/>
            </w:pPr>
            <w:r>
              <w:t>15.246</w:t>
            </w:r>
          </w:p>
        </w:tc>
      </w:tr>
      <w:tr w:rsidR="00AE1E2E" w:rsidTr="005A1416">
        <w:tc>
          <w:tcPr>
            <w:tcW w:w="3828" w:type="dxa"/>
          </w:tcPr>
          <w:p w:rsidR="00AE1E2E" w:rsidRDefault="00AE1E2E" w:rsidP="005A1416">
            <w:pPr>
              <w:pStyle w:val="StandaardSV"/>
            </w:pPr>
            <w:r>
              <w:t>Oost-Vlaanderen – 2011</w:t>
            </w:r>
          </w:p>
        </w:tc>
        <w:tc>
          <w:tcPr>
            <w:tcW w:w="2268" w:type="dxa"/>
          </w:tcPr>
          <w:p w:rsidR="00AE1E2E" w:rsidRDefault="00AE1E2E" w:rsidP="005A1416">
            <w:pPr>
              <w:pStyle w:val="StandaardSV"/>
              <w:ind w:right="1105"/>
            </w:pPr>
            <w:r>
              <w:t>3.502</w:t>
            </w:r>
          </w:p>
        </w:tc>
        <w:tc>
          <w:tcPr>
            <w:tcW w:w="2173" w:type="dxa"/>
          </w:tcPr>
          <w:p w:rsidR="00AE1E2E" w:rsidRDefault="00AE1E2E" w:rsidP="005A1416">
            <w:pPr>
              <w:pStyle w:val="StandaardSV"/>
              <w:ind w:right="1105"/>
            </w:pPr>
            <w:r>
              <w:t>15.055</w:t>
            </w:r>
          </w:p>
        </w:tc>
      </w:tr>
      <w:tr w:rsidR="00AE1E2E" w:rsidTr="005A1416">
        <w:tc>
          <w:tcPr>
            <w:tcW w:w="3828" w:type="dxa"/>
          </w:tcPr>
          <w:p w:rsidR="00AE1E2E" w:rsidRDefault="00AE1E2E" w:rsidP="005A1416">
            <w:pPr>
              <w:pStyle w:val="StandaardSV"/>
            </w:pPr>
            <w:r>
              <w:t>West-Vlaanderen – 2010</w:t>
            </w:r>
          </w:p>
        </w:tc>
        <w:tc>
          <w:tcPr>
            <w:tcW w:w="2268" w:type="dxa"/>
          </w:tcPr>
          <w:p w:rsidR="00AE1E2E" w:rsidRDefault="00AE1E2E" w:rsidP="005A1416">
            <w:pPr>
              <w:pStyle w:val="StandaardSV"/>
              <w:ind w:right="1105"/>
            </w:pPr>
            <w:r>
              <w:t>3.067</w:t>
            </w:r>
          </w:p>
        </w:tc>
        <w:tc>
          <w:tcPr>
            <w:tcW w:w="2173" w:type="dxa"/>
          </w:tcPr>
          <w:p w:rsidR="00AE1E2E" w:rsidRDefault="009F1301" w:rsidP="005A1416">
            <w:pPr>
              <w:pStyle w:val="StandaardSV"/>
              <w:ind w:right="1105"/>
            </w:pPr>
            <w:r>
              <w:t>17.209</w:t>
            </w:r>
          </w:p>
        </w:tc>
      </w:tr>
      <w:tr w:rsidR="00AE1E2E" w:rsidTr="005A1416">
        <w:tc>
          <w:tcPr>
            <w:tcW w:w="3828" w:type="dxa"/>
          </w:tcPr>
          <w:p w:rsidR="00AE1E2E" w:rsidRDefault="00AE1E2E" w:rsidP="005A1416">
            <w:pPr>
              <w:pStyle w:val="StandaardSV"/>
            </w:pPr>
            <w:r>
              <w:t>West-Vlaanderen – 2011</w:t>
            </w:r>
          </w:p>
        </w:tc>
        <w:tc>
          <w:tcPr>
            <w:tcW w:w="2268" w:type="dxa"/>
          </w:tcPr>
          <w:p w:rsidR="00AE1E2E" w:rsidRDefault="00AE1E2E" w:rsidP="005A1416">
            <w:pPr>
              <w:pStyle w:val="StandaardSV"/>
              <w:ind w:right="1105"/>
            </w:pPr>
            <w:r>
              <w:t>4.054</w:t>
            </w:r>
          </w:p>
        </w:tc>
        <w:tc>
          <w:tcPr>
            <w:tcW w:w="2173" w:type="dxa"/>
          </w:tcPr>
          <w:p w:rsidR="00AE1E2E" w:rsidRDefault="009F1301" w:rsidP="005A1416">
            <w:pPr>
              <w:pStyle w:val="StandaardSV"/>
              <w:ind w:right="1105"/>
            </w:pPr>
            <w:r>
              <w:t>16.665</w:t>
            </w:r>
          </w:p>
        </w:tc>
      </w:tr>
      <w:tr w:rsidR="00AE1E2E" w:rsidTr="005A1416">
        <w:tc>
          <w:tcPr>
            <w:tcW w:w="3828" w:type="dxa"/>
          </w:tcPr>
          <w:p w:rsidR="00AE1E2E" w:rsidRDefault="00AE1E2E" w:rsidP="005A1416">
            <w:pPr>
              <w:pStyle w:val="StandaardSV"/>
            </w:pPr>
            <w:r>
              <w:t xml:space="preserve">Limburg – 2010 </w:t>
            </w:r>
          </w:p>
        </w:tc>
        <w:tc>
          <w:tcPr>
            <w:tcW w:w="2268" w:type="dxa"/>
          </w:tcPr>
          <w:p w:rsidR="00AE1E2E" w:rsidRDefault="00AE1E2E" w:rsidP="005A1416">
            <w:pPr>
              <w:pStyle w:val="StandaardSV"/>
              <w:ind w:right="1105"/>
            </w:pPr>
            <w:r>
              <w:t>1.724</w:t>
            </w:r>
          </w:p>
        </w:tc>
        <w:tc>
          <w:tcPr>
            <w:tcW w:w="2173" w:type="dxa"/>
          </w:tcPr>
          <w:p w:rsidR="00AE1E2E" w:rsidRDefault="009F1301" w:rsidP="005A1416">
            <w:pPr>
              <w:pStyle w:val="StandaardSV"/>
              <w:ind w:right="1105"/>
            </w:pPr>
            <w:r>
              <w:t>9.035</w:t>
            </w:r>
          </w:p>
        </w:tc>
      </w:tr>
      <w:tr w:rsidR="00AE1E2E" w:rsidTr="005A1416">
        <w:tc>
          <w:tcPr>
            <w:tcW w:w="3828" w:type="dxa"/>
          </w:tcPr>
          <w:p w:rsidR="00AE1E2E" w:rsidRDefault="00AE1E2E" w:rsidP="005A1416">
            <w:pPr>
              <w:pStyle w:val="StandaardSV"/>
            </w:pPr>
            <w:r>
              <w:t>Limburg – 2011</w:t>
            </w:r>
          </w:p>
        </w:tc>
        <w:tc>
          <w:tcPr>
            <w:tcW w:w="2268" w:type="dxa"/>
          </w:tcPr>
          <w:p w:rsidR="00AE1E2E" w:rsidRDefault="00AE1E2E" w:rsidP="005A1416">
            <w:pPr>
              <w:pStyle w:val="StandaardSV"/>
              <w:ind w:right="1105"/>
            </w:pPr>
            <w:r>
              <w:t>2.143</w:t>
            </w:r>
          </w:p>
        </w:tc>
        <w:tc>
          <w:tcPr>
            <w:tcW w:w="2173" w:type="dxa"/>
          </w:tcPr>
          <w:p w:rsidR="00AE1E2E" w:rsidRDefault="009F1301" w:rsidP="005A1416">
            <w:pPr>
              <w:pStyle w:val="StandaardSV"/>
              <w:ind w:right="1105"/>
            </w:pPr>
            <w:r>
              <w:t>7.676</w:t>
            </w:r>
          </w:p>
        </w:tc>
      </w:tr>
      <w:tr w:rsidR="009F1301" w:rsidTr="005A1416">
        <w:tc>
          <w:tcPr>
            <w:tcW w:w="3828" w:type="dxa"/>
            <w:tcBorders>
              <w:top w:val="single" w:sz="4" w:space="0" w:color="auto"/>
              <w:left w:val="single" w:sz="4" w:space="0" w:color="auto"/>
              <w:bottom w:val="single" w:sz="4" w:space="0" w:color="auto"/>
              <w:right w:val="single" w:sz="4" w:space="0" w:color="auto"/>
            </w:tcBorders>
          </w:tcPr>
          <w:p w:rsidR="009F1301" w:rsidRDefault="009F1301" w:rsidP="005A1416">
            <w:pPr>
              <w:pStyle w:val="StandaardSV"/>
            </w:pPr>
            <w:r>
              <w:t>Vlaams-Brabant – 2010</w:t>
            </w:r>
          </w:p>
        </w:tc>
        <w:tc>
          <w:tcPr>
            <w:tcW w:w="2268" w:type="dxa"/>
            <w:tcBorders>
              <w:top w:val="single" w:sz="4" w:space="0" w:color="auto"/>
              <w:left w:val="single" w:sz="4" w:space="0" w:color="auto"/>
              <w:bottom w:val="single" w:sz="4" w:space="0" w:color="auto"/>
              <w:right w:val="single" w:sz="4" w:space="0" w:color="auto"/>
            </w:tcBorders>
          </w:tcPr>
          <w:p w:rsidR="009F1301" w:rsidRDefault="009F1301" w:rsidP="005A1416">
            <w:pPr>
              <w:pStyle w:val="StandaardSV"/>
              <w:ind w:right="1105"/>
            </w:pPr>
            <w:r>
              <w:t>1.666</w:t>
            </w:r>
          </w:p>
        </w:tc>
        <w:tc>
          <w:tcPr>
            <w:tcW w:w="2173" w:type="dxa"/>
            <w:tcBorders>
              <w:top w:val="single" w:sz="4" w:space="0" w:color="auto"/>
              <w:left w:val="single" w:sz="4" w:space="0" w:color="auto"/>
              <w:bottom w:val="single" w:sz="4" w:space="0" w:color="auto"/>
              <w:right w:val="single" w:sz="4" w:space="0" w:color="auto"/>
            </w:tcBorders>
          </w:tcPr>
          <w:p w:rsidR="009F1301" w:rsidRDefault="009F1301" w:rsidP="005A1416">
            <w:pPr>
              <w:pStyle w:val="StandaardSV"/>
              <w:ind w:right="1105"/>
            </w:pPr>
            <w:r>
              <w:t>7.685</w:t>
            </w:r>
          </w:p>
        </w:tc>
      </w:tr>
      <w:tr w:rsidR="009F1301" w:rsidTr="005A1416">
        <w:tc>
          <w:tcPr>
            <w:tcW w:w="3828" w:type="dxa"/>
            <w:tcBorders>
              <w:top w:val="single" w:sz="4" w:space="0" w:color="auto"/>
              <w:left w:val="single" w:sz="4" w:space="0" w:color="auto"/>
              <w:bottom w:val="single" w:sz="4" w:space="0" w:color="auto"/>
              <w:right w:val="single" w:sz="4" w:space="0" w:color="auto"/>
            </w:tcBorders>
          </w:tcPr>
          <w:p w:rsidR="009F1301" w:rsidRDefault="009F1301" w:rsidP="005A1416">
            <w:pPr>
              <w:pStyle w:val="StandaardSV"/>
            </w:pPr>
            <w:r>
              <w:t>Vlaams-Brabant – 2011</w:t>
            </w:r>
          </w:p>
        </w:tc>
        <w:tc>
          <w:tcPr>
            <w:tcW w:w="2268" w:type="dxa"/>
            <w:tcBorders>
              <w:top w:val="single" w:sz="4" w:space="0" w:color="auto"/>
              <w:left w:val="single" w:sz="4" w:space="0" w:color="auto"/>
              <w:bottom w:val="single" w:sz="4" w:space="0" w:color="auto"/>
              <w:right w:val="single" w:sz="4" w:space="0" w:color="auto"/>
            </w:tcBorders>
          </w:tcPr>
          <w:p w:rsidR="009F1301" w:rsidRDefault="009F1301" w:rsidP="005A1416">
            <w:pPr>
              <w:pStyle w:val="StandaardSV"/>
              <w:ind w:right="1105"/>
            </w:pPr>
            <w:r>
              <w:t>2.366</w:t>
            </w:r>
          </w:p>
        </w:tc>
        <w:tc>
          <w:tcPr>
            <w:tcW w:w="2173" w:type="dxa"/>
            <w:tcBorders>
              <w:top w:val="single" w:sz="4" w:space="0" w:color="auto"/>
              <w:left w:val="single" w:sz="4" w:space="0" w:color="auto"/>
              <w:bottom w:val="single" w:sz="4" w:space="0" w:color="auto"/>
              <w:right w:val="single" w:sz="4" w:space="0" w:color="auto"/>
            </w:tcBorders>
          </w:tcPr>
          <w:p w:rsidR="009F1301" w:rsidRDefault="009F1301" w:rsidP="005A1416">
            <w:pPr>
              <w:pStyle w:val="StandaardSV"/>
              <w:ind w:right="1105"/>
            </w:pPr>
            <w:r>
              <w:t>6.949</w:t>
            </w:r>
          </w:p>
        </w:tc>
      </w:tr>
      <w:tr w:rsidR="00AE1E2E" w:rsidTr="005A1416">
        <w:tc>
          <w:tcPr>
            <w:tcW w:w="3828" w:type="dxa"/>
          </w:tcPr>
          <w:p w:rsidR="00AE1E2E" w:rsidRDefault="009F1301" w:rsidP="005A1416">
            <w:pPr>
              <w:pStyle w:val="StandaardSV"/>
            </w:pPr>
            <w:r>
              <w:t xml:space="preserve">Brussels Hoofdstedelijk Gewest </w:t>
            </w:r>
            <w:r w:rsidR="00AE1E2E">
              <w:t xml:space="preserve"> – 2010</w:t>
            </w:r>
          </w:p>
        </w:tc>
        <w:tc>
          <w:tcPr>
            <w:tcW w:w="2268" w:type="dxa"/>
          </w:tcPr>
          <w:p w:rsidR="00AE1E2E" w:rsidRDefault="009F1301" w:rsidP="005A1416">
            <w:pPr>
              <w:pStyle w:val="StandaardSV"/>
              <w:ind w:right="1105"/>
            </w:pPr>
            <w:r>
              <w:t>262</w:t>
            </w:r>
          </w:p>
        </w:tc>
        <w:tc>
          <w:tcPr>
            <w:tcW w:w="2173" w:type="dxa"/>
          </w:tcPr>
          <w:p w:rsidR="00AE1E2E" w:rsidRDefault="009F1301" w:rsidP="005A1416">
            <w:pPr>
              <w:pStyle w:val="StandaardSV"/>
              <w:ind w:right="1105"/>
            </w:pPr>
            <w:r>
              <w:t>186</w:t>
            </w:r>
          </w:p>
        </w:tc>
      </w:tr>
      <w:tr w:rsidR="009F1301" w:rsidTr="005A1416">
        <w:tc>
          <w:tcPr>
            <w:tcW w:w="3828" w:type="dxa"/>
          </w:tcPr>
          <w:p w:rsidR="009F1301" w:rsidRDefault="009F1301" w:rsidP="005A1416">
            <w:pPr>
              <w:pStyle w:val="StandaardSV"/>
            </w:pPr>
            <w:r>
              <w:t>Brussels Hoofdstedelijk Gewest  – 2010</w:t>
            </w:r>
          </w:p>
        </w:tc>
        <w:tc>
          <w:tcPr>
            <w:tcW w:w="2268" w:type="dxa"/>
          </w:tcPr>
          <w:p w:rsidR="009F1301" w:rsidRDefault="009F1301" w:rsidP="005A1416">
            <w:pPr>
              <w:pStyle w:val="StandaardSV"/>
              <w:ind w:right="1105"/>
            </w:pPr>
            <w:r>
              <w:t>222</w:t>
            </w:r>
          </w:p>
        </w:tc>
        <w:tc>
          <w:tcPr>
            <w:tcW w:w="2173" w:type="dxa"/>
          </w:tcPr>
          <w:p w:rsidR="009F1301" w:rsidRDefault="009F1301" w:rsidP="005A1416">
            <w:pPr>
              <w:pStyle w:val="StandaardSV"/>
              <w:ind w:right="1105"/>
            </w:pPr>
            <w:r>
              <w:t>238</w:t>
            </w:r>
          </w:p>
        </w:tc>
      </w:tr>
      <w:tr w:rsidR="009F1301" w:rsidRPr="00760B43" w:rsidTr="005A1416">
        <w:tc>
          <w:tcPr>
            <w:tcW w:w="3828" w:type="dxa"/>
          </w:tcPr>
          <w:p w:rsidR="009F1301" w:rsidRPr="00D517DF" w:rsidRDefault="009F1301" w:rsidP="005A1416">
            <w:pPr>
              <w:pStyle w:val="StandaardSV"/>
              <w:rPr>
                <w:b/>
              </w:rPr>
            </w:pPr>
            <w:r w:rsidRPr="00D517DF">
              <w:rPr>
                <w:b/>
              </w:rPr>
              <w:t xml:space="preserve">Vlaanderen – </w:t>
            </w:r>
            <w:r>
              <w:rPr>
                <w:b/>
              </w:rPr>
              <w:t>2010</w:t>
            </w:r>
          </w:p>
        </w:tc>
        <w:tc>
          <w:tcPr>
            <w:tcW w:w="2268" w:type="dxa"/>
          </w:tcPr>
          <w:p w:rsidR="009F1301" w:rsidRPr="00D517DF" w:rsidRDefault="009F1301" w:rsidP="005A1416">
            <w:pPr>
              <w:pStyle w:val="StandaardSV"/>
              <w:ind w:right="1105"/>
              <w:rPr>
                <w:b/>
              </w:rPr>
            </w:pPr>
            <w:r>
              <w:rPr>
                <w:b/>
              </w:rPr>
              <w:t>15.463</w:t>
            </w:r>
          </w:p>
        </w:tc>
        <w:tc>
          <w:tcPr>
            <w:tcW w:w="2173" w:type="dxa"/>
          </w:tcPr>
          <w:p w:rsidR="009F1301" w:rsidRPr="00D517DF" w:rsidRDefault="009F1301" w:rsidP="005A1416">
            <w:pPr>
              <w:pStyle w:val="StandaardSV"/>
              <w:ind w:right="1105"/>
              <w:rPr>
                <w:b/>
              </w:rPr>
            </w:pPr>
            <w:r>
              <w:rPr>
                <w:b/>
              </w:rPr>
              <w:t>65.792</w:t>
            </w:r>
          </w:p>
        </w:tc>
      </w:tr>
      <w:tr w:rsidR="009F1301" w:rsidRPr="00760B43" w:rsidTr="005A1416">
        <w:tc>
          <w:tcPr>
            <w:tcW w:w="3828" w:type="dxa"/>
          </w:tcPr>
          <w:p w:rsidR="009F1301" w:rsidRPr="00D517DF" w:rsidRDefault="009F1301" w:rsidP="005A1416">
            <w:pPr>
              <w:pStyle w:val="StandaardSV"/>
              <w:rPr>
                <w:b/>
              </w:rPr>
            </w:pPr>
            <w:r w:rsidRPr="00D517DF">
              <w:rPr>
                <w:b/>
              </w:rPr>
              <w:t xml:space="preserve">Vlaanderen – </w:t>
            </w:r>
            <w:r>
              <w:rPr>
                <w:b/>
              </w:rPr>
              <w:t>2011</w:t>
            </w:r>
          </w:p>
        </w:tc>
        <w:tc>
          <w:tcPr>
            <w:tcW w:w="2268" w:type="dxa"/>
          </w:tcPr>
          <w:p w:rsidR="009F1301" w:rsidRPr="00D517DF" w:rsidRDefault="009F1301" w:rsidP="005A1416">
            <w:pPr>
              <w:pStyle w:val="StandaardSV"/>
              <w:ind w:right="1105"/>
              <w:rPr>
                <w:b/>
              </w:rPr>
            </w:pPr>
            <w:r>
              <w:rPr>
                <w:b/>
              </w:rPr>
              <w:t>16.862</w:t>
            </w:r>
          </w:p>
        </w:tc>
        <w:tc>
          <w:tcPr>
            <w:tcW w:w="2173" w:type="dxa"/>
          </w:tcPr>
          <w:p w:rsidR="009F1301" w:rsidRPr="00D517DF" w:rsidRDefault="009F1301" w:rsidP="005A1416">
            <w:pPr>
              <w:pStyle w:val="StandaardSV"/>
              <w:ind w:right="1105"/>
              <w:rPr>
                <w:b/>
              </w:rPr>
            </w:pPr>
            <w:r>
              <w:rPr>
                <w:b/>
              </w:rPr>
              <w:t>62.309</w:t>
            </w:r>
          </w:p>
        </w:tc>
      </w:tr>
    </w:tbl>
    <w:p w:rsidR="00AE1E2E" w:rsidRPr="00935BCA" w:rsidRDefault="00AE1E2E" w:rsidP="005A1416">
      <w:pPr>
        <w:pStyle w:val="StandaardSV"/>
        <w:ind w:left="426"/>
        <w:rPr>
          <w:sz w:val="20"/>
        </w:rPr>
      </w:pPr>
      <w:r w:rsidRPr="00935BCA">
        <w:rPr>
          <w:sz w:val="20"/>
        </w:rPr>
        <w:t>Bron: Vlaams Centrum Schuld</w:t>
      </w:r>
      <w:r>
        <w:rPr>
          <w:sz w:val="20"/>
        </w:rPr>
        <w:t>enlast</w:t>
      </w:r>
      <w:r w:rsidRPr="00935BCA">
        <w:rPr>
          <w:sz w:val="20"/>
        </w:rPr>
        <w:t xml:space="preserve"> (201</w:t>
      </w:r>
      <w:r>
        <w:rPr>
          <w:sz w:val="20"/>
        </w:rPr>
        <w:t>2</w:t>
      </w:r>
      <w:r w:rsidRPr="00935BCA">
        <w:rPr>
          <w:sz w:val="20"/>
        </w:rPr>
        <w:t xml:space="preserve">), </w:t>
      </w:r>
      <w:r w:rsidR="009F1301" w:rsidRPr="009F1301">
        <w:rPr>
          <w:sz w:val="20"/>
        </w:rPr>
        <w:t xml:space="preserve">Onderzoeksrapport </w:t>
      </w:r>
      <w:r w:rsidR="009F1301">
        <w:rPr>
          <w:sz w:val="20"/>
        </w:rPr>
        <w:t xml:space="preserve">- </w:t>
      </w:r>
      <w:r w:rsidR="009F1301" w:rsidRPr="009F1301">
        <w:rPr>
          <w:sz w:val="20"/>
        </w:rPr>
        <w:t>Cijfer- en profielgegevens van de Vlaamse huishoudens in budget- en / of schuldhulpverlening anno 2011</w:t>
      </w:r>
      <w:r w:rsidRPr="00935BCA">
        <w:rPr>
          <w:sz w:val="20"/>
        </w:rPr>
        <w:t>, Brussel: VCS.</w:t>
      </w:r>
    </w:p>
    <w:p w:rsidR="00AE1E2E" w:rsidRDefault="00AE1E2E" w:rsidP="005A1416">
      <w:pPr>
        <w:ind w:left="426"/>
        <w:jc w:val="both"/>
        <w:rPr>
          <w:szCs w:val="22"/>
        </w:rPr>
      </w:pPr>
    </w:p>
    <w:p w:rsidR="009F1301" w:rsidRDefault="009F1301" w:rsidP="005A1416">
      <w:pPr>
        <w:ind w:left="426"/>
        <w:jc w:val="both"/>
        <w:rPr>
          <w:szCs w:val="22"/>
        </w:rPr>
      </w:pPr>
      <w:r>
        <w:rPr>
          <w:szCs w:val="22"/>
        </w:rPr>
        <w:t xml:space="preserve">Opmerking: in de cijfers voor het Brussels Hoofdstedelijk Gewest gaat het enkel om de dossiers van het CAW Archipel. De Brusselse </w:t>
      </w:r>
      <w:proofErr w:type="spellStart"/>
      <w:r>
        <w:rPr>
          <w:szCs w:val="22"/>
        </w:rPr>
        <w:t>OCMW’s</w:t>
      </w:r>
      <w:proofErr w:type="spellEnd"/>
      <w:r>
        <w:rPr>
          <w:szCs w:val="22"/>
        </w:rPr>
        <w:t xml:space="preserve"> worden niet erkend door Vlaanderen en zijn niet gevat in deze registratie. </w:t>
      </w:r>
    </w:p>
    <w:p w:rsidR="00AE1E2E" w:rsidRPr="00AE1E2E" w:rsidRDefault="00AE1E2E" w:rsidP="005A1416">
      <w:pPr>
        <w:jc w:val="both"/>
        <w:rPr>
          <w:szCs w:val="22"/>
        </w:rPr>
      </w:pPr>
    </w:p>
    <w:p w:rsidR="00144657" w:rsidRPr="005A1416" w:rsidRDefault="00AE1E2E" w:rsidP="00C55A6D">
      <w:pPr>
        <w:pStyle w:val="Lijstalinea"/>
        <w:numPr>
          <w:ilvl w:val="0"/>
          <w:numId w:val="18"/>
        </w:numPr>
        <w:ind w:left="426" w:hanging="426"/>
        <w:jc w:val="both"/>
        <w:rPr>
          <w:szCs w:val="22"/>
        </w:rPr>
      </w:pPr>
      <w:r w:rsidRPr="005A1416">
        <w:rPr>
          <w:szCs w:val="22"/>
        </w:rPr>
        <w:t xml:space="preserve">In </w:t>
      </w:r>
      <w:r w:rsidR="00144657" w:rsidRPr="005A1416">
        <w:rPr>
          <w:szCs w:val="22"/>
        </w:rPr>
        <w:t>2011 gaven 85 instellingen (26%) aan met een wachttijd te werken. Zestig van deze instellingen gaven ook een gemiddelde wachttijd door</w:t>
      </w:r>
      <w:r w:rsidR="00C371E0" w:rsidRPr="005A1416">
        <w:rPr>
          <w:szCs w:val="22"/>
        </w:rPr>
        <w:t>. D</w:t>
      </w:r>
      <w:r w:rsidR="00144657" w:rsidRPr="005A1416">
        <w:rPr>
          <w:szCs w:val="22"/>
        </w:rPr>
        <w:t>e wachttijd bedr</w:t>
      </w:r>
      <w:r w:rsidR="006C2CFB" w:rsidRPr="005A1416">
        <w:rPr>
          <w:szCs w:val="22"/>
        </w:rPr>
        <w:t>oe</w:t>
      </w:r>
      <w:r w:rsidR="00144657" w:rsidRPr="005A1416">
        <w:rPr>
          <w:szCs w:val="22"/>
        </w:rPr>
        <w:t xml:space="preserve">g </w:t>
      </w:r>
      <w:r w:rsidR="00DA77CD" w:rsidRPr="005A1416">
        <w:rPr>
          <w:szCs w:val="22"/>
        </w:rPr>
        <w:t xml:space="preserve">bij hen </w:t>
      </w:r>
      <w:r w:rsidR="00144657" w:rsidRPr="005A1416">
        <w:rPr>
          <w:szCs w:val="22"/>
        </w:rPr>
        <w:t>gemiddeld 3 maanden, en varieert tussen de 0 en de 15 maanden.</w:t>
      </w:r>
    </w:p>
    <w:p w:rsidR="00144657" w:rsidRDefault="00144657" w:rsidP="005A1416">
      <w:pPr>
        <w:jc w:val="both"/>
        <w:rPr>
          <w:szCs w:val="22"/>
        </w:rPr>
      </w:pPr>
    </w:p>
    <w:p w:rsidR="003240BB" w:rsidRDefault="003240BB" w:rsidP="00C55A6D">
      <w:pPr>
        <w:pStyle w:val="StandaardSV"/>
        <w:numPr>
          <w:ilvl w:val="0"/>
          <w:numId w:val="18"/>
        </w:numPr>
        <w:ind w:left="426" w:hanging="426"/>
      </w:pPr>
      <w:r>
        <w:t>Naast</w:t>
      </w:r>
      <w:bookmarkStart w:id="6" w:name="_GoBack"/>
      <w:bookmarkEnd w:id="6"/>
      <w:r>
        <w:t xml:space="preserve"> de algemene werkingsmiddelen </w:t>
      </w:r>
      <w:r w:rsidR="006C2CFB">
        <w:t>waarover</w:t>
      </w:r>
      <w:r>
        <w:t xml:space="preserve"> de CAW en de OCMW </w:t>
      </w:r>
      <w:r w:rsidR="006C2CFB">
        <w:t xml:space="preserve">beschikken, </w:t>
      </w:r>
      <w:r>
        <w:t>worden de volgende projectmiddelen specifiek voor samenwerkingsverbanden schuldhulpverlening ter beschikking gesteld:</w:t>
      </w:r>
    </w:p>
    <w:p w:rsidR="009D10D4" w:rsidRDefault="009D10D4" w:rsidP="005A1416">
      <w:pPr>
        <w:pStyle w:val="StandaardSV"/>
      </w:pPr>
    </w:p>
    <w:tbl>
      <w:tblPr>
        <w:tblStyle w:val="Tabelraster"/>
        <w:tblW w:w="0" w:type="auto"/>
        <w:tblInd w:w="542" w:type="dxa"/>
        <w:tblLook w:val="04A0" w:firstRow="1" w:lastRow="0" w:firstColumn="1" w:lastColumn="0" w:noHBand="0" w:noVBand="1"/>
      </w:tblPr>
      <w:tblGrid>
        <w:gridCol w:w="3402"/>
        <w:gridCol w:w="2552"/>
      </w:tblGrid>
      <w:tr w:rsidR="003240BB" w:rsidTr="005A1416">
        <w:tc>
          <w:tcPr>
            <w:tcW w:w="3402" w:type="dxa"/>
          </w:tcPr>
          <w:p w:rsidR="003240BB" w:rsidRDefault="003240BB" w:rsidP="005A1416">
            <w:pPr>
              <w:pStyle w:val="StandaardSV"/>
            </w:pPr>
            <w:r>
              <w:lastRenderedPageBreak/>
              <w:t>Periode</w:t>
            </w:r>
          </w:p>
        </w:tc>
        <w:tc>
          <w:tcPr>
            <w:tcW w:w="2552" w:type="dxa"/>
          </w:tcPr>
          <w:p w:rsidR="003240BB" w:rsidRDefault="003240BB" w:rsidP="005A1416">
            <w:pPr>
              <w:pStyle w:val="StandaardSV"/>
            </w:pPr>
            <w:r>
              <w:t>Bedrag</w:t>
            </w:r>
          </w:p>
        </w:tc>
      </w:tr>
      <w:tr w:rsidR="003240BB" w:rsidTr="005A1416">
        <w:tc>
          <w:tcPr>
            <w:tcW w:w="3402" w:type="dxa"/>
          </w:tcPr>
          <w:p w:rsidR="003240BB" w:rsidRDefault="003240BB" w:rsidP="005A1416">
            <w:pPr>
              <w:pStyle w:val="StandaardSV"/>
            </w:pPr>
            <w:r>
              <w:t>15/12/2011 - 14/06/2012</w:t>
            </w:r>
          </w:p>
        </w:tc>
        <w:tc>
          <w:tcPr>
            <w:tcW w:w="2552" w:type="dxa"/>
          </w:tcPr>
          <w:p w:rsidR="003240BB" w:rsidRDefault="003240BB" w:rsidP="005A1416">
            <w:pPr>
              <w:pStyle w:val="StandaardSV"/>
            </w:pPr>
            <w:r>
              <w:t>500.000 euro</w:t>
            </w:r>
          </w:p>
        </w:tc>
      </w:tr>
      <w:tr w:rsidR="003240BB" w:rsidTr="005A1416">
        <w:tc>
          <w:tcPr>
            <w:tcW w:w="3402" w:type="dxa"/>
          </w:tcPr>
          <w:p w:rsidR="003240BB" w:rsidRDefault="003240BB" w:rsidP="005A1416">
            <w:pPr>
              <w:pStyle w:val="StandaardSV"/>
            </w:pPr>
            <w:r>
              <w:t>15/6/2012 – 31/12/2012</w:t>
            </w:r>
          </w:p>
        </w:tc>
        <w:tc>
          <w:tcPr>
            <w:tcW w:w="2552" w:type="dxa"/>
          </w:tcPr>
          <w:p w:rsidR="003240BB" w:rsidRDefault="003240BB" w:rsidP="005A1416">
            <w:pPr>
              <w:pStyle w:val="StandaardSV"/>
            </w:pPr>
            <w:r>
              <w:t>677.083 euro</w:t>
            </w:r>
          </w:p>
        </w:tc>
      </w:tr>
      <w:tr w:rsidR="003240BB" w:rsidTr="005A1416">
        <w:tc>
          <w:tcPr>
            <w:tcW w:w="3402" w:type="dxa"/>
          </w:tcPr>
          <w:p w:rsidR="003240BB" w:rsidRDefault="003240BB" w:rsidP="005A1416">
            <w:pPr>
              <w:pStyle w:val="StandaardSV"/>
            </w:pPr>
            <w:r>
              <w:t>1/1/2013 – 31/12/2013</w:t>
            </w:r>
          </w:p>
        </w:tc>
        <w:tc>
          <w:tcPr>
            <w:tcW w:w="2552" w:type="dxa"/>
          </w:tcPr>
          <w:p w:rsidR="003240BB" w:rsidRDefault="003240BB" w:rsidP="005A1416">
            <w:pPr>
              <w:pStyle w:val="StandaardSV"/>
            </w:pPr>
            <w:r>
              <w:t>1.250.000 euro</w:t>
            </w:r>
          </w:p>
        </w:tc>
      </w:tr>
    </w:tbl>
    <w:p w:rsidR="003240BB" w:rsidRDefault="003240BB" w:rsidP="005A1416">
      <w:pPr>
        <w:pStyle w:val="StandaardSV"/>
      </w:pPr>
    </w:p>
    <w:p w:rsidR="003240BB" w:rsidRDefault="003240BB" w:rsidP="005A1416">
      <w:pPr>
        <w:pStyle w:val="StandaardSV"/>
        <w:ind w:left="426"/>
      </w:pPr>
      <w:r>
        <w:t xml:space="preserve">De samenwerkingsverbanden </w:t>
      </w:r>
      <w:r w:rsidR="009D10D4">
        <w:t xml:space="preserve">dekken Vlaanderen en Brussel volledig af en </w:t>
      </w:r>
      <w:r>
        <w:t>hebben tot doel de kwaliteit en de toegankelijkheid van schuldhulpverlening te verhogen evenals de diensten te ondersteunen bij preventie</w:t>
      </w:r>
      <w:r w:rsidR="006C2CFB">
        <w:t xml:space="preserve"> van schuldenlast</w:t>
      </w:r>
      <w:r>
        <w:t xml:space="preserve"> en nazorg</w:t>
      </w:r>
      <w:r w:rsidR="006C2CFB">
        <w:t xml:space="preserve"> in het kader van schuldhulpverlening</w:t>
      </w:r>
      <w:r>
        <w:t>.</w:t>
      </w:r>
    </w:p>
    <w:p w:rsidR="003240BB" w:rsidRDefault="003240BB" w:rsidP="005A1416">
      <w:pPr>
        <w:pStyle w:val="StandaardSV"/>
        <w:ind w:left="426"/>
        <w:rPr>
          <w:szCs w:val="22"/>
        </w:rPr>
      </w:pPr>
      <w:r>
        <w:t>Momenteel wordt de structurele verankering van deze projectmiddelen voorbereid.</w:t>
      </w:r>
    </w:p>
    <w:sectPr w:rsidR="003240BB"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FA" w:rsidRDefault="006B54FA">
      <w:r>
        <w:separator/>
      </w:r>
    </w:p>
  </w:endnote>
  <w:endnote w:type="continuationSeparator" w:id="0">
    <w:p w:rsidR="006B54FA" w:rsidRDefault="006B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FA" w:rsidRDefault="006B54FA">
      <w:r>
        <w:separator/>
      </w:r>
    </w:p>
  </w:footnote>
  <w:footnote w:type="continuationSeparator" w:id="0">
    <w:p w:rsidR="006B54FA" w:rsidRDefault="006B5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40462F0"/>
    <w:multiLevelType w:val="hybridMultilevel"/>
    <w:tmpl w:val="A36E51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2BF34DE0"/>
    <w:multiLevelType w:val="hybridMultilevel"/>
    <w:tmpl w:val="562685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1"/>
  </w:num>
  <w:num w:numId="4">
    <w:abstractNumId w:val="3"/>
  </w:num>
  <w:num w:numId="5">
    <w:abstractNumId w:val="16"/>
  </w:num>
  <w:num w:numId="6">
    <w:abstractNumId w:val="15"/>
  </w:num>
  <w:num w:numId="7">
    <w:abstractNumId w:val="0"/>
  </w:num>
  <w:num w:numId="8">
    <w:abstractNumId w:val="2"/>
  </w:num>
  <w:num w:numId="9">
    <w:abstractNumId w:val="14"/>
  </w:num>
  <w:num w:numId="10">
    <w:abstractNumId w:val="9"/>
  </w:num>
  <w:num w:numId="11">
    <w:abstractNumId w:val="12"/>
  </w:num>
  <w:num w:numId="12">
    <w:abstractNumId w:val="8"/>
  </w:num>
  <w:num w:numId="13">
    <w:abstractNumId w:val="6"/>
  </w:num>
  <w:num w:numId="14">
    <w:abstractNumId w:val="10"/>
  </w:num>
  <w:num w:numId="15">
    <w:abstractNumId w:val="7"/>
  </w:num>
  <w:num w:numId="16">
    <w:abstractNumId w:val="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EC"/>
    <w:rsid w:val="00017A38"/>
    <w:rsid w:val="0002649B"/>
    <w:rsid w:val="000402DE"/>
    <w:rsid w:val="00050DEC"/>
    <w:rsid w:val="00084366"/>
    <w:rsid w:val="0009102B"/>
    <w:rsid w:val="000976E9"/>
    <w:rsid w:val="000B43B3"/>
    <w:rsid w:val="000C4E8C"/>
    <w:rsid w:val="000C7C6C"/>
    <w:rsid w:val="000F3532"/>
    <w:rsid w:val="000F5552"/>
    <w:rsid w:val="00101681"/>
    <w:rsid w:val="00126CC3"/>
    <w:rsid w:val="00144657"/>
    <w:rsid w:val="00174411"/>
    <w:rsid w:val="001A654E"/>
    <w:rsid w:val="001C211C"/>
    <w:rsid w:val="00210C07"/>
    <w:rsid w:val="00250C88"/>
    <w:rsid w:val="0025145A"/>
    <w:rsid w:val="00263A8F"/>
    <w:rsid w:val="002648D4"/>
    <w:rsid w:val="002812CD"/>
    <w:rsid w:val="00291F05"/>
    <w:rsid w:val="002A27A5"/>
    <w:rsid w:val="00316596"/>
    <w:rsid w:val="003240BB"/>
    <w:rsid w:val="00326A58"/>
    <w:rsid w:val="00340BDC"/>
    <w:rsid w:val="00355B81"/>
    <w:rsid w:val="00394054"/>
    <w:rsid w:val="003B45FE"/>
    <w:rsid w:val="003D7B9E"/>
    <w:rsid w:val="003F5ED2"/>
    <w:rsid w:val="004037CA"/>
    <w:rsid w:val="00403E9A"/>
    <w:rsid w:val="00421318"/>
    <w:rsid w:val="00422BB7"/>
    <w:rsid w:val="004337D3"/>
    <w:rsid w:val="00451B61"/>
    <w:rsid w:val="004545D6"/>
    <w:rsid w:val="004777FD"/>
    <w:rsid w:val="004C554A"/>
    <w:rsid w:val="004D00C7"/>
    <w:rsid w:val="004E6F83"/>
    <w:rsid w:val="0050163F"/>
    <w:rsid w:val="00526536"/>
    <w:rsid w:val="00572762"/>
    <w:rsid w:val="005A1416"/>
    <w:rsid w:val="005A5E23"/>
    <w:rsid w:val="005C4E46"/>
    <w:rsid w:val="005E38CA"/>
    <w:rsid w:val="005F09EF"/>
    <w:rsid w:val="006454B2"/>
    <w:rsid w:val="006563FB"/>
    <w:rsid w:val="006640D2"/>
    <w:rsid w:val="006717AF"/>
    <w:rsid w:val="0067306B"/>
    <w:rsid w:val="00695170"/>
    <w:rsid w:val="006B3EE5"/>
    <w:rsid w:val="006B54FA"/>
    <w:rsid w:val="006B7A39"/>
    <w:rsid w:val="006C2CFB"/>
    <w:rsid w:val="006E223F"/>
    <w:rsid w:val="00703E55"/>
    <w:rsid w:val="0071248C"/>
    <w:rsid w:val="00715E0D"/>
    <w:rsid w:val="007252C7"/>
    <w:rsid w:val="00765FE2"/>
    <w:rsid w:val="00766407"/>
    <w:rsid w:val="007902C7"/>
    <w:rsid w:val="00796356"/>
    <w:rsid w:val="007A07CF"/>
    <w:rsid w:val="007C007C"/>
    <w:rsid w:val="007F0C63"/>
    <w:rsid w:val="007F6352"/>
    <w:rsid w:val="00800EE1"/>
    <w:rsid w:val="00822F1B"/>
    <w:rsid w:val="008356C7"/>
    <w:rsid w:val="00837915"/>
    <w:rsid w:val="00864305"/>
    <w:rsid w:val="00884FA1"/>
    <w:rsid w:val="008860F8"/>
    <w:rsid w:val="00887F9E"/>
    <w:rsid w:val="008D5DB4"/>
    <w:rsid w:val="0090401E"/>
    <w:rsid w:val="00905982"/>
    <w:rsid w:val="00921BFC"/>
    <w:rsid w:val="009347E0"/>
    <w:rsid w:val="009455AD"/>
    <w:rsid w:val="00952C2D"/>
    <w:rsid w:val="00976F3C"/>
    <w:rsid w:val="00987BBD"/>
    <w:rsid w:val="009A11AA"/>
    <w:rsid w:val="009D10D4"/>
    <w:rsid w:val="009D7043"/>
    <w:rsid w:val="009F0511"/>
    <w:rsid w:val="009F1301"/>
    <w:rsid w:val="00A04E1C"/>
    <w:rsid w:val="00A22807"/>
    <w:rsid w:val="00A2736D"/>
    <w:rsid w:val="00A64695"/>
    <w:rsid w:val="00A86C48"/>
    <w:rsid w:val="00AC19C1"/>
    <w:rsid w:val="00AC4E76"/>
    <w:rsid w:val="00AE1E2E"/>
    <w:rsid w:val="00AE721D"/>
    <w:rsid w:val="00AF6BEF"/>
    <w:rsid w:val="00B14702"/>
    <w:rsid w:val="00B246FE"/>
    <w:rsid w:val="00B45EB2"/>
    <w:rsid w:val="00B55E0E"/>
    <w:rsid w:val="00B915D2"/>
    <w:rsid w:val="00BE425A"/>
    <w:rsid w:val="00BF330F"/>
    <w:rsid w:val="00C00755"/>
    <w:rsid w:val="00C17BAF"/>
    <w:rsid w:val="00C26239"/>
    <w:rsid w:val="00C371E0"/>
    <w:rsid w:val="00C55A6D"/>
    <w:rsid w:val="00C57362"/>
    <w:rsid w:val="00C70531"/>
    <w:rsid w:val="00C7570D"/>
    <w:rsid w:val="00C77630"/>
    <w:rsid w:val="00C91441"/>
    <w:rsid w:val="00C92969"/>
    <w:rsid w:val="00C95EE0"/>
    <w:rsid w:val="00CA50F3"/>
    <w:rsid w:val="00CA6539"/>
    <w:rsid w:val="00CC532C"/>
    <w:rsid w:val="00CE4D99"/>
    <w:rsid w:val="00CF7EF5"/>
    <w:rsid w:val="00D04FBF"/>
    <w:rsid w:val="00D10499"/>
    <w:rsid w:val="00D249A8"/>
    <w:rsid w:val="00D549F3"/>
    <w:rsid w:val="00D65CEC"/>
    <w:rsid w:val="00D71D99"/>
    <w:rsid w:val="00D754F2"/>
    <w:rsid w:val="00D86F22"/>
    <w:rsid w:val="00DA77CD"/>
    <w:rsid w:val="00DB41C0"/>
    <w:rsid w:val="00DC2940"/>
    <w:rsid w:val="00DC4DB6"/>
    <w:rsid w:val="00DD0684"/>
    <w:rsid w:val="00DF23EB"/>
    <w:rsid w:val="00E26FA5"/>
    <w:rsid w:val="00E55200"/>
    <w:rsid w:val="00E80CC0"/>
    <w:rsid w:val="00E85C8D"/>
    <w:rsid w:val="00EA32C7"/>
    <w:rsid w:val="00EB4635"/>
    <w:rsid w:val="00EC59DD"/>
    <w:rsid w:val="00ED4D74"/>
    <w:rsid w:val="00F262A3"/>
    <w:rsid w:val="00F608EE"/>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Char">
    <w:name w:val="Char"/>
    <w:basedOn w:val="Standaard"/>
    <w:rsid w:val="00403E9A"/>
    <w:pPr>
      <w:keepLines/>
      <w:pBdr>
        <w:top w:val="single" w:sz="4" w:space="1" w:color="auto"/>
      </w:pBdr>
      <w:spacing w:before="480"/>
      <w:jc w:val="both"/>
    </w:pPr>
    <w:rPr>
      <w:i/>
      <w:iCs/>
      <w:snapToGrid w:val="0"/>
      <w:sz w:val="24"/>
      <w:lang w:val="fr-FR" w:eastAsia="en-GB"/>
    </w:rPr>
  </w:style>
  <w:style w:type="paragraph" w:customStyle="1" w:styleId="StandaardSV">
    <w:name w:val="Standaard SV"/>
    <w:basedOn w:val="Standaard"/>
    <w:rsid w:val="00AE1E2E"/>
    <w:pPr>
      <w:jc w:val="both"/>
    </w:pPr>
    <w:rPr>
      <w:szCs w:val="20"/>
    </w:rPr>
  </w:style>
  <w:style w:type="paragraph" w:styleId="Lijstalinea">
    <w:name w:val="List Paragraph"/>
    <w:basedOn w:val="Standaard"/>
    <w:uiPriority w:val="34"/>
    <w:qFormat/>
    <w:rsid w:val="005A1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Char">
    <w:name w:val="Char"/>
    <w:basedOn w:val="Standaard"/>
    <w:rsid w:val="00403E9A"/>
    <w:pPr>
      <w:keepLines/>
      <w:pBdr>
        <w:top w:val="single" w:sz="4" w:space="1" w:color="auto"/>
      </w:pBdr>
      <w:spacing w:before="480"/>
      <w:jc w:val="both"/>
    </w:pPr>
    <w:rPr>
      <w:i/>
      <w:iCs/>
      <w:snapToGrid w:val="0"/>
      <w:sz w:val="24"/>
      <w:lang w:val="fr-FR" w:eastAsia="en-GB"/>
    </w:rPr>
  </w:style>
  <w:style w:type="paragraph" w:customStyle="1" w:styleId="StandaardSV">
    <w:name w:val="Standaard SV"/>
    <w:basedOn w:val="Standaard"/>
    <w:rsid w:val="00AE1E2E"/>
    <w:pPr>
      <w:jc w:val="both"/>
    </w:pPr>
    <w:rPr>
      <w:szCs w:val="20"/>
    </w:rPr>
  </w:style>
  <w:style w:type="paragraph" w:styleId="Lijstalinea">
    <w:name w:val="List Paragraph"/>
    <w:basedOn w:val="Standaard"/>
    <w:uiPriority w:val="34"/>
    <w:qFormat/>
    <w:rsid w:val="005A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2</TotalTime>
  <Pages>2</Pages>
  <Words>402</Words>
  <Characters>2601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lastModifiedBy>Nathalie De Keyzer</cp:lastModifiedBy>
  <cp:revision>3</cp:revision>
  <cp:lastPrinted>2013-03-21T17:16:00Z</cp:lastPrinted>
  <dcterms:created xsi:type="dcterms:W3CDTF">2013-03-21T17:18:00Z</dcterms:created>
  <dcterms:modified xsi:type="dcterms:W3CDTF">2013-03-27T14:36:00Z</dcterms:modified>
</cp:coreProperties>
</file>