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45C10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4333CE">
        <w:rPr>
          <w:b w:val="0"/>
        </w:rPr>
        <w:t>300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4333CE">
        <w:rPr>
          <w:b w:val="0"/>
        </w:rPr>
        <w:t>28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4333CE">
        <w:rPr>
          <w:rStyle w:val="AntwoordNaamMinisterChar"/>
        </w:rPr>
        <w:t>els robeyns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4958" w:rsidRPr="004333CE" w:rsidRDefault="00904958" w:rsidP="00904958">
      <w:pPr>
        <w:pStyle w:val="Lijstalinea"/>
        <w:numPr>
          <w:ilvl w:val="0"/>
          <w:numId w:val="19"/>
        </w:numPr>
        <w:ind w:left="426" w:hanging="426"/>
        <w:contextualSpacing/>
        <w:jc w:val="both"/>
        <w:rPr>
          <w:szCs w:val="22"/>
        </w:rPr>
      </w:pPr>
      <w:r w:rsidRPr="004333CE">
        <w:rPr>
          <w:szCs w:val="22"/>
        </w:rPr>
        <w:lastRenderedPageBreak/>
        <w:t>De doorlooptijden betreffen het tijdsverloop tussen de datum van ontvankelijkheid en het verlenen van een principieel akkoord (alternatieve procedure: besluit van de Vlaamse regering van 1/9/2006 tot regeling van de alternatieve investeringssubsidies) of van een subsidiebelofte (klassiek procedure: besluit van de Vlaamse regering van 8/6/1999 houdende de procedureregels inzake de infrastructuur voor persoonsgebonden aangelegenheden).</w:t>
      </w:r>
    </w:p>
    <w:p w:rsidR="00904958" w:rsidRPr="004333CE" w:rsidRDefault="00904958" w:rsidP="00904958">
      <w:pPr>
        <w:pStyle w:val="Lijstalinea"/>
        <w:ind w:left="426"/>
        <w:contextualSpacing/>
        <w:jc w:val="both"/>
        <w:rPr>
          <w:szCs w:val="22"/>
        </w:rPr>
      </w:pPr>
      <w:r w:rsidRPr="004333CE">
        <w:rPr>
          <w:szCs w:val="22"/>
        </w:rPr>
        <w:t>Ontvankelijkheid houdt in dat de aanvraag voldoet aan de formele, reglementair bepaalde, vereisten.</w:t>
      </w:r>
    </w:p>
    <w:p w:rsidR="00904958" w:rsidRPr="004333CE" w:rsidRDefault="00904958" w:rsidP="00904958">
      <w:pPr>
        <w:pStyle w:val="Lijstalinea"/>
        <w:ind w:left="426" w:hanging="426"/>
        <w:jc w:val="both"/>
        <w:rPr>
          <w:szCs w:val="22"/>
        </w:rPr>
      </w:pPr>
    </w:p>
    <w:p w:rsidR="00904958" w:rsidRPr="004333CE" w:rsidRDefault="00904958" w:rsidP="00904958">
      <w:pPr>
        <w:pStyle w:val="Lijstalinea"/>
        <w:ind w:left="426"/>
        <w:jc w:val="both"/>
        <w:rPr>
          <w:szCs w:val="22"/>
        </w:rPr>
      </w:pPr>
      <w:r w:rsidRPr="004333CE">
        <w:rPr>
          <w:szCs w:val="22"/>
        </w:rPr>
        <w:t>Voor de alternatieve procedure bedraagt de gemiddelde doorlooptijd  363 dagen.</w:t>
      </w:r>
    </w:p>
    <w:p w:rsidR="00904958" w:rsidRPr="004333CE" w:rsidRDefault="00904958" w:rsidP="00904958">
      <w:pPr>
        <w:pStyle w:val="Lijstalinea"/>
        <w:ind w:left="426"/>
        <w:jc w:val="both"/>
        <w:rPr>
          <w:color w:val="1F497D"/>
          <w:szCs w:val="22"/>
        </w:rPr>
      </w:pPr>
      <w:r w:rsidRPr="004333CE">
        <w:rPr>
          <w:szCs w:val="22"/>
        </w:rPr>
        <w:t>Voor de klassieke procedure  de gemiddelde doorlooptijd 146 dagen.</w:t>
      </w:r>
    </w:p>
    <w:p w:rsidR="00904958" w:rsidRPr="004333CE" w:rsidRDefault="00904958" w:rsidP="00904958">
      <w:pPr>
        <w:pStyle w:val="Lijstalinea"/>
        <w:ind w:left="426" w:hanging="426"/>
        <w:jc w:val="both"/>
        <w:rPr>
          <w:szCs w:val="22"/>
        </w:rPr>
      </w:pPr>
    </w:p>
    <w:p w:rsidR="00904958" w:rsidRPr="004333CE" w:rsidRDefault="00904958" w:rsidP="00904958">
      <w:pPr>
        <w:pStyle w:val="Lijstalinea"/>
        <w:numPr>
          <w:ilvl w:val="0"/>
          <w:numId w:val="19"/>
        </w:numPr>
        <w:ind w:left="426" w:hanging="426"/>
        <w:contextualSpacing/>
        <w:jc w:val="both"/>
        <w:rPr>
          <w:szCs w:val="22"/>
        </w:rPr>
      </w:pPr>
      <w:r w:rsidRPr="004333CE">
        <w:rPr>
          <w:szCs w:val="22"/>
        </w:rPr>
        <w:t xml:space="preserve">Voor de alternatieve procedure: 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tabs>
          <w:tab w:val="clear" w:pos="1440"/>
        </w:tabs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Antwerpen bedraagt 263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tabs>
          <w:tab w:val="clear" w:pos="1440"/>
        </w:tabs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Limburg bedraagt 357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tabs>
          <w:tab w:val="clear" w:pos="1440"/>
        </w:tabs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Oost Vlaanderen bedraagt 405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tabs>
          <w:tab w:val="clear" w:pos="1440"/>
        </w:tabs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West Vlaanderen bedraagt 420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tabs>
          <w:tab w:val="clear" w:pos="1440"/>
        </w:tabs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Vlaams Brabant bedraagt 358 dagen.</w:t>
      </w:r>
    </w:p>
    <w:p w:rsidR="00904958" w:rsidRPr="004333CE" w:rsidRDefault="00904958" w:rsidP="00904958">
      <w:pPr>
        <w:pStyle w:val="Lijstalinea"/>
        <w:ind w:left="426" w:hanging="426"/>
        <w:jc w:val="both"/>
        <w:rPr>
          <w:szCs w:val="22"/>
        </w:rPr>
      </w:pPr>
    </w:p>
    <w:p w:rsidR="00904958" w:rsidRPr="004333CE" w:rsidRDefault="00904958" w:rsidP="00904958">
      <w:pPr>
        <w:pStyle w:val="Lijstalinea"/>
        <w:ind w:left="426"/>
        <w:jc w:val="both"/>
        <w:rPr>
          <w:szCs w:val="22"/>
        </w:rPr>
      </w:pPr>
      <w:r w:rsidRPr="004333CE">
        <w:rPr>
          <w:szCs w:val="22"/>
        </w:rPr>
        <w:t>Voor de klassieke procedure;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Antwerpen bedraagt 96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Limburg bedraagt 157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Oost Vlaanderen bedraagt 152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West Vlaanderen bedraagt 209 dagen;</w:t>
      </w:r>
    </w:p>
    <w:p w:rsidR="00904958" w:rsidRPr="004333CE" w:rsidRDefault="00904958" w:rsidP="00904958">
      <w:pPr>
        <w:pStyle w:val="Lijstalinea"/>
        <w:numPr>
          <w:ilvl w:val="1"/>
          <w:numId w:val="19"/>
        </w:numPr>
        <w:ind w:left="851" w:hanging="426"/>
        <w:contextualSpacing/>
        <w:jc w:val="both"/>
        <w:rPr>
          <w:szCs w:val="22"/>
        </w:rPr>
      </w:pPr>
      <w:r w:rsidRPr="004333CE">
        <w:rPr>
          <w:szCs w:val="22"/>
        </w:rPr>
        <w:t>de gemiddelde doorlooptijd voor dossiers uit Vlaams Brabant bedraagt 125 dagen;</w:t>
      </w:r>
    </w:p>
    <w:p w:rsidR="00904958" w:rsidRPr="004333CE" w:rsidRDefault="00904958" w:rsidP="00AD5BBB">
      <w:pPr>
        <w:pStyle w:val="Lijstalinea"/>
        <w:numPr>
          <w:ilvl w:val="0"/>
          <w:numId w:val="19"/>
        </w:numPr>
        <w:ind w:left="426" w:hanging="426"/>
        <w:contextualSpacing/>
        <w:jc w:val="both"/>
        <w:rPr>
          <w:szCs w:val="22"/>
        </w:rPr>
      </w:pPr>
      <w:r w:rsidRPr="004333CE">
        <w:rPr>
          <w:szCs w:val="22"/>
        </w:rPr>
        <w:t>zie rekenbladen als bijlage.</w:t>
      </w:r>
    </w:p>
    <w:p w:rsidR="00904958" w:rsidRPr="004333CE" w:rsidRDefault="00904958" w:rsidP="00904958">
      <w:pPr>
        <w:pStyle w:val="Lijstalinea"/>
        <w:ind w:left="426" w:hanging="426"/>
        <w:jc w:val="both"/>
        <w:rPr>
          <w:szCs w:val="22"/>
        </w:rPr>
      </w:pPr>
    </w:p>
    <w:p w:rsidR="00904958" w:rsidRPr="004333CE" w:rsidRDefault="00904958" w:rsidP="00904958">
      <w:pPr>
        <w:pStyle w:val="Lijstalinea"/>
        <w:numPr>
          <w:ilvl w:val="0"/>
          <w:numId w:val="19"/>
        </w:numPr>
        <w:ind w:left="426" w:hanging="426"/>
        <w:contextualSpacing/>
        <w:jc w:val="both"/>
        <w:rPr>
          <w:szCs w:val="22"/>
        </w:rPr>
      </w:pPr>
      <w:r w:rsidRPr="004333CE">
        <w:rPr>
          <w:szCs w:val="22"/>
        </w:rPr>
        <w:t>Zie rekenbladen als bijlage</w:t>
      </w:r>
    </w:p>
    <w:p w:rsidR="00904958" w:rsidRPr="004333CE" w:rsidRDefault="00904958" w:rsidP="00904958">
      <w:pPr>
        <w:pStyle w:val="Lijstalinea"/>
        <w:ind w:left="426"/>
        <w:jc w:val="both"/>
        <w:rPr>
          <w:szCs w:val="22"/>
        </w:rPr>
      </w:pPr>
      <w:r w:rsidRPr="004333CE">
        <w:rPr>
          <w:szCs w:val="22"/>
        </w:rPr>
        <w:t xml:space="preserve">Alternatieve procedure: </w:t>
      </w:r>
    </w:p>
    <w:p w:rsidR="00904958" w:rsidRPr="004333CE" w:rsidRDefault="00904958" w:rsidP="00904958">
      <w:pPr>
        <w:pStyle w:val="Lijstalinea"/>
        <w:ind w:left="426"/>
        <w:jc w:val="both"/>
        <w:rPr>
          <w:szCs w:val="22"/>
        </w:rPr>
      </w:pPr>
      <w:r w:rsidRPr="004333CE">
        <w:rPr>
          <w:szCs w:val="22"/>
        </w:rPr>
        <w:t>41 aanvragen doorlopen de procedure voor de goedkeuring van een principieel akkoord.</w:t>
      </w:r>
    </w:p>
    <w:p w:rsidR="00904958" w:rsidRPr="004333CE" w:rsidRDefault="00904958" w:rsidP="00904958">
      <w:pPr>
        <w:pStyle w:val="Lijstalinea"/>
        <w:ind w:left="426"/>
        <w:jc w:val="both"/>
        <w:rPr>
          <w:szCs w:val="22"/>
        </w:rPr>
      </w:pPr>
      <w:r w:rsidRPr="004333CE">
        <w:rPr>
          <w:szCs w:val="22"/>
        </w:rPr>
        <w:t xml:space="preserve">Klassieke procedure: </w:t>
      </w:r>
    </w:p>
    <w:p w:rsidR="00904958" w:rsidRPr="004333CE" w:rsidRDefault="00904958" w:rsidP="00904958">
      <w:pPr>
        <w:pStyle w:val="Lijstalinea"/>
        <w:ind w:left="426"/>
        <w:jc w:val="both"/>
        <w:rPr>
          <w:szCs w:val="22"/>
        </w:rPr>
      </w:pPr>
      <w:r w:rsidRPr="004333CE">
        <w:rPr>
          <w:szCs w:val="22"/>
        </w:rPr>
        <w:t>15 lopende aanvragen in de procedure voor goedkeuring voor een subsidiebelofte.</w:t>
      </w:r>
      <w:r w:rsidR="00AD5BBB">
        <w:rPr>
          <w:szCs w:val="22"/>
        </w:rPr>
        <w:tab/>
      </w:r>
      <w:r w:rsidRPr="004333CE">
        <w:rPr>
          <w:szCs w:val="22"/>
        </w:rPr>
        <w:br/>
      </w:r>
    </w:p>
    <w:p w:rsidR="00904958" w:rsidRPr="004333CE" w:rsidRDefault="00904958" w:rsidP="00904958">
      <w:pPr>
        <w:pStyle w:val="Lijstalinea"/>
        <w:numPr>
          <w:ilvl w:val="0"/>
          <w:numId w:val="19"/>
        </w:numPr>
        <w:ind w:left="426" w:hanging="426"/>
        <w:contextualSpacing/>
        <w:jc w:val="both"/>
        <w:rPr>
          <w:szCs w:val="22"/>
        </w:rPr>
      </w:pPr>
      <w:r w:rsidRPr="004333CE">
        <w:rPr>
          <w:szCs w:val="22"/>
        </w:rPr>
        <w:t xml:space="preserve">Voor de alternatieve procedure vindt u de som van de bedragen van de verleende principieel akkoorden met betrekking tot de aanvragen na 1/1/2010. Voor de gewijzigde principieel akkoorden werd het aangepaste totale bedrag in rekening gebracht. </w:t>
      </w:r>
      <w:r w:rsidRPr="004333CE">
        <w:rPr>
          <w:szCs w:val="22"/>
          <w:u w:val="single"/>
        </w:rPr>
        <w:t>De effectieve aanrekening op de begroting gebeurt in de alternatieve procedure echter pas op het ogenblik van de betaling van de gebruikstoelagen</w:t>
      </w:r>
      <w:r w:rsidRPr="004333CE">
        <w:rPr>
          <w:szCs w:val="22"/>
        </w:rPr>
        <w:t>.</w:t>
      </w:r>
    </w:p>
    <w:p w:rsidR="00904958" w:rsidRPr="004333CE" w:rsidRDefault="00904958" w:rsidP="00904958">
      <w:pPr>
        <w:pStyle w:val="Lijstalinea"/>
        <w:ind w:left="426" w:hanging="426"/>
        <w:jc w:val="both"/>
        <w:rPr>
          <w:szCs w:val="22"/>
        </w:rPr>
      </w:pPr>
    </w:p>
    <w:p w:rsidR="00904958" w:rsidRDefault="00904958" w:rsidP="00904958">
      <w:pPr>
        <w:pStyle w:val="Lijstalinea"/>
        <w:ind w:left="426"/>
        <w:jc w:val="both"/>
        <w:rPr>
          <w:szCs w:val="22"/>
        </w:rPr>
      </w:pPr>
      <w:r w:rsidRPr="004333CE">
        <w:rPr>
          <w:szCs w:val="22"/>
        </w:rPr>
        <w:t xml:space="preserve">Voor de klassieke procedure vindt u de som van de bedragen van de verleende subsidiebeloften met betrekking tot de aanvragen na 1/1/2010. Aanvullende subsidiebeloftes waarvan de initiële belofte dateert van voor 2010 zijn niet in rekening gebracht. </w:t>
      </w:r>
    </w:p>
    <w:p w:rsidR="004333CE" w:rsidRDefault="004333CE" w:rsidP="00904958">
      <w:pPr>
        <w:pStyle w:val="Lijstalinea"/>
        <w:ind w:left="426"/>
        <w:jc w:val="both"/>
        <w:rPr>
          <w:szCs w:val="22"/>
        </w:rPr>
      </w:pPr>
    </w:p>
    <w:p w:rsidR="004333CE" w:rsidRDefault="004333CE" w:rsidP="00904958">
      <w:pPr>
        <w:pStyle w:val="Lijstalinea"/>
        <w:ind w:left="426"/>
        <w:jc w:val="both"/>
        <w:rPr>
          <w:szCs w:val="22"/>
        </w:rPr>
      </w:pPr>
    </w:p>
    <w:p w:rsidR="004333CE" w:rsidRPr="004333CE" w:rsidRDefault="004333CE" w:rsidP="00904958">
      <w:pPr>
        <w:pStyle w:val="Lijstalinea"/>
        <w:ind w:left="426"/>
        <w:jc w:val="both"/>
        <w:rPr>
          <w:szCs w:val="22"/>
        </w:rPr>
      </w:pPr>
    </w:p>
    <w:p w:rsidR="00904958" w:rsidRPr="004333CE" w:rsidRDefault="00904958" w:rsidP="00904958">
      <w:pPr>
        <w:pStyle w:val="Lijstalinea"/>
        <w:ind w:left="426" w:hanging="426"/>
        <w:jc w:val="both"/>
        <w:rPr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838"/>
        <w:gridCol w:w="2884"/>
      </w:tblGrid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lastRenderedPageBreak/>
              <w:t xml:space="preserve">Alternatieve procedure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Limburg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63.112.271,68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Antwerpen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109.482.806,97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Vlaams Brabant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56.186.394,57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Oost Vlaanderen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106.920.593,07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West Vlaanderen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108.941.928,38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 xml:space="preserve">Klassieke procedure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Limburg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ind w:left="426" w:hanging="426"/>
              <w:jc w:val="both"/>
              <w:rPr>
                <w:szCs w:val="22"/>
                <w:lang w:eastAsia="en-US"/>
              </w:rPr>
            </w:pPr>
            <w:r w:rsidRPr="004333CE">
              <w:rPr>
                <w:szCs w:val="22"/>
                <w:lang w:eastAsia="en-US"/>
              </w:rPr>
              <w:t>9.107.982,19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Antwerpen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25.218.155,81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Vlaams Brabant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23.566.596,75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Oost Vlaanderen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18.172.458,86</w:t>
            </w:r>
          </w:p>
        </w:tc>
      </w:tr>
      <w:tr w:rsidR="00904958" w:rsidRPr="004333CE" w:rsidTr="00563D77"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West Vlaanderen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58" w:rsidRPr="004333CE" w:rsidRDefault="00904958" w:rsidP="00904958">
            <w:pPr>
              <w:pStyle w:val="Lijstalinea"/>
              <w:ind w:left="426" w:hanging="426"/>
              <w:jc w:val="both"/>
              <w:rPr>
                <w:szCs w:val="22"/>
              </w:rPr>
            </w:pPr>
            <w:r w:rsidRPr="004333CE">
              <w:rPr>
                <w:szCs w:val="22"/>
              </w:rPr>
              <w:t>13.449.685,20</w:t>
            </w:r>
          </w:p>
        </w:tc>
      </w:tr>
    </w:tbl>
    <w:p w:rsidR="00904958" w:rsidRDefault="00904958" w:rsidP="00904958">
      <w:pPr>
        <w:pStyle w:val="Lijstalinea"/>
        <w:ind w:left="426" w:hanging="426"/>
        <w:jc w:val="both"/>
        <w:rPr>
          <w:szCs w:val="22"/>
        </w:rPr>
      </w:pPr>
    </w:p>
    <w:p w:rsidR="00AD5BBB" w:rsidRPr="004333CE" w:rsidRDefault="00AD5BBB" w:rsidP="00904958">
      <w:pPr>
        <w:pStyle w:val="Lijstalinea"/>
        <w:ind w:left="426" w:hanging="426"/>
        <w:jc w:val="both"/>
        <w:rPr>
          <w:szCs w:val="22"/>
        </w:rPr>
      </w:pPr>
    </w:p>
    <w:p w:rsidR="00904958" w:rsidRPr="00AD5BBB" w:rsidRDefault="00904958" w:rsidP="00904958">
      <w:pPr>
        <w:ind w:left="426" w:hanging="426"/>
        <w:jc w:val="both"/>
        <w:outlineLvl w:val="0"/>
        <w:rPr>
          <w:b/>
          <w:bCs/>
          <w:smallCaps/>
          <w:color w:val="FF0000"/>
          <w:szCs w:val="22"/>
        </w:rPr>
      </w:pPr>
      <w:r w:rsidRPr="00AD5BBB">
        <w:rPr>
          <w:b/>
          <w:bCs/>
          <w:smallCaps/>
          <w:color w:val="FF0000"/>
          <w:szCs w:val="22"/>
        </w:rPr>
        <w:t>bijlagen</w:t>
      </w:r>
    </w:p>
    <w:p w:rsidR="00904958" w:rsidRPr="00AD5BBB" w:rsidRDefault="00904958" w:rsidP="00904958">
      <w:pPr>
        <w:ind w:left="426" w:hanging="426"/>
        <w:jc w:val="both"/>
        <w:outlineLvl w:val="0"/>
        <w:rPr>
          <w:bCs/>
          <w:smallCaps/>
          <w:szCs w:val="22"/>
          <w:u w:val="single"/>
        </w:rPr>
      </w:pPr>
    </w:p>
    <w:p w:rsidR="00904958" w:rsidRPr="00AD5BBB" w:rsidRDefault="00AD5BBB" w:rsidP="00AD5BBB">
      <w:pPr>
        <w:pStyle w:val="Lijstalinea"/>
        <w:numPr>
          <w:ilvl w:val="0"/>
          <w:numId w:val="22"/>
        </w:numPr>
        <w:jc w:val="both"/>
        <w:rPr>
          <w:szCs w:val="22"/>
        </w:rPr>
      </w:pPr>
      <w:r w:rsidRPr="00AD5BBB">
        <w:rPr>
          <w:szCs w:val="22"/>
        </w:rPr>
        <w:t>O</w:t>
      </w:r>
      <w:r w:rsidR="00904958" w:rsidRPr="00AD5BBB">
        <w:rPr>
          <w:szCs w:val="22"/>
        </w:rPr>
        <w:t>verzicht alternatieve dossiers</w:t>
      </w:r>
      <w:r w:rsidR="00904958" w:rsidRPr="00AD5BBB">
        <w:rPr>
          <w:bCs/>
          <w:szCs w:val="22"/>
        </w:rPr>
        <w:t xml:space="preserve"> Limburg</w:t>
      </w:r>
    </w:p>
    <w:p w:rsidR="00904958" w:rsidRPr="00AD5BBB" w:rsidRDefault="00AD5BBB" w:rsidP="00AD5BBB">
      <w:pPr>
        <w:pStyle w:val="Lijstalinea"/>
        <w:numPr>
          <w:ilvl w:val="0"/>
          <w:numId w:val="22"/>
        </w:numPr>
        <w:jc w:val="both"/>
        <w:rPr>
          <w:szCs w:val="22"/>
        </w:rPr>
      </w:pPr>
      <w:r>
        <w:rPr>
          <w:bCs/>
          <w:szCs w:val="22"/>
        </w:rPr>
        <w:t>O</w:t>
      </w:r>
      <w:r w:rsidR="00904958" w:rsidRPr="00AD5BBB">
        <w:rPr>
          <w:bCs/>
          <w:szCs w:val="22"/>
        </w:rPr>
        <w:t xml:space="preserve">verzicht </w:t>
      </w:r>
      <w:r w:rsidR="00904958" w:rsidRPr="00AD5BBB">
        <w:rPr>
          <w:szCs w:val="22"/>
        </w:rPr>
        <w:t>klassieke dossiers Limburg</w:t>
      </w:r>
      <w:bookmarkStart w:id="6" w:name="_GoBack"/>
      <w:bookmarkEnd w:id="6"/>
    </w:p>
    <w:sectPr w:rsidR="00904958" w:rsidRPr="00AD5BB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77" w:rsidRDefault="00563D77">
      <w:r>
        <w:separator/>
      </w:r>
    </w:p>
  </w:endnote>
  <w:endnote w:type="continuationSeparator" w:id="0">
    <w:p w:rsidR="00563D77" w:rsidRDefault="0056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77" w:rsidRDefault="00563D77">
      <w:r>
        <w:separator/>
      </w:r>
    </w:p>
  </w:footnote>
  <w:footnote w:type="continuationSeparator" w:id="0">
    <w:p w:rsidR="00563D77" w:rsidRDefault="0056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942B7"/>
    <w:multiLevelType w:val="hybridMultilevel"/>
    <w:tmpl w:val="BEBE3A96"/>
    <w:lvl w:ilvl="0" w:tplc="03D20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6037A"/>
    <w:multiLevelType w:val="multilevel"/>
    <w:tmpl w:val="29B8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45482"/>
    <w:multiLevelType w:val="hybridMultilevel"/>
    <w:tmpl w:val="02446B3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E7884"/>
    <w:multiLevelType w:val="hybridMultilevel"/>
    <w:tmpl w:val="514A04A2"/>
    <w:lvl w:ilvl="0" w:tplc="B4ACBB24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F370961"/>
    <w:multiLevelType w:val="hybridMultilevel"/>
    <w:tmpl w:val="21C87C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740DA"/>
    <w:multiLevelType w:val="hybridMultilevel"/>
    <w:tmpl w:val="9E4682E0"/>
    <w:lvl w:ilvl="0" w:tplc="6C126F9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D7AEE"/>
    <w:multiLevelType w:val="hybridMultilevel"/>
    <w:tmpl w:val="8FE82F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04A01"/>
    <w:multiLevelType w:val="hybridMultilevel"/>
    <w:tmpl w:val="9E1299EC"/>
    <w:lvl w:ilvl="0" w:tplc="274CF062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9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3"/>
  </w:num>
  <w:num w:numId="5">
    <w:abstractNumId w:val="21"/>
  </w:num>
  <w:num w:numId="6">
    <w:abstractNumId w:val="20"/>
  </w:num>
  <w:num w:numId="7">
    <w:abstractNumId w:val="0"/>
  </w:num>
  <w:num w:numId="8">
    <w:abstractNumId w:val="1"/>
  </w:num>
  <w:num w:numId="9">
    <w:abstractNumId w:val="19"/>
  </w:num>
  <w:num w:numId="10">
    <w:abstractNumId w:val="13"/>
  </w:num>
  <w:num w:numId="11">
    <w:abstractNumId w:val="1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8"/>
  </w:num>
  <w:num w:numId="21">
    <w:abstractNumId w:val="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17E91"/>
    <w:rsid w:val="0002649B"/>
    <w:rsid w:val="000402DE"/>
    <w:rsid w:val="0009102B"/>
    <w:rsid w:val="000976E9"/>
    <w:rsid w:val="000B43B3"/>
    <w:rsid w:val="000C4E8C"/>
    <w:rsid w:val="000C7C6C"/>
    <w:rsid w:val="000D4C4E"/>
    <w:rsid w:val="000F3532"/>
    <w:rsid w:val="000F5552"/>
    <w:rsid w:val="00126CC3"/>
    <w:rsid w:val="001539CB"/>
    <w:rsid w:val="00161FA9"/>
    <w:rsid w:val="00174411"/>
    <w:rsid w:val="001A654E"/>
    <w:rsid w:val="001A7C77"/>
    <w:rsid w:val="001C211C"/>
    <w:rsid w:val="00210C07"/>
    <w:rsid w:val="00226C67"/>
    <w:rsid w:val="0023737A"/>
    <w:rsid w:val="00250C88"/>
    <w:rsid w:val="0025145A"/>
    <w:rsid w:val="002611BB"/>
    <w:rsid w:val="002812CD"/>
    <w:rsid w:val="00291F05"/>
    <w:rsid w:val="00292E7F"/>
    <w:rsid w:val="002A27A5"/>
    <w:rsid w:val="002A44B9"/>
    <w:rsid w:val="002C1389"/>
    <w:rsid w:val="00316596"/>
    <w:rsid w:val="00326A58"/>
    <w:rsid w:val="0033263B"/>
    <w:rsid w:val="00340BDC"/>
    <w:rsid w:val="00355B81"/>
    <w:rsid w:val="0039038C"/>
    <w:rsid w:val="003B08C4"/>
    <w:rsid w:val="003B45FE"/>
    <w:rsid w:val="003D7B9E"/>
    <w:rsid w:val="003F5ED2"/>
    <w:rsid w:val="004037CA"/>
    <w:rsid w:val="00417795"/>
    <w:rsid w:val="00421318"/>
    <w:rsid w:val="00422BB7"/>
    <w:rsid w:val="004333CE"/>
    <w:rsid w:val="004337D3"/>
    <w:rsid w:val="00451B61"/>
    <w:rsid w:val="004545D6"/>
    <w:rsid w:val="004840A7"/>
    <w:rsid w:val="004B0952"/>
    <w:rsid w:val="004C554A"/>
    <w:rsid w:val="004E5B9A"/>
    <w:rsid w:val="004E6F83"/>
    <w:rsid w:val="00526536"/>
    <w:rsid w:val="00563D77"/>
    <w:rsid w:val="00572762"/>
    <w:rsid w:val="00595C65"/>
    <w:rsid w:val="005A5E23"/>
    <w:rsid w:val="005C4E46"/>
    <w:rsid w:val="005E38CA"/>
    <w:rsid w:val="005F09EF"/>
    <w:rsid w:val="006454B2"/>
    <w:rsid w:val="00645C10"/>
    <w:rsid w:val="006563FB"/>
    <w:rsid w:val="006640D2"/>
    <w:rsid w:val="0067306B"/>
    <w:rsid w:val="006742F0"/>
    <w:rsid w:val="006A6789"/>
    <w:rsid w:val="006B3EE5"/>
    <w:rsid w:val="006B7A39"/>
    <w:rsid w:val="00703E55"/>
    <w:rsid w:val="0071248C"/>
    <w:rsid w:val="00715E0D"/>
    <w:rsid w:val="007252C7"/>
    <w:rsid w:val="00730E87"/>
    <w:rsid w:val="00766407"/>
    <w:rsid w:val="00771314"/>
    <w:rsid w:val="007902C7"/>
    <w:rsid w:val="0079380B"/>
    <w:rsid w:val="00796356"/>
    <w:rsid w:val="007A07CF"/>
    <w:rsid w:val="007C007C"/>
    <w:rsid w:val="007E178D"/>
    <w:rsid w:val="007F0C63"/>
    <w:rsid w:val="007F6352"/>
    <w:rsid w:val="00800EE1"/>
    <w:rsid w:val="00822F1B"/>
    <w:rsid w:val="008356C7"/>
    <w:rsid w:val="00837915"/>
    <w:rsid w:val="00864305"/>
    <w:rsid w:val="00875F09"/>
    <w:rsid w:val="00884FA1"/>
    <w:rsid w:val="008860F8"/>
    <w:rsid w:val="00887F9E"/>
    <w:rsid w:val="008A7554"/>
    <w:rsid w:val="008D5DB4"/>
    <w:rsid w:val="0090401E"/>
    <w:rsid w:val="00904958"/>
    <w:rsid w:val="00905982"/>
    <w:rsid w:val="00917D88"/>
    <w:rsid w:val="00921BFC"/>
    <w:rsid w:val="009347E0"/>
    <w:rsid w:val="009455AD"/>
    <w:rsid w:val="00952C2D"/>
    <w:rsid w:val="00973F1E"/>
    <w:rsid w:val="00987BBD"/>
    <w:rsid w:val="009C71CE"/>
    <w:rsid w:val="009D7043"/>
    <w:rsid w:val="009F0511"/>
    <w:rsid w:val="00A04E1C"/>
    <w:rsid w:val="00A222E2"/>
    <w:rsid w:val="00A22807"/>
    <w:rsid w:val="00A2736D"/>
    <w:rsid w:val="00A51FCA"/>
    <w:rsid w:val="00A64695"/>
    <w:rsid w:val="00A86C48"/>
    <w:rsid w:val="00AC19C1"/>
    <w:rsid w:val="00AC4E76"/>
    <w:rsid w:val="00AD3F3A"/>
    <w:rsid w:val="00AD5BBB"/>
    <w:rsid w:val="00AE721D"/>
    <w:rsid w:val="00AF6BEF"/>
    <w:rsid w:val="00B14702"/>
    <w:rsid w:val="00B246FE"/>
    <w:rsid w:val="00B45EB2"/>
    <w:rsid w:val="00B55E0E"/>
    <w:rsid w:val="00B9022D"/>
    <w:rsid w:val="00B915D2"/>
    <w:rsid w:val="00BA480B"/>
    <w:rsid w:val="00BB2756"/>
    <w:rsid w:val="00BE3D21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E4D99"/>
    <w:rsid w:val="00D04FBF"/>
    <w:rsid w:val="00D0660D"/>
    <w:rsid w:val="00D10499"/>
    <w:rsid w:val="00D23804"/>
    <w:rsid w:val="00D549F3"/>
    <w:rsid w:val="00D65CEC"/>
    <w:rsid w:val="00D71D99"/>
    <w:rsid w:val="00D754F2"/>
    <w:rsid w:val="00D86F22"/>
    <w:rsid w:val="00DB41C0"/>
    <w:rsid w:val="00DB5732"/>
    <w:rsid w:val="00DC1813"/>
    <w:rsid w:val="00DC2940"/>
    <w:rsid w:val="00DC4DB6"/>
    <w:rsid w:val="00DD0684"/>
    <w:rsid w:val="00DF23EB"/>
    <w:rsid w:val="00E26FA5"/>
    <w:rsid w:val="00E55200"/>
    <w:rsid w:val="00E80CC0"/>
    <w:rsid w:val="00E85C8D"/>
    <w:rsid w:val="00EA32C7"/>
    <w:rsid w:val="00EB1083"/>
    <w:rsid w:val="00EB4635"/>
    <w:rsid w:val="00EC59DD"/>
    <w:rsid w:val="00ED4D74"/>
    <w:rsid w:val="00F262A3"/>
    <w:rsid w:val="00F37840"/>
    <w:rsid w:val="00F57F23"/>
    <w:rsid w:val="00F608EE"/>
    <w:rsid w:val="00F826BA"/>
    <w:rsid w:val="00F85CC6"/>
    <w:rsid w:val="00FA29D6"/>
    <w:rsid w:val="00FD153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59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semiHidden/>
    <w:rsid w:val="000F5552"/>
    <w:rPr>
      <w:vertAlign w:val="superscript"/>
    </w:rPr>
  </w:style>
  <w:style w:type="character" w:styleId="Hyperlink">
    <w:name w:val="Hyperlink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B9022D"/>
    <w:pPr>
      <w:ind w:left="708"/>
    </w:pPr>
  </w:style>
  <w:style w:type="paragraph" w:customStyle="1" w:styleId="StandaardSV">
    <w:name w:val="Standaard SV"/>
    <w:basedOn w:val="Standaard"/>
    <w:rsid w:val="00FD153D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59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semiHidden/>
    <w:rsid w:val="000F5552"/>
    <w:rPr>
      <w:vertAlign w:val="superscript"/>
    </w:rPr>
  </w:style>
  <w:style w:type="character" w:styleId="Hyperlink">
    <w:name w:val="Hyperlink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B9022D"/>
    <w:pPr>
      <w:ind w:left="708"/>
    </w:pPr>
  </w:style>
  <w:style w:type="paragraph" w:customStyle="1" w:styleId="StandaardSV">
    <w:name w:val="Standaard SV"/>
    <w:basedOn w:val="Standaard"/>
    <w:rsid w:val="00FD153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3094</CharactersWithSpaces>
  <SharedDoc>false</SharedDoc>
  <HLinks>
    <vt:vector size="18" baseType="variant">
      <vt:variant>
        <vt:i4>6488103</vt:i4>
      </vt:variant>
      <vt:variant>
        <vt:i4>25</vt:i4>
      </vt:variant>
      <vt:variant>
        <vt:i4>0</vt:i4>
      </vt:variant>
      <vt:variant>
        <vt:i4>5</vt:i4>
      </vt:variant>
      <vt:variant>
        <vt:lpwstr>http://www.deverdwaaldeooievaar.be/</vt:lpwstr>
      </vt:variant>
      <vt:variant>
        <vt:lpwstr/>
      </vt:variant>
      <vt:variant>
        <vt:i4>7012399</vt:i4>
      </vt:variant>
      <vt:variant>
        <vt:i4>22</vt:i4>
      </vt:variant>
      <vt:variant>
        <vt:i4>0</vt:i4>
      </vt:variant>
      <vt:variant>
        <vt:i4>5</vt:i4>
      </vt:variant>
      <vt:variant>
        <vt:lpwstr>http://www.seksualiteit.be/anticonceptie/vruchtbaarheid/verminderde-vruchtbaarheid</vt:lpwstr>
      </vt:variant>
      <vt:variant>
        <vt:lpwstr/>
      </vt:variant>
      <vt:variant>
        <vt:i4>2359411</vt:i4>
      </vt:variant>
      <vt:variant>
        <vt:i4>19</vt:i4>
      </vt:variant>
      <vt:variant>
        <vt:i4>0</vt:i4>
      </vt:variant>
      <vt:variant>
        <vt:i4>5</vt:i4>
      </vt:variant>
      <vt:variant>
        <vt:lpwstr>http://www.allesoverseks.be/cms/nieuws/test-je-vruchtbaarheid.aspx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Overloru</dc:creator>
  <cp:lastModifiedBy>Nathalie De Keyzer</cp:lastModifiedBy>
  <cp:revision>4</cp:revision>
  <cp:lastPrinted>2013-03-15T15:15:00Z</cp:lastPrinted>
  <dcterms:created xsi:type="dcterms:W3CDTF">2013-03-15T14:28:00Z</dcterms:created>
  <dcterms:modified xsi:type="dcterms:W3CDTF">2013-03-19T15:11:00Z</dcterms:modified>
</cp:coreProperties>
</file>